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B73DB">
      <w:pPr>
        <w:spacing w:line="500" w:lineRule="exact"/>
        <w:ind w:firstLine="0" w:firstLineChars="0"/>
        <w:jc w:val="left"/>
        <w:outlineLvl w:val="9"/>
        <w:rPr>
          <w:rStyle w:val="11"/>
          <w:rFonts w:hint="eastAsia" w:ascii="Arial" w:hAnsi="Arial" w:eastAsia="宋体" w:cs="Tahoma"/>
          <w:b w:val="0"/>
          <w:bCs w:val="0"/>
          <w:color w:val="000000"/>
          <w:kern w:val="28"/>
          <w:sz w:val="21"/>
          <w:szCs w:val="21"/>
          <w:highlight w:val="none"/>
          <w:lang w:val="en-US" w:eastAsia="zh-CN"/>
        </w:rPr>
      </w:pPr>
      <w:bookmarkStart w:id="0" w:name="_Toc297213506"/>
      <w:bookmarkStart w:id="1" w:name="_Toc237151173"/>
      <w:bookmarkStart w:id="2" w:name="_Toc278613949"/>
      <w:bookmarkStart w:id="3" w:name="_Toc186000522"/>
      <w:bookmarkStart w:id="4" w:name="_Toc164247492"/>
      <w:bookmarkStart w:id="5" w:name="_Toc238563757"/>
      <w:r>
        <w:rPr>
          <w:rStyle w:val="11"/>
          <w:rFonts w:hint="eastAsia" w:ascii="Arial" w:hAnsi="Arial" w:cs="Tahoma"/>
          <w:b w:val="0"/>
          <w:bCs w:val="0"/>
          <w:color w:val="000000"/>
          <w:kern w:val="28"/>
          <w:sz w:val="21"/>
          <w:szCs w:val="21"/>
          <w:highlight w:val="none"/>
          <w:lang w:eastAsia="zh-CN"/>
        </w:rPr>
        <w:t>附件</w:t>
      </w:r>
      <w:r>
        <w:rPr>
          <w:rStyle w:val="11"/>
          <w:rFonts w:hint="eastAsia" w:ascii="Arial" w:hAnsi="Arial" w:cs="Tahoma"/>
          <w:b w:val="0"/>
          <w:bCs w:val="0"/>
          <w:color w:val="000000"/>
          <w:kern w:val="28"/>
          <w:sz w:val="21"/>
          <w:szCs w:val="21"/>
          <w:highlight w:val="none"/>
          <w:lang w:val="en-US" w:eastAsia="zh-CN"/>
        </w:rPr>
        <w:t>1：</w:t>
      </w:r>
    </w:p>
    <w:p w14:paraId="6551A475">
      <w:pPr>
        <w:spacing w:line="360" w:lineRule="auto"/>
        <w:jc w:val="center"/>
        <w:outlineLvl w:val="2"/>
        <w:rPr>
          <w:b/>
          <w:sz w:val="32"/>
          <w:szCs w:val="32"/>
        </w:rPr>
      </w:pPr>
      <w:r>
        <w:rPr>
          <w:rStyle w:val="13"/>
          <w:rFonts w:hint="eastAsia" w:ascii="宋体" w:hAnsi="宋体"/>
          <w:b/>
          <w:bCs/>
          <w:sz w:val="32"/>
          <w:szCs w:val="32"/>
        </w:rPr>
        <w:t>用户需求书</w:t>
      </w:r>
      <w:bookmarkEnd w:id="0"/>
      <w:bookmarkEnd w:id="1"/>
      <w:bookmarkEnd w:id="2"/>
      <w:bookmarkEnd w:id="3"/>
      <w:bookmarkEnd w:id="4"/>
      <w:bookmarkEnd w:id="5"/>
    </w:p>
    <w:p w14:paraId="2CE80343">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b/>
          <w:sz w:val="32"/>
          <w:szCs w:val="32"/>
        </w:rPr>
      </w:pPr>
      <w:bookmarkStart w:id="6" w:name="_Toc182836733"/>
      <w:r>
        <w:rPr>
          <w:rFonts w:hint="eastAsia"/>
          <w:b/>
          <w:sz w:val="32"/>
          <w:szCs w:val="32"/>
        </w:rPr>
        <w:t>总则</w:t>
      </w:r>
    </w:p>
    <w:p w14:paraId="403BFAF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1、成交供应商必须按国家、行业的标准及采购文件的要求对本项目提供相应的货物及服务。</w:t>
      </w:r>
    </w:p>
    <w:p w14:paraId="2189153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2、《用户需求书》中凡有“★”标识的内容条款(如有)被视为实质性响应项目、指标；响应供应商必须对此做出回答并完全满足这些要求不可以出现任何负偏离，如果出现负偏离将被视为无效响应。凡有“▲”的内容（如有）为重点评审项目，供应商必须对该标识项目按照要求进行真实应答描述。</w:t>
      </w:r>
    </w:p>
    <w:p w14:paraId="6820132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3、本项目由成交供应商负责采购文件对成交供应商要求的一切事宜及责任。响应报价中不得包含采购文件要求以外的内容，否则，在评审时不予核减；若响应报价有缺漏项的，缺漏项部分的价格视为已包含在响应报价中，成交后不作任何调整，采购人将不再支付任何费用。</w:t>
      </w:r>
    </w:p>
    <w:p w14:paraId="6FF52BE2">
      <w:pPr>
        <w:spacing w:line="360" w:lineRule="auto"/>
        <w:ind w:firstLine="420" w:firstLineChars="200"/>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4、本项目不允许提交备选方案，不允许联合体响应、转包或分包。</w:t>
      </w:r>
    </w:p>
    <w:p w14:paraId="63D0CE7D">
      <w:pPr>
        <w:spacing w:beforeLines="100" w:line="360" w:lineRule="auto"/>
        <w:rPr>
          <w:rFonts w:hint="eastAsia" w:ascii="Arial" w:hAnsi="Arial" w:eastAsia="宋体" w:cs="Tahoma"/>
          <w:color w:val="000000"/>
          <w:kern w:val="28"/>
          <w:sz w:val="21"/>
          <w:szCs w:val="21"/>
          <w:highlight w:val="none"/>
          <w:lang w:val="en-US" w:eastAsia="zh-CN" w:bidi="ar-SA"/>
        </w:rPr>
      </w:pPr>
      <w:r>
        <w:rPr>
          <w:rFonts w:hint="eastAsia"/>
          <w:b/>
          <w:szCs w:val="21"/>
        </w:rPr>
        <w:t>一、项目概况</w:t>
      </w:r>
    </w:p>
    <w:p w14:paraId="478AE6B7">
      <w:pPr>
        <w:spacing w:line="360" w:lineRule="auto"/>
        <w:jc w:val="left"/>
        <w:rPr>
          <w:rFonts w:hint="eastAsia" w:ascii="宋体" w:hAnsi="宋体"/>
          <w:b/>
          <w:bCs w:val="0"/>
          <w:lang w:val="en-US" w:eastAsia="zh-CN"/>
        </w:rPr>
      </w:pPr>
      <w:r>
        <w:rPr>
          <w:rFonts w:hint="eastAsia" w:ascii="宋体" w:hAnsi="宋体"/>
          <w:b/>
          <w:bCs w:val="0"/>
          <w:lang w:val="en-US" w:eastAsia="zh-CN"/>
        </w:rPr>
        <w:t>（一）项目名称：</w:t>
      </w:r>
      <w:bookmarkStart w:id="7" w:name="OLE_LINK5"/>
      <w:r>
        <w:rPr>
          <w:rFonts w:hint="eastAsia" w:ascii="宋体" w:hAnsi="宋体"/>
          <w:b/>
          <w:bCs w:val="0"/>
          <w:lang w:val="en-US" w:eastAsia="zh-CN"/>
        </w:rPr>
        <w:t>中山市黄圃人民医</w:t>
      </w:r>
      <w:r>
        <w:rPr>
          <w:rFonts w:hint="eastAsia" w:ascii="宋体" w:hAnsi="宋体" w:eastAsia="宋体" w:cs="Times New Roman"/>
          <w:b/>
          <w:bCs w:val="0"/>
          <w:lang w:val="en-US" w:eastAsia="zh-CN"/>
        </w:rPr>
        <w:t>院</w:t>
      </w:r>
      <w:bookmarkStart w:id="8" w:name="OLE_LINK3"/>
      <w:r>
        <w:rPr>
          <w:rFonts w:hint="eastAsia" w:ascii="宋体" w:hAnsi="宋体" w:cs="Times New Roman"/>
          <w:b/>
          <w:bCs w:val="0"/>
          <w:lang w:val="en-US" w:eastAsia="zh-CN"/>
        </w:rPr>
        <w:t>核酸提取仪和荧光定量PCR仪</w:t>
      </w:r>
      <w:bookmarkEnd w:id="8"/>
      <w:r>
        <w:rPr>
          <w:rFonts w:hint="eastAsia" w:ascii="宋体" w:hAnsi="宋体" w:eastAsia="宋体" w:cs="Times New Roman"/>
          <w:b/>
          <w:bCs w:val="0"/>
          <w:lang w:val="en-US" w:eastAsia="zh-CN"/>
        </w:rPr>
        <w:t>采购项</w:t>
      </w:r>
      <w:r>
        <w:rPr>
          <w:rFonts w:hint="eastAsia" w:ascii="宋体" w:hAnsi="宋体"/>
          <w:b/>
          <w:bCs w:val="0"/>
          <w:lang w:val="en-US" w:eastAsia="zh-CN"/>
        </w:rPr>
        <w:t>目</w:t>
      </w:r>
      <w:bookmarkEnd w:id="7"/>
    </w:p>
    <w:p w14:paraId="035E8836">
      <w:pPr>
        <w:spacing w:line="360" w:lineRule="auto"/>
        <w:jc w:val="left"/>
        <w:rPr>
          <w:rFonts w:hint="default" w:ascii="宋体" w:hAnsi="宋体" w:eastAsia="宋体"/>
          <w:b/>
          <w:bCs w:val="0"/>
          <w:lang w:val="en-US" w:eastAsia="zh-CN"/>
        </w:rPr>
      </w:pPr>
      <w:r>
        <w:rPr>
          <w:rFonts w:hint="eastAsia" w:ascii="宋体" w:hAnsi="宋体"/>
          <w:b/>
          <w:bCs w:val="0"/>
          <w:lang w:val="en-US" w:eastAsia="zh-CN"/>
        </w:rPr>
        <w:t>（二）项目编号：</w:t>
      </w:r>
      <w:r>
        <w:rPr>
          <w:rFonts w:hint="eastAsia" w:ascii="宋体" w:hAnsi="宋体" w:eastAsia="宋体" w:cs="Times New Roman"/>
          <w:b/>
          <w:i w:val="0"/>
          <w:iCs w:val="0"/>
          <w:caps w:val="0"/>
          <w:color w:val="auto"/>
          <w:spacing w:val="0"/>
          <w:sz w:val="21"/>
          <w:szCs w:val="24"/>
          <w:shd w:val="clear" w:fill="auto"/>
        </w:rPr>
        <w:t>PYCG-SB-202607-</w:t>
      </w:r>
      <w:r>
        <w:rPr>
          <w:rFonts w:hint="eastAsia" w:ascii="宋体" w:hAnsi="宋体" w:cs="Times New Roman"/>
          <w:b/>
          <w:i w:val="0"/>
          <w:iCs w:val="0"/>
          <w:caps w:val="0"/>
          <w:spacing w:val="0"/>
          <w:sz w:val="21"/>
          <w:szCs w:val="24"/>
          <w:shd w:val="clear"/>
          <w:lang w:val="en-US" w:eastAsia="zh-CN"/>
        </w:rPr>
        <w:t>17</w:t>
      </w:r>
    </w:p>
    <w:p w14:paraId="370DC9A8">
      <w:pPr>
        <w:spacing w:line="360" w:lineRule="auto"/>
        <w:jc w:val="left"/>
        <w:rPr>
          <w:rFonts w:hint="default" w:ascii="宋体" w:hAnsi="宋体"/>
          <w:b/>
          <w:bCs w:val="0"/>
          <w:lang w:val="en-US" w:eastAsia="zh-CN"/>
        </w:rPr>
      </w:pPr>
      <w:r>
        <w:rPr>
          <w:rFonts w:hint="eastAsia" w:ascii="宋体" w:hAnsi="宋体"/>
          <w:b/>
          <w:bCs w:val="0"/>
          <w:lang w:val="en-US" w:eastAsia="zh-CN"/>
        </w:rPr>
        <w:t>（三）项目要求及内容：</w:t>
      </w:r>
    </w:p>
    <w:p w14:paraId="2FF4F37D">
      <w:pPr>
        <w:spacing w:line="360" w:lineRule="auto"/>
        <w:rPr>
          <w:rFonts w:ascii="宋体" w:hAnsi="宋体" w:cs="宋体"/>
          <w:bCs/>
          <w:szCs w:val="21"/>
        </w:rPr>
      </w:pPr>
      <w:r>
        <w:rPr>
          <w:rFonts w:hint="eastAsia" w:ascii="宋体" w:hAnsi="宋体" w:cs="宋体"/>
          <w:b/>
          <w:bCs/>
          <w:szCs w:val="21"/>
        </w:rPr>
        <w:t>★</w:t>
      </w:r>
      <w:r>
        <w:rPr>
          <w:rFonts w:hint="eastAsia" w:ascii="宋体" w:hAnsi="宋体" w:cs="宋体"/>
          <w:b/>
          <w:szCs w:val="21"/>
        </w:rPr>
        <w:t>1、采购清单：（如</w:t>
      </w:r>
      <w:r>
        <w:rPr>
          <w:rFonts w:hint="eastAsia" w:ascii="宋体" w:hAnsi="宋体" w:cs="宋体"/>
          <w:b/>
          <w:szCs w:val="21"/>
          <w:lang w:val="en-US" w:eastAsia="zh-CN"/>
        </w:rPr>
        <w:t>供应商</w:t>
      </w:r>
      <w:r>
        <w:rPr>
          <w:rFonts w:hint="eastAsia" w:ascii="宋体" w:hAnsi="宋体" w:cs="宋体"/>
          <w:b/>
          <w:szCs w:val="21"/>
        </w:rPr>
        <w:t>报价超出以下规定的采购预算，将导致投标无效）</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452"/>
        <w:gridCol w:w="1056"/>
        <w:gridCol w:w="2160"/>
        <w:gridCol w:w="2159"/>
      </w:tblGrid>
      <w:tr w14:paraId="2547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blHeader/>
          <w:jc w:val="center"/>
        </w:trPr>
        <w:tc>
          <w:tcPr>
            <w:tcW w:w="695" w:type="dxa"/>
            <w:vAlign w:val="center"/>
          </w:tcPr>
          <w:p w14:paraId="4B5E31CE">
            <w:pPr>
              <w:spacing w:line="360" w:lineRule="auto"/>
              <w:jc w:val="center"/>
              <w:rPr>
                <w:rFonts w:ascii="宋体" w:hAnsi="宋体" w:cs="宋体"/>
                <w:b/>
                <w:bCs/>
                <w:color w:val="000000"/>
                <w:szCs w:val="21"/>
              </w:rPr>
            </w:pPr>
            <w:r>
              <w:rPr>
                <w:rFonts w:hint="eastAsia" w:ascii="宋体" w:hAnsi="宋体" w:cs="宋体"/>
                <w:b/>
                <w:bCs/>
                <w:color w:val="000000"/>
                <w:szCs w:val="21"/>
              </w:rPr>
              <w:t>序号</w:t>
            </w:r>
          </w:p>
        </w:tc>
        <w:tc>
          <w:tcPr>
            <w:tcW w:w="2452" w:type="dxa"/>
            <w:vAlign w:val="center"/>
          </w:tcPr>
          <w:p w14:paraId="4633636B">
            <w:pPr>
              <w:spacing w:line="360" w:lineRule="auto"/>
              <w:jc w:val="center"/>
              <w:rPr>
                <w:rFonts w:ascii="宋体" w:hAnsi="宋体" w:cs="宋体"/>
                <w:b/>
                <w:bCs/>
                <w:color w:val="000000"/>
                <w:szCs w:val="21"/>
              </w:rPr>
            </w:pPr>
            <w:r>
              <w:rPr>
                <w:rFonts w:hint="eastAsia" w:ascii="宋体" w:hAnsi="宋体" w:cs="宋体"/>
                <w:b/>
                <w:bCs/>
                <w:color w:val="000000"/>
                <w:szCs w:val="21"/>
              </w:rPr>
              <w:t>设备名称</w:t>
            </w:r>
          </w:p>
        </w:tc>
        <w:tc>
          <w:tcPr>
            <w:tcW w:w="1056" w:type="dxa"/>
            <w:vAlign w:val="center"/>
          </w:tcPr>
          <w:p w14:paraId="7ACDEC48">
            <w:pPr>
              <w:spacing w:line="360" w:lineRule="auto"/>
              <w:jc w:val="center"/>
              <w:rPr>
                <w:rFonts w:ascii="宋体" w:hAnsi="宋体" w:cs="宋体"/>
                <w:b/>
                <w:bCs/>
                <w:color w:val="000000"/>
                <w:szCs w:val="21"/>
              </w:rPr>
            </w:pPr>
            <w:r>
              <w:rPr>
                <w:rFonts w:hint="eastAsia" w:ascii="宋体" w:hAnsi="宋体" w:cs="宋体"/>
                <w:b/>
                <w:bCs/>
                <w:color w:val="000000"/>
                <w:szCs w:val="21"/>
              </w:rPr>
              <w:t>数量</w:t>
            </w:r>
          </w:p>
        </w:tc>
        <w:tc>
          <w:tcPr>
            <w:tcW w:w="2160" w:type="dxa"/>
            <w:vAlign w:val="center"/>
          </w:tcPr>
          <w:p w14:paraId="5C69291A">
            <w:pPr>
              <w:spacing w:line="360" w:lineRule="auto"/>
              <w:jc w:val="center"/>
              <w:rPr>
                <w:rFonts w:ascii="宋体" w:hAnsi="宋体" w:cs="宋体"/>
                <w:b/>
                <w:bCs/>
                <w:color w:val="000000"/>
                <w:szCs w:val="21"/>
              </w:rPr>
            </w:pPr>
            <w:r>
              <w:rPr>
                <w:rFonts w:hint="eastAsia" w:ascii="宋体" w:hAnsi="宋体" w:cs="宋体"/>
                <w:b/>
                <w:bCs/>
                <w:color w:val="000000"/>
                <w:szCs w:val="21"/>
              </w:rPr>
              <w:t>预算金额</w:t>
            </w:r>
            <w:r>
              <w:rPr>
                <w:rFonts w:hint="eastAsia" w:ascii="宋体" w:hAnsi="宋体" w:cs="宋体"/>
                <w:b/>
                <w:bCs/>
                <w:color w:val="000000"/>
                <w:szCs w:val="21"/>
                <w:lang w:eastAsia="zh-CN"/>
              </w:rPr>
              <w:t>单</w:t>
            </w:r>
            <w:r>
              <w:rPr>
                <w:rFonts w:hint="eastAsia" w:ascii="宋体" w:hAnsi="宋体" w:cs="宋体"/>
                <w:b/>
                <w:bCs/>
                <w:color w:val="000000"/>
                <w:szCs w:val="21"/>
              </w:rPr>
              <w:t>价（元）</w:t>
            </w:r>
          </w:p>
        </w:tc>
        <w:tc>
          <w:tcPr>
            <w:tcW w:w="2159" w:type="dxa"/>
            <w:vAlign w:val="center"/>
          </w:tcPr>
          <w:p w14:paraId="40AD016D">
            <w:pPr>
              <w:spacing w:line="360" w:lineRule="auto"/>
              <w:jc w:val="center"/>
              <w:rPr>
                <w:rFonts w:hint="eastAsia" w:ascii="宋体" w:hAnsi="宋体" w:cs="宋体"/>
                <w:b/>
                <w:bCs/>
                <w:color w:val="000000"/>
                <w:szCs w:val="21"/>
              </w:rPr>
            </w:pPr>
            <w:r>
              <w:rPr>
                <w:rFonts w:hint="eastAsia" w:ascii="宋体" w:hAnsi="宋体" w:cs="宋体"/>
                <w:b/>
                <w:bCs/>
                <w:color w:val="000000"/>
                <w:szCs w:val="21"/>
              </w:rPr>
              <w:t>预算金额总价（元）</w:t>
            </w:r>
          </w:p>
        </w:tc>
      </w:tr>
      <w:tr w14:paraId="04B2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95" w:type="dxa"/>
            <w:vAlign w:val="center"/>
          </w:tcPr>
          <w:p w14:paraId="79C8DAD4">
            <w:pPr>
              <w:spacing w:line="360" w:lineRule="auto"/>
              <w:jc w:val="center"/>
              <w:rPr>
                <w:rFonts w:ascii="宋体" w:hAnsi="宋体" w:cs="宋体"/>
                <w:color w:val="000000"/>
                <w:szCs w:val="21"/>
              </w:rPr>
            </w:pPr>
            <w:r>
              <w:rPr>
                <w:rFonts w:hint="eastAsia" w:ascii="宋体" w:hAnsi="宋体" w:cs="宋体"/>
                <w:color w:val="000000"/>
                <w:szCs w:val="21"/>
              </w:rPr>
              <w:t>1</w:t>
            </w:r>
          </w:p>
        </w:tc>
        <w:tc>
          <w:tcPr>
            <w:tcW w:w="2452" w:type="dxa"/>
            <w:vAlign w:val="center"/>
          </w:tcPr>
          <w:p w14:paraId="715108B3">
            <w:pPr>
              <w:spacing w:line="360" w:lineRule="auto"/>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核酸提取仪</w:t>
            </w:r>
          </w:p>
        </w:tc>
        <w:tc>
          <w:tcPr>
            <w:tcW w:w="1056" w:type="dxa"/>
            <w:vAlign w:val="center"/>
          </w:tcPr>
          <w:p w14:paraId="50A2FA77">
            <w:pPr>
              <w:spacing w:line="360" w:lineRule="auto"/>
              <w:jc w:val="center"/>
              <w:rPr>
                <w:rFonts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台</w:t>
            </w:r>
          </w:p>
        </w:tc>
        <w:tc>
          <w:tcPr>
            <w:tcW w:w="2160" w:type="dxa"/>
            <w:vAlign w:val="center"/>
          </w:tcPr>
          <w:p w14:paraId="03EB2185">
            <w:pPr>
              <w:spacing w:line="360" w:lineRule="auto"/>
              <w:jc w:val="center"/>
              <w:rPr>
                <w:rFonts w:hint="default" w:ascii="宋体" w:hAnsi="宋体" w:eastAsia="宋体" w:cs="宋体"/>
                <w:color w:val="000000"/>
                <w:szCs w:val="21"/>
                <w:lang w:val="en-US" w:eastAsia="zh-CN"/>
              </w:rPr>
            </w:pPr>
            <w:r>
              <w:rPr>
                <w:rFonts w:hint="eastAsia" w:ascii="宋体" w:hAnsi="宋体" w:cs="宋体"/>
                <w:color w:val="000000"/>
                <w:szCs w:val="21"/>
              </w:rPr>
              <w:t>¥</w:t>
            </w:r>
            <w:r>
              <w:rPr>
                <w:rFonts w:hint="eastAsia" w:ascii="宋体" w:hAnsi="宋体" w:cs="宋体"/>
                <w:color w:val="000000"/>
                <w:szCs w:val="21"/>
                <w:lang w:val="en-US" w:eastAsia="zh-CN"/>
              </w:rPr>
              <w:t>8000</w:t>
            </w:r>
          </w:p>
        </w:tc>
        <w:tc>
          <w:tcPr>
            <w:tcW w:w="2159" w:type="dxa"/>
            <w:vMerge w:val="restart"/>
            <w:vAlign w:val="center"/>
          </w:tcPr>
          <w:p w14:paraId="520C22CE">
            <w:pPr>
              <w:spacing w:line="360" w:lineRule="auto"/>
              <w:jc w:val="center"/>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186000</w:t>
            </w:r>
          </w:p>
        </w:tc>
      </w:tr>
      <w:tr w14:paraId="50CA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95" w:type="dxa"/>
            <w:vAlign w:val="center"/>
          </w:tcPr>
          <w:p w14:paraId="5CC3BAE0">
            <w:pPr>
              <w:spacing w:line="360" w:lineRule="auto"/>
              <w:jc w:val="center"/>
              <w:rPr>
                <w:rFonts w:hint="eastAsia" w:ascii="宋体" w:hAnsi="宋体" w:eastAsia="宋体" w:cs="宋体"/>
                <w:color w:val="000000"/>
                <w:szCs w:val="21"/>
                <w:lang w:val="en-US" w:eastAsia="zh-CN"/>
              </w:rPr>
            </w:pPr>
            <w:bookmarkStart w:id="9" w:name="OLE_LINK11"/>
            <w:r>
              <w:rPr>
                <w:rFonts w:hint="eastAsia" w:ascii="宋体" w:hAnsi="宋体" w:cs="宋体"/>
                <w:color w:val="000000"/>
                <w:szCs w:val="21"/>
                <w:lang w:val="en-US" w:eastAsia="zh-CN"/>
              </w:rPr>
              <w:t>2</w:t>
            </w:r>
          </w:p>
        </w:tc>
        <w:tc>
          <w:tcPr>
            <w:tcW w:w="2452" w:type="dxa"/>
            <w:vAlign w:val="center"/>
          </w:tcPr>
          <w:p w14:paraId="0F450576">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eastAsia="zh-CN"/>
              </w:rPr>
              <w:t>荧光定量</w:t>
            </w:r>
            <w:r>
              <w:rPr>
                <w:rFonts w:hint="eastAsia" w:ascii="宋体" w:hAnsi="宋体" w:cs="宋体"/>
                <w:color w:val="000000"/>
                <w:szCs w:val="21"/>
                <w:lang w:val="en-US" w:eastAsia="zh-CN"/>
              </w:rPr>
              <w:t>PCR仪</w:t>
            </w:r>
          </w:p>
        </w:tc>
        <w:tc>
          <w:tcPr>
            <w:tcW w:w="1056" w:type="dxa"/>
            <w:vAlign w:val="center"/>
          </w:tcPr>
          <w:p w14:paraId="3A4758C9">
            <w:pPr>
              <w:spacing w:line="360" w:lineRule="auto"/>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1台</w:t>
            </w:r>
          </w:p>
        </w:tc>
        <w:tc>
          <w:tcPr>
            <w:tcW w:w="2160" w:type="dxa"/>
            <w:vAlign w:val="center"/>
          </w:tcPr>
          <w:p w14:paraId="47E3B0CE">
            <w:pPr>
              <w:spacing w:line="360" w:lineRule="auto"/>
              <w:jc w:val="center"/>
              <w:rPr>
                <w:rFonts w:hint="eastAsia" w:ascii="宋体" w:hAnsi="宋体" w:cs="宋体"/>
                <w:color w:val="000000"/>
                <w:szCs w:val="21"/>
              </w:rPr>
            </w:pPr>
            <w:bookmarkStart w:id="10" w:name="OLE_LINK7"/>
            <w:r>
              <w:rPr>
                <w:rFonts w:hint="eastAsia" w:ascii="宋体" w:hAnsi="宋体" w:cs="宋体"/>
                <w:color w:val="000000"/>
                <w:szCs w:val="21"/>
              </w:rPr>
              <w:t>¥</w:t>
            </w:r>
            <w:r>
              <w:rPr>
                <w:rFonts w:hint="eastAsia" w:ascii="宋体" w:hAnsi="宋体" w:cs="宋体"/>
                <w:color w:val="000000"/>
                <w:szCs w:val="21"/>
                <w:lang w:val="en-US" w:eastAsia="zh-CN"/>
              </w:rPr>
              <w:t>178000</w:t>
            </w:r>
            <w:bookmarkEnd w:id="10"/>
          </w:p>
        </w:tc>
        <w:tc>
          <w:tcPr>
            <w:tcW w:w="2159" w:type="dxa"/>
            <w:vMerge w:val="continue"/>
            <w:vAlign w:val="center"/>
          </w:tcPr>
          <w:p w14:paraId="50515A22">
            <w:pPr>
              <w:spacing w:line="360" w:lineRule="auto"/>
              <w:jc w:val="center"/>
              <w:rPr>
                <w:rFonts w:hint="eastAsia" w:ascii="宋体" w:hAnsi="宋体" w:cs="宋体"/>
                <w:color w:val="000000"/>
                <w:szCs w:val="21"/>
              </w:rPr>
            </w:pPr>
          </w:p>
        </w:tc>
      </w:tr>
    </w:tbl>
    <w:p w14:paraId="16C42C0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b/>
          <w:color w:val="auto"/>
          <w:lang w:val="en-US" w:eastAsia="zh-CN"/>
        </w:rPr>
      </w:pPr>
      <w:r>
        <w:rPr>
          <w:rFonts w:hint="eastAsia"/>
          <w:b/>
          <w:bCs/>
          <w:color w:val="auto"/>
        </w:rPr>
        <w:t>★</w:t>
      </w:r>
      <w:r>
        <w:rPr>
          <w:rFonts w:hint="eastAsia"/>
          <w:b/>
          <w:bCs/>
          <w:color w:val="auto"/>
          <w:lang w:val="en-US" w:eastAsia="zh-CN"/>
        </w:rPr>
        <w:t>2.</w:t>
      </w:r>
      <w:r>
        <w:rPr>
          <w:rFonts w:hint="eastAsia"/>
          <w:b/>
          <w:bCs/>
          <w:color w:val="auto"/>
        </w:rPr>
        <w:t>本项目未申请办理进口产品采购财政核准，依据《政府采购法》第十条及《政府采购进口产品管理办法》相关规定，本项目不接受进口产品参与投标（响应）。凡在中国境内生产、符合本国产品认定标准的产品，均可平等参与本项目，不受企业资本属性限制。供应商所投产品为进口产品的，视为无效响应。</w:t>
      </w:r>
    </w:p>
    <w:p w14:paraId="52EE91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lang w:val="en-US" w:eastAsia="zh-CN"/>
        </w:rPr>
      </w:pPr>
      <w:r>
        <w:rPr>
          <w:rFonts w:hint="eastAsia" w:hAnsi="宋体"/>
          <w:b/>
          <w:color w:val="auto"/>
          <w:highlight w:val="none"/>
        </w:rPr>
        <w:t>★</w:t>
      </w:r>
      <w:r>
        <w:rPr>
          <w:rFonts w:hint="eastAsia" w:hAnsi="宋体"/>
          <w:b/>
          <w:color w:val="auto"/>
          <w:highlight w:val="none"/>
          <w:lang w:val="en-US" w:eastAsia="zh-CN"/>
        </w:rPr>
        <w:t>3.</w:t>
      </w:r>
      <w:bookmarkStart w:id="11" w:name="OLE_LINK4"/>
      <w:r>
        <w:rPr>
          <w:rFonts w:hint="eastAsia" w:hAnsi="宋体"/>
          <w:b/>
          <w:color w:val="auto"/>
          <w:highlight w:val="none"/>
        </w:rPr>
        <w:t>①如所投产品属于第二类或者第三类医疗器械，则必须提供有效的医疗器械注册证明复印件。②如所投产品属于一类产品需提供备案信息表。</w:t>
      </w:r>
      <w:r>
        <w:rPr>
          <w:rFonts w:hint="eastAsia" w:ascii="Times New Roman" w:hAnsi="宋体" w:eastAsia="宋体" w:cs="Times New Roman"/>
          <w:b/>
          <w:color w:val="auto"/>
          <w:highlight w:val="none"/>
        </w:rPr>
        <w:t>③</w:t>
      </w:r>
      <w:r>
        <w:rPr>
          <w:rFonts w:hint="eastAsia" w:ascii="Times New Roman" w:hAnsi="宋体" w:cs="Times New Roman"/>
          <w:b/>
          <w:color w:val="auto"/>
          <w:highlight w:val="none"/>
        </w:rPr>
        <w:t>非医疗器械产品</w:t>
      </w:r>
      <w:r>
        <w:rPr>
          <w:rFonts w:hint="eastAsia" w:ascii="Times New Roman" w:hAnsi="宋体" w:cs="Times New Roman"/>
          <w:b/>
          <w:color w:val="auto"/>
          <w:highlight w:val="none"/>
          <w:lang w:eastAsia="zh-CN"/>
        </w:rPr>
        <w:t>须</w:t>
      </w:r>
      <w:r>
        <w:rPr>
          <w:rFonts w:hint="eastAsia" w:ascii="Times New Roman" w:hAnsi="宋体" w:cs="Times New Roman"/>
          <w:b/>
          <w:color w:val="auto"/>
          <w:highlight w:val="none"/>
        </w:rPr>
        <w:t>提供</w:t>
      </w:r>
      <w:r>
        <w:rPr>
          <w:rFonts w:hint="eastAsia" w:ascii="Times New Roman" w:hAnsi="宋体" w:cs="Times New Roman"/>
          <w:b/>
          <w:color w:val="auto"/>
          <w:highlight w:val="none"/>
          <w:lang w:eastAsia="zh-CN"/>
        </w:rPr>
        <w:t>国家药监局网站发布的非医疗器械管理证明材料</w:t>
      </w:r>
      <w:r>
        <w:rPr>
          <w:rFonts w:hint="eastAsia" w:ascii="Times New Roman" w:hAnsi="宋体" w:cs="Times New Roman"/>
          <w:b/>
          <w:color w:val="auto"/>
          <w:highlight w:val="none"/>
        </w:rPr>
        <w:t>。（如国家另有规定，则适用其规定）</w:t>
      </w:r>
      <w:bookmarkEnd w:id="11"/>
    </w:p>
    <w:p w14:paraId="324ACC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rPr>
      </w:pPr>
      <w:r>
        <w:rPr>
          <w:rFonts w:hint="eastAsia" w:hAnsi="宋体"/>
          <w:b/>
          <w:color w:val="auto"/>
          <w:highlight w:val="none"/>
        </w:rPr>
        <w:t>★</w:t>
      </w:r>
      <w:r>
        <w:rPr>
          <w:rFonts w:hint="eastAsia" w:hAnsi="宋体"/>
          <w:b/>
          <w:color w:val="auto"/>
          <w:highlight w:val="none"/>
          <w:lang w:val="en-US" w:eastAsia="zh-CN"/>
        </w:rPr>
        <w:t>4.</w:t>
      </w:r>
      <w:r>
        <w:rPr>
          <w:rFonts w:hint="eastAsia" w:hAnsi="宋体"/>
          <w:b/>
          <w:color w:val="auto"/>
          <w:highlight w:val="none"/>
        </w:rPr>
        <w:t>所投设备生产日期距交货验收日不超过12个月，且设备制造日期不得早于本项目</w:t>
      </w:r>
      <w:r>
        <w:rPr>
          <w:rFonts w:hint="eastAsia" w:hAnsi="宋体"/>
          <w:b/>
          <w:color w:val="auto"/>
          <w:highlight w:val="none"/>
          <w:lang w:eastAsia="zh-CN"/>
        </w:rPr>
        <w:t>采购</w:t>
      </w:r>
      <w:r>
        <w:rPr>
          <w:rFonts w:hint="eastAsia" w:hAnsi="宋体"/>
          <w:b/>
          <w:color w:val="auto"/>
          <w:highlight w:val="none"/>
        </w:rPr>
        <w:t>公告发布之日</w:t>
      </w:r>
      <w:r>
        <w:rPr>
          <w:rFonts w:hint="eastAsia" w:ascii="宋体" w:hAnsi="宋体" w:eastAsia="宋体" w:cs="宋体"/>
          <w:b/>
          <w:color w:val="auto"/>
          <w:kern w:val="2"/>
          <w:sz w:val="21"/>
          <w:szCs w:val="24"/>
          <w:highlight w:val="none"/>
          <w:lang w:val="en-US" w:eastAsia="zh-CN" w:bidi="ar-SA"/>
        </w:rPr>
        <w:t>。</w:t>
      </w:r>
    </w:p>
    <w:bookmarkEnd w:id="6"/>
    <w:bookmarkEnd w:id="9"/>
    <w:p w14:paraId="74485DE1">
      <w:pPr>
        <w:tabs>
          <w:tab w:val="left" w:pos="720"/>
        </w:tabs>
        <w:spacing w:line="360" w:lineRule="auto"/>
        <w:rPr>
          <w:rFonts w:hint="eastAsia"/>
          <w:b/>
          <w:szCs w:val="21"/>
        </w:rPr>
      </w:pPr>
      <w:r>
        <w:rPr>
          <w:rFonts w:hint="eastAsia"/>
          <w:b/>
          <w:szCs w:val="21"/>
        </w:rPr>
        <w:t>二、设备技术参数及要求</w:t>
      </w:r>
    </w:p>
    <w:p w14:paraId="753156C1">
      <w:pPr>
        <w:tabs>
          <w:tab w:val="left" w:pos="720"/>
        </w:tabs>
        <w:spacing w:line="360" w:lineRule="auto"/>
        <w:ind w:firstLine="0" w:firstLineChars="0"/>
        <w:rPr>
          <w:rFonts w:hint="eastAsia" w:ascii="宋体" w:hAnsi="宋体" w:eastAsia="宋体" w:cs="Arial Unicode MS"/>
          <w:bCs/>
          <w:szCs w:val="21"/>
          <w:lang w:val="en-US" w:eastAsia="zh-CN"/>
        </w:rPr>
      </w:pPr>
      <w:r>
        <w:rPr>
          <w:rFonts w:hint="eastAsia" w:ascii="宋体" w:hAnsi="宋体" w:cs="Arial Unicode MS"/>
          <w:bCs/>
          <w:szCs w:val="21"/>
          <w:lang w:eastAsia="zh-CN"/>
        </w:rPr>
        <w:t>（</w:t>
      </w:r>
      <w:r>
        <w:rPr>
          <w:rFonts w:hint="eastAsia" w:ascii="宋体" w:hAnsi="宋体" w:cs="Arial Unicode MS"/>
          <w:bCs/>
          <w:szCs w:val="21"/>
          <w:lang w:val="en-US" w:eastAsia="zh-CN"/>
        </w:rPr>
        <w:t>一</w:t>
      </w:r>
      <w:r>
        <w:rPr>
          <w:rFonts w:hint="eastAsia" w:ascii="宋体" w:hAnsi="宋体" w:cs="Arial Unicode MS"/>
          <w:bCs/>
          <w:szCs w:val="21"/>
          <w:lang w:eastAsia="zh-CN"/>
        </w:rPr>
        <w:t>）</w:t>
      </w:r>
      <w:r>
        <w:rPr>
          <w:rFonts w:hint="eastAsia" w:ascii="宋体" w:hAnsi="宋体" w:cs="Arial Unicode MS"/>
          <w:bCs/>
          <w:szCs w:val="21"/>
          <w:lang w:val="en-US" w:eastAsia="zh-CN"/>
        </w:rPr>
        <w:t>主要技术参数（需提供证明材料并标注</w:t>
      </w:r>
      <w:bookmarkStart w:id="16" w:name="_GoBack"/>
      <w:bookmarkEnd w:id="16"/>
      <w:r>
        <w:rPr>
          <w:rFonts w:hint="eastAsia" w:ascii="宋体" w:hAnsi="宋体" w:cs="Arial Unicode MS"/>
          <w:bCs/>
          <w:szCs w:val="21"/>
          <w:lang w:val="en-US" w:eastAsia="zh-CN"/>
        </w:rPr>
        <w:t>）</w:t>
      </w:r>
    </w:p>
    <w:p w14:paraId="2AE9E241">
      <w:pPr>
        <w:widowControl/>
        <w:numPr>
          <w:ilvl w:val="-1"/>
          <w:numId w:val="0"/>
        </w:numPr>
        <w:tabs>
          <w:tab w:val="left" w:pos="720"/>
        </w:tabs>
        <w:spacing w:line="360" w:lineRule="auto"/>
        <w:ind w:left="0" w:leftChars="0" w:firstLine="0" w:firstLineChars="0"/>
        <w:rPr>
          <w:rFonts w:hint="eastAsia" w:ascii="Times New Roman" w:hAnsi="Times New Roman" w:eastAsia="宋体" w:cs="Times New Roman"/>
          <w:b/>
          <w:kern w:val="2"/>
          <w:sz w:val="21"/>
          <w:szCs w:val="21"/>
          <w:lang w:val="en-US" w:eastAsia="zh-CN" w:bidi="ar-SA"/>
        </w:rPr>
      </w:pPr>
      <w:r>
        <w:rPr>
          <w:rFonts w:hint="eastAsia" w:ascii="Times New Roman" w:hAnsi="Times New Roman" w:eastAsia="宋体" w:cs="Times New Roman"/>
          <w:b/>
          <w:kern w:val="2"/>
          <w:sz w:val="21"/>
          <w:szCs w:val="21"/>
          <w:lang w:val="en-US" w:eastAsia="zh-CN" w:bidi="ar-SA"/>
        </w:rPr>
        <w:t>核酸提取仪</w:t>
      </w:r>
    </w:p>
    <w:p w14:paraId="11B7D8C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w:t>
      </w:r>
      <w:r>
        <w:rPr>
          <w:rFonts w:hint="eastAsia" w:asciiTheme="minorEastAsia" w:hAnsiTheme="minorEastAsia" w:eastAsiaTheme="minorEastAsia" w:cstheme="minorEastAsia"/>
          <w:snapToGrid/>
          <w:kern w:val="2"/>
          <w:sz w:val="21"/>
          <w:szCs w:val="21"/>
          <w:lang w:val="en-US" w:eastAsia="zh-CN"/>
        </w:rPr>
        <w:t>处理体积：20~1000μl</w:t>
      </w:r>
    </w:p>
    <w:p w14:paraId="6C4A609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2、</w:t>
      </w:r>
      <w:r>
        <w:rPr>
          <w:rFonts w:hint="eastAsia" w:asciiTheme="minorEastAsia" w:hAnsiTheme="minorEastAsia" w:eastAsiaTheme="minorEastAsia" w:cstheme="minorEastAsia"/>
          <w:snapToGrid/>
          <w:kern w:val="2"/>
          <w:sz w:val="21"/>
          <w:szCs w:val="21"/>
          <w:lang w:val="en-US" w:eastAsia="zh-CN"/>
        </w:rPr>
        <w:t>样品通量：1-32</w:t>
      </w:r>
    </w:p>
    <w:p w14:paraId="61A327C0">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3、</w:t>
      </w:r>
      <w:r>
        <w:rPr>
          <w:rFonts w:hint="eastAsia" w:asciiTheme="minorEastAsia" w:hAnsiTheme="minorEastAsia" w:eastAsiaTheme="minorEastAsia" w:cstheme="minorEastAsia"/>
          <w:snapToGrid/>
          <w:kern w:val="2"/>
          <w:sz w:val="21"/>
          <w:szCs w:val="21"/>
          <w:lang w:val="en-US" w:eastAsia="zh-CN"/>
        </w:rPr>
        <w:t>磁珠回收效率：＞98%</w:t>
      </w:r>
    </w:p>
    <w:p w14:paraId="223BF65B">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4、</w:t>
      </w:r>
      <w:r>
        <w:rPr>
          <w:rFonts w:hint="eastAsia" w:asciiTheme="minorEastAsia" w:hAnsiTheme="minorEastAsia" w:eastAsiaTheme="minorEastAsia" w:cstheme="minorEastAsia"/>
          <w:snapToGrid/>
          <w:kern w:val="2"/>
          <w:sz w:val="21"/>
          <w:szCs w:val="21"/>
          <w:lang w:val="en-US" w:eastAsia="zh-CN"/>
        </w:rPr>
        <w:t>磁棒数量：≥32</w:t>
      </w:r>
    </w:p>
    <w:p w14:paraId="0AA53442">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5、</w:t>
      </w:r>
      <w:r>
        <w:rPr>
          <w:rFonts w:hint="eastAsia" w:asciiTheme="minorEastAsia" w:hAnsiTheme="minorEastAsia" w:eastAsiaTheme="minorEastAsia" w:cstheme="minorEastAsia"/>
          <w:snapToGrid/>
          <w:kern w:val="2"/>
          <w:sz w:val="21"/>
          <w:szCs w:val="21"/>
          <w:lang w:val="en-US" w:eastAsia="zh-CN"/>
        </w:rPr>
        <w:t>最大磁通量： ≥5000Gs</w:t>
      </w:r>
    </w:p>
    <w:p w14:paraId="3ACB175A">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default"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6、</w:t>
      </w:r>
      <w:r>
        <w:rPr>
          <w:rFonts w:hint="eastAsia" w:asciiTheme="minorEastAsia" w:hAnsiTheme="minorEastAsia" w:eastAsiaTheme="minorEastAsia" w:cstheme="minorEastAsia"/>
          <w:snapToGrid/>
          <w:kern w:val="2"/>
          <w:sz w:val="21"/>
          <w:szCs w:val="21"/>
          <w:lang w:val="en-US" w:eastAsia="zh-CN"/>
        </w:rPr>
        <w:t>样品处理时间：5min-60min</w:t>
      </w:r>
    </w:p>
    <w:p w14:paraId="553CA2CB">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7、</w:t>
      </w:r>
      <w:r>
        <w:rPr>
          <w:rFonts w:hint="eastAsia" w:asciiTheme="minorEastAsia" w:hAnsiTheme="minorEastAsia" w:eastAsiaTheme="minorEastAsia" w:cstheme="minorEastAsia"/>
          <w:snapToGrid/>
          <w:kern w:val="2"/>
          <w:sz w:val="21"/>
          <w:szCs w:val="21"/>
          <w:lang w:val="en-US" w:eastAsia="zh-CN"/>
        </w:rPr>
        <w:t>提纯孔间差(CV)：CV≤3%</w:t>
      </w:r>
    </w:p>
    <w:p w14:paraId="5B98BC78">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8、</w:t>
      </w:r>
      <w:r>
        <w:rPr>
          <w:rFonts w:hint="eastAsia" w:asciiTheme="minorEastAsia" w:hAnsiTheme="minorEastAsia" w:eastAsiaTheme="minorEastAsia" w:cstheme="minorEastAsia"/>
          <w:snapToGrid/>
          <w:kern w:val="2"/>
          <w:sz w:val="21"/>
          <w:szCs w:val="21"/>
          <w:lang w:val="en-US" w:eastAsia="zh-CN"/>
        </w:rPr>
        <w:t>加热温度：裂解列，室温-105℃；洗脱列，室温-105℃；可调步长：1℃</w:t>
      </w:r>
    </w:p>
    <w:p w14:paraId="038EC380">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9、</w:t>
      </w:r>
      <w:r>
        <w:rPr>
          <w:rFonts w:hint="eastAsia" w:asciiTheme="minorEastAsia" w:hAnsiTheme="minorEastAsia" w:eastAsiaTheme="minorEastAsia" w:cstheme="minorEastAsia"/>
          <w:snapToGrid/>
          <w:kern w:val="2"/>
          <w:sz w:val="21"/>
          <w:szCs w:val="21"/>
          <w:lang w:val="en-US" w:eastAsia="zh-CN"/>
        </w:rPr>
        <w:t xml:space="preserve">内置温度补偿功能，可调步长：1℃ </w:t>
      </w:r>
    </w:p>
    <w:p w14:paraId="7ECD3C94">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10、</w:t>
      </w:r>
      <w:r>
        <w:rPr>
          <w:rFonts w:hint="eastAsia" w:asciiTheme="minorEastAsia" w:hAnsiTheme="minorEastAsia" w:eastAsiaTheme="minorEastAsia" w:cstheme="minorEastAsia"/>
          <w:snapToGrid/>
          <w:kern w:val="2"/>
          <w:sz w:val="21"/>
          <w:szCs w:val="21"/>
          <w:lang w:val="en-US" w:eastAsia="zh-CN"/>
        </w:rPr>
        <w:t>内置提前预热功能，可调步长：1 秒</w:t>
      </w:r>
    </w:p>
    <w:p w14:paraId="0B488B15">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11、</w:t>
      </w:r>
      <w:r>
        <w:rPr>
          <w:rFonts w:hint="eastAsia" w:asciiTheme="minorEastAsia" w:hAnsiTheme="minorEastAsia" w:eastAsiaTheme="minorEastAsia" w:cstheme="minorEastAsia"/>
          <w:snapToGrid/>
          <w:kern w:val="2"/>
          <w:sz w:val="21"/>
          <w:szCs w:val="21"/>
          <w:lang w:val="en-US" w:eastAsia="zh-CN"/>
        </w:rPr>
        <w:t>操作界面：≥10寸宽视角电容触摸屏，1024*600 高分辨率，高灵敏度</w:t>
      </w:r>
    </w:p>
    <w:p w14:paraId="3DE26373">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12、</w:t>
      </w:r>
      <w:r>
        <w:rPr>
          <w:rFonts w:hint="eastAsia" w:asciiTheme="minorEastAsia" w:hAnsiTheme="minorEastAsia" w:eastAsiaTheme="minorEastAsia" w:cstheme="minorEastAsia"/>
          <w:snapToGrid/>
          <w:kern w:val="2"/>
          <w:sz w:val="21"/>
          <w:szCs w:val="21"/>
          <w:lang w:val="en-US" w:eastAsia="zh-CN"/>
        </w:rPr>
        <w:t>混合速度：≥3档可调</w:t>
      </w:r>
    </w:p>
    <w:p w14:paraId="6D69085E">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rPr>
        <w:t>▲</w:t>
      </w:r>
      <w:r>
        <w:rPr>
          <w:rFonts w:hint="eastAsia" w:asciiTheme="minorEastAsia" w:hAnsiTheme="minorEastAsia" w:eastAsiaTheme="minorEastAsia" w:cstheme="minorEastAsia"/>
          <w:snapToGrid/>
          <w:kern w:val="2"/>
          <w:sz w:val="21"/>
          <w:szCs w:val="21"/>
          <w:lang w:val="en-US" w:eastAsia="zh-CN" w:bidi="ar-SA"/>
        </w:rPr>
        <w:t>13、</w:t>
      </w:r>
      <w:r>
        <w:rPr>
          <w:rFonts w:hint="eastAsia" w:asciiTheme="minorEastAsia" w:hAnsiTheme="minorEastAsia" w:eastAsiaTheme="minorEastAsia" w:cstheme="minorEastAsia"/>
          <w:snapToGrid/>
          <w:kern w:val="2"/>
          <w:sz w:val="21"/>
          <w:szCs w:val="21"/>
          <w:lang w:val="en-US" w:eastAsia="zh-CN"/>
        </w:rPr>
        <w:t>震荡幅度：≥3档可调</w:t>
      </w:r>
    </w:p>
    <w:p w14:paraId="00FC073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14、</w:t>
      </w:r>
      <w:r>
        <w:rPr>
          <w:rFonts w:hint="eastAsia" w:asciiTheme="minorEastAsia" w:hAnsiTheme="minorEastAsia" w:eastAsiaTheme="minorEastAsia" w:cstheme="minorEastAsia"/>
          <w:snapToGrid/>
          <w:kern w:val="2"/>
          <w:sz w:val="21"/>
          <w:szCs w:val="21"/>
          <w:lang w:val="en-US" w:eastAsia="zh-CN"/>
        </w:rPr>
        <w:t>试剂种类：开放试剂平台，无需配套试剂，可兼容市场上绝大多数磁珠法核酸提取试剂</w:t>
      </w:r>
    </w:p>
    <w:p w14:paraId="446EF184">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15、</w:t>
      </w:r>
      <w:r>
        <w:rPr>
          <w:rFonts w:hint="eastAsia" w:asciiTheme="minorEastAsia" w:hAnsiTheme="minorEastAsia" w:eastAsiaTheme="minorEastAsia" w:cstheme="minorEastAsia"/>
          <w:snapToGrid/>
          <w:kern w:val="2"/>
          <w:sz w:val="21"/>
          <w:szCs w:val="21"/>
          <w:lang w:val="en-US" w:eastAsia="zh-CN"/>
        </w:rPr>
        <w:t>程序管理：可灵活新建、编辑、应用及删除相应程序</w:t>
      </w:r>
    </w:p>
    <w:p w14:paraId="01137E18">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16、</w:t>
      </w:r>
      <w:r>
        <w:rPr>
          <w:rFonts w:hint="eastAsia" w:asciiTheme="minorEastAsia" w:hAnsiTheme="minorEastAsia" w:eastAsiaTheme="minorEastAsia" w:cstheme="minorEastAsia"/>
          <w:snapToGrid/>
          <w:kern w:val="2"/>
          <w:sz w:val="21"/>
          <w:szCs w:val="21"/>
          <w:lang w:val="en-US" w:eastAsia="zh-CN"/>
        </w:rPr>
        <w:t>数据储存(内部程序)：可存储≥100 组程序</w:t>
      </w:r>
    </w:p>
    <w:p w14:paraId="4B02FC53">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17、</w:t>
      </w:r>
      <w:r>
        <w:rPr>
          <w:rFonts w:hint="eastAsia" w:asciiTheme="minorEastAsia" w:hAnsiTheme="minorEastAsia" w:eastAsiaTheme="minorEastAsia" w:cstheme="minorEastAsia"/>
          <w:snapToGrid/>
          <w:kern w:val="2"/>
          <w:sz w:val="21"/>
          <w:szCs w:val="21"/>
          <w:lang w:val="en-US" w:eastAsia="zh-CN"/>
        </w:rPr>
        <w:t>通风方式：高速风扇+特殊风道设计</w:t>
      </w:r>
    </w:p>
    <w:p w14:paraId="722A935F">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18、</w:t>
      </w:r>
      <w:r>
        <w:rPr>
          <w:rFonts w:hint="eastAsia" w:asciiTheme="minorEastAsia" w:hAnsiTheme="minorEastAsia" w:eastAsiaTheme="minorEastAsia" w:cstheme="minorEastAsia"/>
          <w:snapToGrid/>
          <w:kern w:val="2"/>
          <w:sz w:val="21"/>
          <w:szCs w:val="21"/>
          <w:lang w:val="en-US" w:eastAsia="zh-CN"/>
        </w:rPr>
        <w:t>污染控制：内置紫外消毒灯</w:t>
      </w:r>
    </w:p>
    <w:p w14:paraId="2D821ECC">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napToGrid/>
          <w:kern w:val="2"/>
          <w:sz w:val="21"/>
          <w:szCs w:val="21"/>
          <w:lang w:val="en-US" w:eastAsia="zh-CN"/>
        </w:rPr>
      </w:pPr>
      <w:r>
        <w:rPr>
          <w:rFonts w:hint="eastAsia" w:asciiTheme="minorEastAsia" w:hAnsiTheme="minorEastAsia" w:eastAsiaTheme="minorEastAsia" w:cstheme="minorEastAsia"/>
          <w:snapToGrid/>
          <w:kern w:val="2"/>
          <w:sz w:val="21"/>
          <w:szCs w:val="21"/>
          <w:lang w:val="en-US" w:eastAsia="zh-CN" w:bidi="ar-SA"/>
        </w:rPr>
        <w:t>19、</w:t>
      </w:r>
      <w:r>
        <w:rPr>
          <w:rFonts w:hint="eastAsia" w:asciiTheme="minorEastAsia" w:hAnsiTheme="minorEastAsia" w:eastAsiaTheme="minorEastAsia" w:cstheme="minorEastAsia"/>
          <w:snapToGrid/>
          <w:kern w:val="2"/>
          <w:sz w:val="21"/>
          <w:szCs w:val="21"/>
          <w:lang w:val="en-US" w:eastAsia="zh-CN"/>
        </w:rPr>
        <w:t>自动息屏/唤醒功能</w:t>
      </w:r>
    </w:p>
    <w:p w14:paraId="3888C3FD">
      <w:pPr>
        <w:keepNext w:val="0"/>
        <w:keepLines w:val="0"/>
        <w:pageBreakBefore w:val="0"/>
        <w:widowControl/>
        <w:numPr>
          <w:ilvl w:val="1"/>
          <w:numId w:val="0"/>
        </w:numPr>
        <w:kinsoku/>
        <w:wordWrap/>
        <w:overflowPunct/>
        <w:topLinePunct w:val="0"/>
        <w:autoSpaceDE/>
        <w:autoSpaceDN/>
        <w:bidi w:val="0"/>
        <w:adjustRightInd/>
        <w:snapToGrid/>
        <w:spacing w:line="400" w:lineRule="exact"/>
        <w:ind w:left="567" w:leftChars="0" w:hanging="567" w:firstLineChars="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20、</w:t>
      </w:r>
      <w:r>
        <w:rPr>
          <w:rFonts w:hint="eastAsia" w:asciiTheme="minorEastAsia" w:hAnsiTheme="minorEastAsia" w:eastAsiaTheme="minorEastAsia" w:cstheme="minorEastAsia"/>
          <w:snapToGrid/>
          <w:kern w:val="2"/>
          <w:sz w:val="21"/>
          <w:szCs w:val="21"/>
          <w:lang w:val="en-US" w:eastAsia="zh-CN"/>
        </w:rPr>
        <w:t>重量： ≤35kg</w:t>
      </w:r>
    </w:p>
    <w:p w14:paraId="220EA3A8">
      <w:pPr>
        <w:widowControl/>
        <w:numPr>
          <w:ilvl w:val="1"/>
          <w:numId w:val="0"/>
        </w:numPr>
        <w:spacing w:line="420" w:lineRule="exact"/>
        <w:rPr>
          <w:rFonts w:hint="eastAsia" w:ascii="宋体" w:hAnsi="宋体" w:cs="宋体"/>
          <w:color w:val="000000"/>
          <w:szCs w:val="21"/>
          <w:lang w:eastAsia="zh-CN"/>
        </w:rPr>
      </w:pPr>
    </w:p>
    <w:p w14:paraId="0465C091">
      <w:pPr>
        <w:widowControl/>
        <w:numPr>
          <w:ilvl w:val="-1"/>
          <w:numId w:val="0"/>
        </w:numPr>
        <w:tabs>
          <w:tab w:val="left" w:pos="720"/>
        </w:tabs>
        <w:spacing w:line="360" w:lineRule="auto"/>
        <w:rPr>
          <w:rFonts w:hint="eastAsia" w:ascii="Times New Roman" w:hAnsi="Times New Roman" w:eastAsia="宋体" w:cs="Times New Roman"/>
          <w:b/>
          <w:szCs w:val="21"/>
          <w:lang w:eastAsia="zh-CN"/>
        </w:rPr>
      </w:pPr>
    </w:p>
    <w:p w14:paraId="0D88520D">
      <w:pPr>
        <w:widowControl/>
        <w:numPr>
          <w:ilvl w:val="-1"/>
          <w:numId w:val="0"/>
        </w:numPr>
        <w:tabs>
          <w:tab w:val="left" w:pos="720"/>
        </w:tabs>
        <w:spacing w:line="360" w:lineRule="auto"/>
        <w:rPr>
          <w:rFonts w:hint="eastAsia" w:ascii="Times New Roman" w:hAnsi="Times New Roman" w:eastAsia="宋体" w:cs="Times New Roman"/>
          <w:b/>
          <w:szCs w:val="21"/>
          <w:lang w:val="en-US" w:eastAsia="zh-CN"/>
        </w:rPr>
      </w:pPr>
      <w:r>
        <w:rPr>
          <w:rFonts w:hint="eastAsia" w:ascii="Times New Roman" w:hAnsi="Times New Roman" w:eastAsia="宋体" w:cs="Times New Roman"/>
          <w:b/>
          <w:szCs w:val="21"/>
          <w:lang w:eastAsia="zh-CN"/>
        </w:rPr>
        <w:t>荧光定量</w:t>
      </w:r>
      <w:r>
        <w:rPr>
          <w:rFonts w:hint="eastAsia" w:ascii="Times New Roman" w:hAnsi="Times New Roman" w:eastAsia="宋体" w:cs="Times New Roman"/>
          <w:b/>
          <w:szCs w:val="21"/>
          <w:lang w:val="en-US" w:eastAsia="zh-CN"/>
        </w:rPr>
        <w:t>PCR仪</w:t>
      </w:r>
    </w:p>
    <w:p w14:paraId="679972B0">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1、</w:t>
      </w:r>
      <w:r>
        <w:rPr>
          <w:rFonts w:hint="eastAsia" w:asciiTheme="minorEastAsia" w:hAnsiTheme="minorEastAsia" w:eastAsiaTheme="minorEastAsia" w:cstheme="minorEastAsia"/>
          <w:b w:val="0"/>
          <w:bCs w:val="0"/>
          <w:sz w:val="21"/>
          <w:szCs w:val="21"/>
        </w:rPr>
        <w:t>激发光源</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LED光源</w:t>
      </w:r>
    </w:p>
    <w:p w14:paraId="5E25B418">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2、</w:t>
      </w:r>
      <w:r>
        <w:rPr>
          <w:rFonts w:hint="eastAsia" w:asciiTheme="minorEastAsia" w:hAnsiTheme="minorEastAsia" w:eastAsiaTheme="minorEastAsia" w:cstheme="minorEastAsia"/>
          <w:b w:val="0"/>
          <w:bCs w:val="0"/>
          <w:sz w:val="21"/>
          <w:szCs w:val="21"/>
        </w:rPr>
        <w:t>检测器</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高灵敏度光电传感器</w:t>
      </w:r>
    </w:p>
    <w:p w14:paraId="2C05EE51">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w:t>
      </w:r>
      <w:r>
        <w:rPr>
          <w:rFonts w:hint="eastAsia" w:asciiTheme="minorEastAsia" w:hAnsiTheme="minorEastAsia" w:eastAsiaTheme="minorEastAsia" w:cstheme="minorEastAsia"/>
          <w:b w:val="0"/>
          <w:bCs w:val="0"/>
          <w:sz w:val="21"/>
          <w:szCs w:val="21"/>
          <w:lang w:val="en-US" w:eastAsia="zh-CN"/>
        </w:rPr>
        <w:t>3、</w:t>
      </w:r>
      <w:r>
        <w:rPr>
          <w:rFonts w:hint="eastAsia" w:asciiTheme="minorEastAsia" w:hAnsiTheme="minorEastAsia" w:eastAsiaTheme="minorEastAsia" w:cstheme="minorEastAsia"/>
          <w:b w:val="0"/>
          <w:bCs w:val="0"/>
          <w:sz w:val="21"/>
          <w:szCs w:val="21"/>
        </w:rPr>
        <w:t>样本容量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96孔(48×2＊0.2ml,双反应模块)</w:t>
      </w:r>
    </w:p>
    <w:p w14:paraId="583C52F7">
      <w:pPr>
        <w:widowControl/>
        <w:numPr>
          <w:ilvl w:val="1"/>
          <w:numId w:val="0"/>
        </w:numPr>
        <w:snapToGrid/>
        <w:spacing w:line="400" w:lineRule="exact"/>
        <w:ind w:left="567" w:hanging="567" w:firstLineChars="0"/>
        <w:jc w:val="left"/>
        <w:rPr>
          <w:rFonts w:hint="eastAsia" w:asciiTheme="minorEastAsia" w:hAnsiTheme="minorEastAsia" w:eastAsiaTheme="minorEastAsia" w:cstheme="minorEastAsia"/>
          <w:b w:val="0"/>
          <w:bCs w:val="0"/>
          <w:sz w:val="21"/>
          <w:szCs w:val="21"/>
          <w:lang w:eastAsia="zh-CN"/>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4、</w:t>
      </w:r>
      <w:r>
        <w:rPr>
          <w:rFonts w:hint="eastAsia" w:asciiTheme="minorEastAsia" w:hAnsiTheme="minorEastAsia" w:eastAsiaTheme="minorEastAsia" w:cstheme="minorEastAsia"/>
          <w:b w:val="0"/>
          <w:bCs w:val="0"/>
          <w:sz w:val="21"/>
          <w:szCs w:val="21"/>
        </w:rPr>
        <w:t>荧光检测波长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470nm-665nm</w:t>
      </w:r>
      <w:r>
        <w:rPr>
          <w:rFonts w:hint="eastAsia" w:asciiTheme="minorEastAsia" w:hAnsiTheme="minorEastAsia" w:eastAsiaTheme="minorEastAsia" w:cstheme="minorEastAsia"/>
          <w:b w:val="0"/>
          <w:bCs w:val="0"/>
          <w:sz w:val="21"/>
          <w:szCs w:val="21"/>
          <w:lang w:eastAsia="zh-CN"/>
        </w:rPr>
        <w:t>，可分为多段波长段</w:t>
      </w:r>
    </w:p>
    <w:p w14:paraId="2AC96C8B">
      <w:pPr>
        <w:widowControl/>
        <w:numPr>
          <w:ilvl w:val="1"/>
          <w:numId w:val="0"/>
        </w:numPr>
        <w:spacing w:line="400" w:lineRule="exact"/>
        <w:ind w:left="567" w:leftChars="0"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5、</w:t>
      </w:r>
      <w:r>
        <w:rPr>
          <w:rFonts w:hint="eastAsia" w:asciiTheme="minorEastAsia" w:hAnsiTheme="minorEastAsia" w:eastAsiaTheme="minorEastAsia" w:cstheme="minorEastAsia"/>
          <w:b w:val="0"/>
          <w:bCs w:val="0"/>
          <w:sz w:val="21"/>
          <w:szCs w:val="21"/>
        </w:rPr>
        <w:t>可检测的荧光素及染料</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FAM,SYBR，VIC, HEX, Joe, TET，TMRA，CY3，ROX, Texas Red,CY5</w:t>
      </w:r>
    </w:p>
    <w:p w14:paraId="576E4E17">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b w:val="0"/>
          <w:bCs w:val="0"/>
          <w:sz w:val="21"/>
          <w:szCs w:val="21"/>
        </w:rPr>
        <w:t>激发、检测光的传输模式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每一反应孔独立的光纤传输</w:t>
      </w:r>
    </w:p>
    <w:p w14:paraId="252BA96C">
      <w:pPr>
        <w:widowControl/>
        <w:numPr>
          <w:ilvl w:val="1"/>
          <w:numId w:val="0"/>
        </w:numPr>
        <w:spacing w:line="400" w:lineRule="exact"/>
        <w:ind w:left="0" w:leftChars="0" w:firstLine="0"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7、</w:t>
      </w:r>
      <w:r>
        <w:rPr>
          <w:rFonts w:hint="eastAsia" w:asciiTheme="minorEastAsia" w:hAnsiTheme="minorEastAsia" w:eastAsiaTheme="minorEastAsia" w:cstheme="minorEastAsia"/>
          <w:b w:val="0"/>
          <w:bCs w:val="0"/>
          <w:sz w:val="21"/>
          <w:szCs w:val="21"/>
        </w:rPr>
        <w:t>软件应用模式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定量/定性、熔解曲线、多管多项目分析、相对定量、等位基因、HRM、SAT实时荧光等温扩增</w:t>
      </w:r>
    </w:p>
    <w:p w14:paraId="51F2BE67">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8、</w:t>
      </w:r>
      <w:r>
        <w:rPr>
          <w:rFonts w:hint="eastAsia" w:asciiTheme="minorEastAsia" w:hAnsiTheme="minorEastAsia" w:eastAsiaTheme="minorEastAsia" w:cstheme="minorEastAsia"/>
          <w:b w:val="0"/>
          <w:bCs w:val="0"/>
          <w:sz w:val="21"/>
          <w:szCs w:val="21"/>
        </w:rPr>
        <w:t>模块温度范围</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4℃-99℃</w:t>
      </w:r>
    </w:p>
    <w:p w14:paraId="1B4CA959">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vertAlign w:val="baseline"/>
        </w:rPr>
      </w:pPr>
      <w:r>
        <w:rPr>
          <w:rFonts w:hint="eastAsia" w:asciiTheme="minorEastAsia" w:hAnsiTheme="minorEastAsia" w:eastAsiaTheme="minorEastAsia" w:cstheme="minorEastAsia"/>
          <w:b w:val="0"/>
          <w:bCs w:val="0"/>
          <w:sz w:val="21"/>
          <w:szCs w:val="21"/>
          <w:lang w:val="en-US" w:eastAsia="zh-CN"/>
        </w:rPr>
        <w:t>9、</w:t>
      </w:r>
      <w:r>
        <w:rPr>
          <w:rFonts w:hint="eastAsia" w:asciiTheme="minorEastAsia" w:hAnsiTheme="minorEastAsia" w:eastAsiaTheme="minorEastAsia" w:cstheme="minorEastAsia"/>
          <w:b w:val="0"/>
          <w:bCs w:val="0"/>
          <w:sz w:val="21"/>
          <w:szCs w:val="21"/>
        </w:rPr>
        <w:t>检测动力学范围</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10</w:t>
      </w:r>
      <w:r>
        <w:rPr>
          <w:rFonts w:hint="eastAsia" w:asciiTheme="minorEastAsia" w:hAnsiTheme="minorEastAsia" w:eastAsiaTheme="minorEastAsia" w:cstheme="minorEastAsia"/>
          <w:b w:val="0"/>
          <w:bCs w:val="0"/>
          <w:sz w:val="21"/>
          <w:szCs w:val="21"/>
          <w:vertAlign w:val="baseline"/>
        </w:rPr>
        <w:t>0</w:t>
      </w:r>
      <w:r>
        <w:rPr>
          <w:rFonts w:hint="eastAsia" w:asciiTheme="minorEastAsia" w:hAnsiTheme="minorEastAsia" w:eastAsiaTheme="minorEastAsia" w:cstheme="minorEastAsia"/>
          <w:b w:val="0"/>
          <w:bCs w:val="0"/>
          <w:sz w:val="21"/>
          <w:szCs w:val="21"/>
          <w:vertAlign w:val="baseline"/>
        </w:rPr>
        <w:softHyphen/>
      </w:r>
      <w:r>
        <w:rPr>
          <w:rFonts w:hint="eastAsia" w:asciiTheme="minorEastAsia" w:hAnsiTheme="minorEastAsia" w:eastAsiaTheme="minorEastAsia" w:cstheme="minorEastAsia"/>
          <w:b w:val="0"/>
          <w:bCs w:val="0"/>
          <w:sz w:val="21"/>
          <w:szCs w:val="21"/>
        </w:rPr>
        <w:t>-10</w:t>
      </w:r>
      <w:r>
        <w:rPr>
          <w:rFonts w:hint="eastAsia" w:asciiTheme="minorEastAsia" w:hAnsiTheme="minorEastAsia" w:eastAsiaTheme="minorEastAsia" w:cstheme="minorEastAsia"/>
          <w:b w:val="0"/>
          <w:bCs w:val="0"/>
          <w:sz w:val="21"/>
          <w:szCs w:val="21"/>
          <w:vertAlign w:val="baseline"/>
        </w:rPr>
        <w:t>10</w:t>
      </w:r>
    </w:p>
    <w:p w14:paraId="095AB356">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10、</w:t>
      </w:r>
      <w:r>
        <w:rPr>
          <w:rFonts w:hint="eastAsia" w:asciiTheme="minorEastAsia" w:hAnsiTheme="minorEastAsia" w:eastAsiaTheme="minorEastAsia" w:cstheme="minorEastAsia"/>
          <w:b w:val="0"/>
          <w:bCs w:val="0"/>
          <w:sz w:val="21"/>
          <w:szCs w:val="21"/>
        </w:rPr>
        <w:t>最小检测模板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单个拷贝</w:t>
      </w:r>
    </w:p>
    <w:p w14:paraId="34D61F61">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11、</w:t>
      </w:r>
      <w:r>
        <w:rPr>
          <w:rFonts w:hint="eastAsia" w:asciiTheme="minorEastAsia" w:hAnsiTheme="minorEastAsia" w:eastAsiaTheme="minorEastAsia" w:cstheme="minorEastAsia"/>
          <w:b w:val="0"/>
          <w:bCs w:val="0"/>
          <w:sz w:val="21"/>
          <w:szCs w:val="21"/>
        </w:rPr>
        <w:t>反应容积</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15ul-100ul</w:t>
      </w:r>
    </w:p>
    <w:p w14:paraId="7353E8C0">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12、</w:t>
      </w:r>
      <w:r>
        <w:rPr>
          <w:rFonts w:hint="eastAsia" w:asciiTheme="minorEastAsia" w:hAnsiTheme="minorEastAsia" w:eastAsiaTheme="minorEastAsia" w:cstheme="minorEastAsia"/>
          <w:b w:val="0"/>
          <w:bCs w:val="0"/>
          <w:sz w:val="21"/>
          <w:szCs w:val="21"/>
        </w:rPr>
        <w:t>控温模式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半导体热电模块</w:t>
      </w:r>
    </w:p>
    <w:p w14:paraId="7A06C8D7">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13、</w:t>
      </w:r>
      <w:r>
        <w:rPr>
          <w:rFonts w:hint="eastAsia" w:asciiTheme="minorEastAsia" w:hAnsiTheme="minorEastAsia" w:eastAsiaTheme="minorEastAsia" w:cstheme="minorEastAsia"/>
          <w:b w:val="0"/>
          <w:bCs w:val="0"/>
          <w:sz w:val="21"/>
          <w:szCs w:val="21"/>
        </w:rPr>
        <w:t>升降温速率(MAX)</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4℃/S</w:t>
      </w:r>
    </w:p>
    <w:p w14:paraId="7024B6EE">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14、</w:t>
      </w:r>
      <w:r>
        <w:rPr>
          <w:rFonts w:hint="eastAsia" w:asciiTheme="minorEastAsia" w:hAnsiTheme="minorEastAsia" w:eastAsiaTheme="minorEastAsia" w:cstheme="minorEastAsia"/>
          <w:b w:val="0"/>
          <w:bCs w:val="0"/>
          <w:sz w:val="21"/>
          <w:szCs w:val="21"/>
        </w:rPr>
        <w:t>温控精度（HRM高分辨熔解曲线）</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±0.1℃</w:t>
      </w:r>
    </w:p>
    <w:p w14:paraId="300E3F1E">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15、</w:t>
      </w:r>
      <w:r>
        <w:rPr>
          <w:rFonts w:hint="eastAsia" w:asciiTheme="minorEastAsia" w:hAnsiTheme="minorEastAsia" w:eastAsiaTheme="minorEastAsia" w:cstheme="minorEastAsia"/>
          <w:b w:val="0"/>
          <w:bCs w:val="0"/>
          <w:sz w:val="21"/>
          <w:szCs w:val="21"/>
        </w:rPr>
        <w:t>样品间温度均匀性</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±0.1℃</w:t>
      </w:r>
    </w:p>
    <w:p w14:paraId="1CF89B7F">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16、</w:t>
      </w:r>
      <w:r>
        <w:rPr>
          <w:rFonts w:hint="eastAsia" w:asciiTheme="minorEastAsia" w:hAnsiTheme="minorEastAsia" w:eastAsiaTheme="minorEastAsia" w:cstheme="minorEastAsia"/>
          <w:b w:val="0"/>
          <w:bCs w:val="0"/>
          <w:sz w:val="21"/>
          <w:szCs w:val="21"/>
        </w:rPr>
        <w:t>重量</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18Kg</w:t>
      </w:r>
    </w:p>
    <w:p w14:paraId="64971109">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17、</w:t>
      </w:r>
      <w:r>
        <w:rPr>
          <w:rFonts w:hint="eastAsia" w:asciiTheme="minorEastAsia" w:hAnsiTheme="minorEastAsia" w:eastAsiaTheme="minorEastAsia" w:cstheme="minorEastAsia"/>
          <w:b w:val="0"/>
          <w:bCs w:val="0"/>
          <w:sz w:val="21"/>
          <w:szCs w:val="21"/>
        </w:rPr>
        <w:t>断电保护</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有断电保护功能</w:t>
      </w:r>
    </w:p>
    <w:p w14:paraId="638B4ACE">
      <w:pPr>
        <w:widowControl/>
        <w:numPr>
          <w:ilvl w:val="1"/>
          <w:numId w:val="0"/>
        </w:numPr>
        <w:spacing w:line="400" w:lineRule="exact"/>
        <w:ind w:left="567" w:hanging="567" w:firstLineChars="0"/>
        <w:jc w:val="left"/>
        <w:rPr>
          <w:rFonts w:hint="eastAsia" w:asciiTheme="minorEastAsia" w:hAnsiTheme="minorEastAsia" w:eastAsiaTheme="minorEastAsia" w:cstheme="minorEastAsia"/>
          <w:b w:val="0"/>
          <w:bCs w:val="0"/>
          <w:sz w:val="21"/>
          <w:szCs w:val="21"/>
          <w:lang w:eastAsia="zh-CN"/>
        </w:rPr>
      </w:pPr>
      <w:r>
        <w:rPr>
          <w:rFonts w:hint="eastAsia" w:asciiTheme="minorEastAsia" w:hAnsiTheme="minorEastAsia" w:eastAsiaTheme="minorEastAsia" w:cstheme="minorEastAsia"/>
          <w:b w:val="0"/>
          <w:bCs w:val="0"/>
          <w:sz w:val="21"/>
          <w:szCs w:val="21"/>
          <w:lang w:val="en-US" w:eastAsia="zh-CN"/>
        </w:rPr>
        <w:t>18、</w:t>
      </w:r>
      <w:r>
        <w:rPr>
          <w:rFonts w:hint="eastAsia" w:asciiTheme="minorEastAsia" w:hAnsiTheme="minorEastAsia" w:eastAsiaTheme="minorEastAsia" w:cstheme="minorEastAsia"/>
          <w:b w:val="0"/>
          <w:bCs w:val="0"/>
          <w:sz w:val="21"/>
          <w:szCs w:val="21"/>
        </w:rPr>
        <w:t>操作系统</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Win 7</w:t>
      </w:r>
      <w:r>
        <w:rPr>
          <w:rFonts w:hint="eastAsia" w:asciiTheme="minorEastAsia" w:hAnsiTheme="minorEastAsia" w:eastAsiaTheme="minorEastAsia" w:cstheme="minorEastAsia"/>
          <w:b w:val="0"/>
          <w:bCs w:val="0"/>
          <w:sz w:val="21"/>
          <w:szCs w:val="21"/>
          <w:lang w:eastAsia="zh-CN"/>
        </w:rPr>
        <w:t>及以上版本</w:t>
      </w:r>
    </w:p>
    <w:p w14:paraId="0E37B549">
      <w:pPr>
        <w:widowControl/>
        <w:numPr>
          <w:ilvl w:val="1"/>
          <w:numId w:val="0"/>
        </w:numPr>
        <w:spacing w:line="400" w:lineRule="exact"/>
        <w:ind w:left="567" w:hanging="567"/>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val="0"/>
          <w:bCs w:val="0"/>
          <w:sz w:val="21"/>
          <w:szCs w:val="21"/>
          <w:lang w:val="en-US" w:eastAsia="zh-CN"/>
        </w:rPr>
        <w:t>19、</w:t>
      </w:r>
      <w:r>
        <w:rPr>
          <w:rFonts w:hint="eastAsia" w:asciiTheme="minorEastAsia" w:hAnsiTheme="minorEastAsia" w:eastAsiaTheme="minorEastAsia" w:cstheme="minorEastAsia"/>
          <w:b w:val="0"/>
          <w:bCs w:val="0"/>
          <w:sz w:val="21"/>
          <w:szCs w:val="21"/>
        </w:rPr>
        <w:t>热盖</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电子自动锁控热盖</w:t>
      </w:r>
    </w:p>
    <w:p w14:paraId="3E63C2B2">
      <w:pPr>
        <w:widowControl/>
        <w:numPr>
          <w:ilvl w:val="1"/>
          <w:numId w:val="0"/>
        </w:numPr>
        <w:spacing w:line="420" w:lineRule="exact"/>
        <w:rPr>
          <w:rFonts w:hint="default" w:asciiTheme="minorEastAsia" w:hAnsiTheme="minorEastAsia" w:eastAsiaTheme="minorEastAsia" w:cstheme="minorEastAsia"/>
          <w:kern w:val="2"/>
          <w:sz w:val="21"/>
          <w:szCs w:val="21"/>
          <w:lang w:val="en-US" w:eastAsia="zh-CN" w:bidi="ar-SA"/>
        </w:rPr>
      </w:pPr>
    </w:p>
    <w:p w14:paraId="2AAA8492">
      <w:pPr>
        <w:spacing w:line="360" w:lineRule="auto"/>
        <w:rPr>
          <w:rFonts w:hint="eastAsia" w:ascii="Arial" w:hAnsi="Arial" w:eastAsia="宋体" w:cs="Tahoma"/>
          <w:color w:val="000000"/>
          <w:kern w:val="28"/>
          <w:sz w:val="21"/>
          <w:szCs w:val="21"/>
          <w:highlight w:val="none"/>
          <w:lang w:val="en-US" w:eastAsia="zh-CN" w:bidi="ar-SA"/>
        </w:rPr>
      </w:pPr>
      <w:r>
        <w:rPr>
          <w:rFonts w:hint="eastAsia" w:ascii="Arial" w:hAnsi="Arial" w:eastAsia="宋体" w:cs="Tahoma"/>
          <w:color w:val="000000"/>
          <w:kern w:val="28"/>
          <w:sz w:val="21"/>
          <w:szCs w:val="21"/>
          <w:highlight w:val="none"/>
          <w:lang w:val="en-US" w:eastAsia="zh-CN" w:bidi="ar-SA"/>
        </w:rPr>
        <w:t>（二）</w:t>
      </w:r>
      <w:r>
        <w:rPr>
          <w:rFonts w:hint="eastAsia" w:ascii="Arial" w:hAnsi="Arial" w:cs="Tahoma"/>
          <w:color w:val="000000"/>
          <w:kern w:val="28"/>
          <w:sz w:val="21"/>
          <w:szCs w:val="21"/>
          <w:highlight w:val="none"/>
          <w:lang w:val="en-US" w:eastAsia="zh-CN" w:bidi="ar-SA"/>
        </w:rPr>
        <w:t>设备</w:t>
      </w:r>
      <w:r>
        <w:rPr>
          <w:rFonts w:hint="eastAsia" w:ascii="Arial" w:hAnsi="Arial" w:eastAsia="宋体" w:cs="Tahoma"/>
          <w:color w:val="000000"/>
          <w:kern w:val="28"/>
          <w:sz w:val="21"/>
          <w:szCs w:val="21"/>
          <w:highlight w:val="none"/>
          <w:lang w:val="en-US" w:eastAsia="zh-CN" w:bidi="ar-SA"/>
        </w:rPr>
        <w:t>配置要求</w:t>
      </w:r>
      <w:r>
        <w:rPr>
          <w:rFonts w:hint="eastAsia" w:ascii="Arial" w:hAnsi="Arial" w:cs="Tahoma"/>
          <w:color w:val="000000"/>
          <w:kern w:val="28"/>
          <w:sz w:val="21"/>
          <w:szCs w:val="21"/>
          <w:highlight w:val="none"/>
          <w:lang w:val="en-US" w:eastAsia="zh-CN" w:bidi="ar-SA"/>
        </w:rPr>
        <w:t>（单台）</w:t>
      </w:r>
    </w:p>
    <w:p w14:paraId="68EC76E5">
      <w:pPr>
        <w:spacing w:line="360" w:lineRule="auto"/>
        <w:rPr>
          <w:rFonts w:hint="eastAsia" w:ascii="Arial" w:hAnsi="Arial" w:eastAsia="宋体" w:cs="Tahoma"/>
          <w:color w:val="000000"/>
          <w:kern w:val="28"/>
          <w:sz w:val="21"/>
          <w:szCs w:val="21"/>
          <w:highlight w:val="none"/>
          <w:lang w:val="en-US" w:eastAsia="zh-CN" w:bidi="ar-SA"/>
        </w:rPr>
      </w:pPr>
      <w:r>
        <w:rPr>
          <w:rFonts w:hint="eastAsia" w:ascii="Times New Roman" w:hAnsi="Times New Roman" w:eastAsia="宋体" w:cs="Times New Roman"/>
          <w:b/>
          <w:kern w:val="2"/>
          <w:sz w:val="21"/>
          <w:szCs w:val="21"/>
          <w:lang w:val="en-US" w:eastAsia="zh-CN" w:bidi="ar-SA"/>
        </w:rPr>
        <w:t>核酸提取仪</w:t>
      </w:r>
    </w:p>
    <w:tbl>
      <w:tblPr>
        <w:tblStyle w:val="9"/>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8"/>
        <w:gridCol w:w="1111"/>
        <w:gridCol w:w="1605"/>
      </w:tblGrid>
      <w:tr w14:paraId="2FC2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298" w:type="dxa"/>
            <w:vAlign w:val="center"/>
          </w:tcPr>
          <w:p w14:paraId="1717A064">
            <w:pPr>
              <w:jc w:val="center"/>
              <w:rPr>
                <w:rFonts w:ascii="宋体" w:hAnsi="宋体" w:cs="宋体"/>
                <w:b/>
                <w:bCs/>
              </w:rPr>
            </w:pPr>
            <w:r>
              <w:rPr>
                <w:rFonts w:hint="eastAsia" w:ascii="宋体" w:hAnsi="宋体" w:cs="宋体"/>
                <w:b/>
                <w:bCs/>
              </w:rPr>
              <w:t>名称</w:t>
            </w:r>
          </w:p>
        </w:tc>
        <w:tc>
          <w:tcPr>
            <w:tcW w:w="1111" w:type="dxa"/>
            <w:vAlign w:val="center"/>
          </w:tcPr>
          <w:p w14:paraId="49F772EA">
            <w:pPr>
              <w:jc w:val="center"/>
              <w:rPr>
                <w:rFonts w:ascii="宋体" w:hAnsi="宋体" w:cs="宋体"/>
                <w:b/>
                <w:bCs/>
              </w:rPr>
            </w:pPr>
            <w:r>
              <w:rPr>
                <w:rFonts w:hint="eastAsia" w:ascii="宋体" w:hAnsi="宋体" w:cs="宋体"/>
                <w:b/>
                <w:bCs/>
              </w:rPr>
              <w:t>单位</w:t>
            </w:r>
          </w:p>
        </w:tc>
        <w:tc>
          <w:tcPr>
            <w:tcW w:w="1605" w:type="dxa"/>
            <w:vAlign w:val="center"/>
          </w:tcPr>
          <w:p w14:paraId="320849CF">
            <w:pPr>
              <w:jc w:val="center"/>
              <w:rPr>
                <w:rFonts w:ascii="宋体" w:hAnsi="宋体" w:cs="宋体"/>
                <w:b/>
                <w:bCs/>
              </w:rPr>
            </w:pPr>
            <w:r>
              <w:rPr>
                <w:rFonts w:hint="eastAsia" w:ascii="宋体" w:hAnsi="宋体" w:cs="宋体"/>
                <w:b/>
                <w:bCs/>
              </w:rPr>
              <w:t>数量</w:t>
            </w:r>
          </w:p>
        </w:tc>
      </w:tr>
      <w:tr w14:paraId="014A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E9F0C03">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Times New Roman" w:hAnsi="Times New Roman" w:eastAsia="宋体" w:cs="Times New Roman"/>
                <w:b/>
                <w:kern w:val="2"/>
                <w:sz w:val="21"/>
                <w:szCs w:val="21"/>
                <w:lang w:val="en-US" w:eastAsia="zh-CN" w:bidi="ar-SA"/>
              </w:rPr>
              <w:t>核</w:t>
            </w:r>
            <w:bookmarkStart w:id="12" w:name="OLE_LINK6"/>
            <w:r>
              <w:rPr>
                <w:rFonts w:hint="eastAsia" w:ascii="Times New Roman" w:hAnsi="Times New Roman" w:eastAsia="宋体" w:cs="Times New Roman"/>
                <w:b/>
                <w:kern w:val="2"/>
                <w:sz w:val="21"/>
                <w:szCs w:val="21"/>
                <w:lang w:val="en-US" w:eastAsia="zh-CN" w:bidi="ar-SA"/>
              </w:rPr>
              <w:t>酸提取仪</w:t>
            </w:r>
            <w:bookmarkEnd w:id="12"/>
          </w:p>
        </w:tc>
        <w:tc>
          <w:tcPr>
            <w:tcW w:w="1111" w:type="dxa"/>
          </w:tcPr>
          <w:p w14:paraId="3267D4C6">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kern w:val="0"/>
                <w:sz w:val="21"/>
                <w:szCs w:val="21"/>
                <w:lang w:eastAsia="zh-CN"/>
              </w:rPr>
              <w:t>台</w:t>
            </w:r>
          </w:p>
        </w:tc>
        <w:tc>
          <w:tcPr>
            <w:tcW w:w="1605" w:type="dxa"/>
            <w:vAlign w:val="center"/>
          </w:tcPr>
          <w:p w14:paraId="6D82DA50">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1</w:t>
            </w:r>
          </w:p>
        </w:tc>
      </w:tr>
      <w:tr w14:paraId="775E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037A322C">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val="en-US" w:eastAsia="zh-CN"/>
              </w:rPr>
              <w:t>数据处理工作站</w:t>
            </w:r>
          </w:p>
        </w:tc>
        <w:tc>
          <w:tcPr>
            <w:tcW w:w="1111" w:type="dxa"/>
            <w:vAlign w:val="center"/>
          </w:tcPr>
          <w:p w14:paraId="0C1D2350">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1E3D4F26">
            <w:pPr>
              <w:widowControl/>
              <w:ind w:left="15" w:hanging="14" w:hangingChars="7"/>
              <w:jc w:val="center"/>
              <w:rPr>
                <w:rFonts w:ascii="宋体" w:hAnsi="宋体" w:cs="宋体"/>
                <w:szCs w:val="21"/>
              </w:rPr>
            </w:pPr>
            <w:r>
              <w:rPr>
                <w:rFonts w:hint="eastAsia" w:ascii="宋体" w:hAnsi="宋体" w:cs="宋体"/>
                <w:szCs w:val="21"/>
              </w:rPr>
              <w:t>1</w:t>
            </w:r>
          </w:p>
        </w:tc>
      </w:tr>
      <w:tr w14:paraId="5A70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EA39662">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eastAsia="zh-CN"/>
              </w:rPr>
              <w:t>使用说明书</w:t>
            </w:r>
          </w:p>
        </w:tc>
        <w:tc>
          <w:tcPr>
            <w:tcW w:w="1111" w:type="dxa"/>
          </w:tcPr>
          <w:p w14:paraId="719E52D1">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本</w:t>
            </w:r>
          </w:p>
        </w:tc>
        <w:tc>
          <w:tcPr>
            <w:tcW w:w="1605" w:type="dxa"/>
            <w:vAlign w:val="center"/>
          </w:tcPr>
          <w:p w14:paraId="3D6CA8A9">
            <w:pPr>
              <w:widowControl/>
              <w:ind w:left="15" w:hanging="14" w:hangingChars="7"/>
              <w:jc w:val="center"/>
              <w:rPr>
                <w:rFonts w:ascii="宋体" w:hAnsi="宋体" w:cs="宋体"/>
                <w:szCs w:val="21"/>
              </w:rPr>
            </w:pPr>
            <w:r>
              <w:rPr>
                <w:rFonts w:hint="eastAsia" w:ascii="宋体" w:hAnsi="宋体" w:cs="宋体"/>
                <w:szCs w:val="21"/>
              </w:rPr>
              <w:t>1</w:t>
            </w:r>
          </w:p>
        </w:tc>
      </w:tr>
      <w:tr w14:paraId="7291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7A3025EE">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合格证</w:t>
            </w:r>
          </w:p>
        </w:tc>
        <w:tc>
          <w:tcPr>
            <w:tcW w:w="1111" w:type="dxa"/>
          </w:tcPr>
          <w:p w14:paraId="5C4E144A">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张</w:t>
            </w:r>
          </w:p>
        </w:tc>
        <w:tc>
          <w:tcPr>
            <w:tcW w:w="1605" w:type="dxa"/>
            <w:vAlign w:val="center"/>
          </w:tcPr>
          <w:p w14:paraId="5CDAB2F5">
            <w:pPr>
              <w:widowControl/>
              <w:ind w:left="15" w:hanging="14" w:hangingChars="7"/>
              <w:jc w:val="center"/>
              <w:rPr>
                <w:rFonts w:ascii="宋体" w:hAnsi="宋体" w:cs="宋体"/>
                <w:szCs w:val="21"/>
              </w:rPr>
            </w:pPr>
            <w:r>
              <w:rPr>
                <w:rFonts w:hint="eastAsia" w:ascii="宋体" w:hAnsi="宋体" w:cs="宋体"/>
                <w:szCs w:val="21"/>
              </w:rPr>
              <w:t>1</w:t>
            </w:r>
          </w:p>
        </w:tc>
      </w:tr>
      <w:tr w14:paraId="4E75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57D6949B">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试机耗材</w:t>
            </w:r>
          </w:p>
        </w:tc>
        <w:tc>
          <w:tcPr>
            <w:tcW w:w="1111" w:type="dxa"/>
          </w:tcPr>
          <w:p w14:paraId="2FD2517D">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份</w:t>
            </w:r>
          </w:p>
        </w:tc>
        <w:tc>
          <w:tcPr>
            <w:tcW w:w="1605" w:type="dxa"/>
            <w:vAlign w:val="center"/>
          </w:tcPr>
          <w:p w14:paraId="6676156F">
            <w:pPr>
              <w:widowControl/>
              <w:ind w:left="15" w:hanging="14" w:hangingChars="7"/>
              <w:jc w:val="center"/>
              <w:rPr>
                <w:rFonts w:hint="eastAsia" w:ascii="宋体" w:hAnsi="宋体" w:eastAsia="宋体" w:cs="宋体"/>
                <w:szCs w:val="21"/>
                <w:lang w:eastAsia="zh-CN"/>
              </w:rPr>
            </w:pPr>
            <w:r>
              <w:rPr>
                <w:rFonts w:hint="eastAsia" w:ascii="宋体" w:hAnsi="宋体" w:cs="宋体"/>
                <w:szCs w:val="21"/>
                <w:lang w:val="en-US" w:eastAsia="zh-CN"/>
              </w:rPr>
              <w:t>2</w:t>
            </w:r>
          </w:p>
        </w:tc>
      </w:tr>
    </w:tbl>
    <w:p w14:paraId="4FBAEDA3">
      <w:pPr>
        <w:spacing w:line="360" w:lineRule="auto"/>
        <w:rPr>
          <w:rFonts w:hint="eastAsia" w:ascii="Times New Roman" w:hAnsi="Times New Roman" w:eastAsia="宋体" w:cs="Times New Roman"/>
          <w:b/>
          <w:kern w:val="2"/>
          <w:sz w:val="21"/>
          <w:szCs w:val="21"/>
          <w:lang w:val="en-US" w:eastAsia="zh-CN" w:bidi="ar-SA"/>
        </w:rPr>
      </w:pPr>
    </w:p>
    <w:p w14:paraId="2BDD0FFB">
      <w:pPr>
        <w:spacing w:line="360" w:lineRule="auto"/>
        <w:rPr>
          <w:rFonts w:hint="eastAsia" w:ascii="Times New Roman" w:hAnsi="Times New Roman" w:cs="Times New Roman"/>
          <w:b/>
          <w:kern w:val="2"/>
          <w:sz w:val="21"/>
          <w:szCs w:val="21"/>
          <w:lang w:val="en-US" w:eastAsia="zh-CN" w:bidi="ar-SA"/>
        </w:rPr>
      </w:pPr>
    </w:p>
    <w:p w14:paraId="7F990764">
      <w:pPr>
        <w:spacing w:line="360" w:lineRule="auto"/>
        <w:rPr>
          <w:rFonts w:hint="eastAsia" w:ascii="Times New Roman" w:hAnsi="Times New Roman" w:cs="Times New Roman"/>
          <w:b/>
          <w:kern w:val="2"/>
          <w:sz w:val="21"/>
          <w:szCs w:val="21"/>
          <w:lang w:val="en-US" w:eastAsia="zh-CN" w:bidi="ar-SA"/>
        </w:rPr>
      </w:pPr>
    </w:p>
    <w:p w14:paraId="26439929">
      <w:pPr>
        <w:spacing w:line="360" w:lineRule="auto"/>
        <w:rPr>
          <w:rFonts w:hint="eastAsia" w:ascii="Times New Roman" w:hAnsi="Times New Roman" w:cs="Times New Roman"/>
          <w:b/>
          <w:kern w:val="2"/>
          <w:sz w:val="21"/>
          <w:szCs w:val="21"/>
          <w:lang w:val="en-US" w:eastAsia="zh-CN" w:bidi="ar-SA"/>
        </w:rPr>
      </w:pPr>
    </w:p>
    <w:p w14:paraId="4328D4C4">
      <w:pPr>
        <w:spacing w:line="360" w:lineRule="auto"/>
        <w:rPr>
          <w:rFonts w:hint="eastAsia" w:ascii="Times New Roman" w:hAnsi="Times New Roman" w:eastAsia="宋体" w:cs="Times New Roman"/>
          <w:b/>
          <w:kern w:val="2"/>
          <w:sz w:val="21"/>
          <w:szCs w:val="21"/>
          <w:lang w:val="en-US" w:eastAsia="zh-CN" w:bidi="ar-SA"/>
        </w:rPr>
      </w:pPr>
      <w:r>
        <w:rPr>
          <w:rFonts w:hint="eastAsia" w:ascii="Times New Roman" w:hAnsi="Times New Roman" w:cs="Times New Roman"/>
          <w:b/>
          <w:kern w:val="2"/>
          <w:sz w:val="21"/>
          <w:szCs w:val="21"/>
          <w:lang w:val="en-US" w:eastAsia="zh-CN" w:bidi="ar-SA"/>
        </w:rPr>
        <w:t>荧光定量PCR仪</w:t>
      </w:r>
    </w:p>
    <w:tbl>
      <w:tblPr>
        <w:tblStyle w:val="9"/>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8"/>
        <w:gridCol w:w="1111"/>
        <w:gridCol w:w="1605"/>
      </w:tblGrid>
      <w:tr w14:paraId="5BE2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298" w:type="dxa"/>
            <w:vAlign w:val="center"/>
          </w:tcPr>
          <w:p w14:paraId="5420FF72">
            <w:pPr>
              <w:jc w:val="center"/>
              <w:rPr>
                <w:rFonts w:ascii="宋体" w:hAnsi="宋体" w:cs="宋体"/>
                <w:b/>
                <w:bCs/>
              </w:rPr>
            </w:pPr>
            <w:r>
              <w:rPr>
                <w:rFonts w:hint="eastAsia" w:ascii="宋体" w:hAnsi="宋体" w:cs="宋体"/>
                <w:b/>
                <w:bCs/>
              </w:rPr>
              <w:t>名称</w:t>
            </w:r>
          </w:p>
        </w:tc>
        <w:tc>
          <w:tcPr>
            <w:tcW w:w="1111" w:type="dxa"/>
            <w:vAlign w:val="center"/>
          </w:tcPr>
          <w:p w14:paraId="10B09818">
            <w:pPr>
              <w:jc w:val="center"/>
              <w:rPr>
                <w:rFonts w:ascii="宋体" w:hAnsi="宋体" w:cs="宋体"/>
                <w:b/>
                <w:bCs/>
              </w:rPr>
            </w:pPr>
            <w:r>
              <w:rPr>
                <w:rFonts w:hint="eastAsia" w:ascii="宋体" w:hAnsi="宋体" w:cs="宋体"/>
                <w:b/>
                <w:bCs/>
              </w:rPr>
              <w:t>单位</w:t>
            </w:r>
          </w:p>
        </w:tc>
        <w:tc>
          <w:tcPr>
            <w:tcW w:w="1605" w:type="dxa"/>
            <w:vAlign w:val="center"/>
          </w:tcPr>
          <w:p w14:paraId="0A729D35">
            <w:pPr>
              <w:jc w:val="center"/>
              <w:rPr>
                <w:rFonts w:ascii="宋体" w:hAnsi="宋体" w:cs="宋体"/>
                <w:b/>
                <w:bCs/>
              </w:rPr>
            </w:pPr>
            <w:r>
              <w:rPr>
                <w:rFonts w:hint="eastAsia" w:ascii="宋体" w:hAnsi="宋体" w:cs="宋体"/>
                <w:b/>
                <w:bCs/>
              </w:rPr>
              <w:t>数量</w:t>
            </w:r>
          </w:p>
        </w:tc>
      </w:tr>
      <w:tr w14:paraId="7DDF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08D62F99">
            <w:pPr>
              <w:pStyle w:val="15"/>
              <w:spacing w:line="360" w:lineRule="auto"/>
              <w:ind w:firstLine="0" w:firstLineChars="0"/>
              <w:jc w:val="center"/>
              <w:rPr>
                <w:rFonts w:hint="default" w:ascii="宋体" w:hAnsi="宋体" w:eastAsia="宋体" w:cs="宋体"/>
                <w:color w:val="000000"/>
                <w:kern w:val="0"/>
                <w:sz w:val="21"/>
                <w:szCs w:val="21"/>
                <w:lang w:val="en-US" w:eastAsia="zh-CN"/>
              </w:rPr>
            </w:pPr>
            <w:r>
              <w:rPr>
                <w:rFonts w:hint="eastAsia" w:ascii="Times New Roman" w:hAnsi="Times New Roman" w:cs="Times New Roman"/>
                <w:b/>
                <w:kern w:val="2"/>
                <w:sz w:val="21"/>
                <w:szCs w:val="21"/>
                <w:lang w:val="en-US" w:eastAsia="zh-CN" w:bidi="ar-SA"/>
              </w:rPr>
              <w:t>荧光定量PCR仪</w:t>
            </w:r>
          </w:p>
        </w:tc>
        <w:tc>
          <w:tcPr>
            <w:tcW w:w="1111" w:type="dxa"/>
          </w:tcPr>
          <w:p w14:paraId="72A5A445">
            <w:pPr>
              <w:pStyle w:val="15"/>
              <w:spacing w:line="360" w:lineRule="auto"/>
              <w:ind w:firstLine="0" w:firstLineChars="0"/>
              <w:jc w:val="center"/>
              <w:rPr>
                <w:rFonts w:hint="eastAsia" w:ascii="宋体" w:hAnsi="宋体" w:eastAsia="宋体" w:cs="宋体"/>
                <w:color w:val="000000"/>
                <w:kern w:val="0"/>
                <w:sz w:val="21"/>
                <w:szCs w:val="21"/>
                <w:lang w:eastAsia="zh-CN"/>
              </w:rPr>
            </w:pPr>
            <w:r>
              <w:rPr>
                <w:rFonts w:hint="eastAsia" w:ascii="宋体" w:hAnsi="宋体" w:cs="宋体"/>
                <w:kern w:val="0"/>
                <w:sz w:val="21"/>
                <w:szCs w:val="21"/>
                <w:lang w:eastAsia="zh-CN"/>
              </w:rPr>
              <w:t>台</w:t>
            </w:r>
          </w:p>
        </w:tc>
        <w:tc>
          <w:tcPr>
            <w:tcW w:w="1605" w:type="dxa"/>
            <w:vAlign w:val="center"/>
          </w:tcPr>
          <w:p w14:paraId="18B43B21">
            <w:pPr>
              <w:widowControl/>
              <w:ind w:left="15" w:hanging="14" w:hangingChars="7"/>
              <w:jc w:val="center"/>
              <w:rPr>
                <w:rFonts w:ascii="宋体" w:hAnsi="宋体" w:cs="宋体"/>
                <w:color w:val="000000"/>
                <w:kern w:val="0"/>
                <w:szCs w:val="21"/>
              </w:rPr>
            </w:pPr>
            <w:r>
              <w:rPr>
                <w:rFonts w:hint="eastAsia" w:ascii="宋体" w:hAnsi="宋体" w:cs="宋体"/>
                <w:color w:val="000000"/>
                <w:kern w:val="0"/>
                <w:szCs w:val="21"/>
              </w:rPr>
              <w:t>1</w:t>
            </w:r>
          </w:p>
        </w:tc>
      </w:tr>
      <w:tr w14:paraId="4251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3B8B4E20">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val="en-US" w:eastAsia="zh-CN"/>
              </w:rPr>
              <w:t>数据处理工作站</w:t>
            </w:r>
          </w:p>
        </w:tc>
        <w:tc>
          <w:tcPr>
            <w:tcW w:w="1111" w:type="dxa"/>
            <w:vAlign w:val="center"/>
          </w:tcPr>
          <w:p w14:paraId="307F1FBD">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套</w:t>
            </w:r>
          </w:p>
        </w:tc>
        <w:tc>
          <w:tcPr>
            <w:tcW w:w="1605" w:type="dxa"/>
            <w:vAlign w:val="center"/>
          </w:tcPr>
          <w:p w14:paraId="023F8F71">
            <w:pPr>
              <w:widowControl/>
              <w:ind w:left="15" w:hanging="14" w:hangingChars="7"/>
              <w:jc w:val="center"/>
              <w:rPr>
                <w:rFonts w:ascii="宋体" w:hAnsi="宋体" w:cs="宋体"/>
                <w:szCs w:val="21"/>
              </w:rPr>
            </w:pPr>
            <w:r>
              <w:rPr>
                <w:rFonts w:hint="eastAsia" w:ascii="宋体" w:hAnsi="宋体" w:cs="宋体"/>
                <w:szCs w:val="21"/>
              </w:rPr>
              <w:t>1</w:t>
            </w:r>
          </w:p>
        </w:tc>
      </w:tr>
      <w:tr w14:paraId="6483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13F17B1A">
            <w:pPr>
              <w:pStyle w:val="15"/>
              <w:spacing w:line="360" w:lineRule="auto"/>
              <w:ind w:firstLine="0" w:firstLineChars="0"/>
              <w:jc w:val="center"/>
              <w:rPr>
                <w:rFonts w:hint="eastAsia" w:ascii="Times New Roman" w:hAnsi="Times New Roman" w:eastAsia="宋体" w:cs="Times New Roman"/>
                <w:b/>
                <w:kern w:val="2"/>
                <w:sz w:val="21"/>
                <w:szCs w:val="21"/>
                <w:lang w:val="en-US" w:eastAsia="zh-CN"/>
              </w:rPr>
            </w:pPr>
            <w:r>
              <w:rPr>
                <w:rFonts w:hint="eastAsia" w:ascii="Times New Roman" w:hAnsi="Times New Roman" w:eastAsia="宋体" w:cs="Times New Roman"/>
                <w:b/>
                <w:sz w:val="21"/>
                <w:szCs w:val="21"/>
                <w:lang w:eastAsia="zh-CN"/>
              </w:rPr>
              <w:t>使用说明书</w:t>
            </w:r>
          </w:p>
        </w:tc>
        <w:tc>
          <w:tcPr>
            <w:tcW w:w="1111" w:type="dxa"/>
          </w:tcPr>
          <w:p w14:paraId="18F3AF38">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本</w:t>
            </w:r>
          </w:p>
        </w:tc>
        <w:tc>
          <w:tcPr>
            <w:tcW w:w="1605" w:type="dxa"/>
            <w:vAlign w:val="center"/>
          </w:tcPr>
          <w:p w14:paraId="13A1AB79">
            <w:pPr>
              <w:widowControl/>
              <w:ind w:left="15" w:hanging="14" w:hangingChars="7"/>
              <w:jc w:val="center"/>
              <w:rPr>
                <w:rFonts w:ascii="宋体" w:hAnsi="宋体" w:cs="宋体"/>
                <w:szCs w:val="21"/>
              </w:rPr>
            </w:pPr>
            <w:r>
              <w:rPr>
                <w:rFonts w:hint="eastAsia" w:ascii="宋体" w:hAnsi="宋体" w:cs="宋体"/>
                <w:szCs w:val="21"/>
              </w:rPr>
              <w:t>1</w:t>
            </w:r>
          </w:p>
        </w:tc>
      </w:tr>
      <w:tr w14:paraId="4BE1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40754A3F">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合格证</w:t>
            </w:r>
          </w:p>
        </w:tc>
        <w:tc>
          <w:tcPr>
            <w:tcW w:w="1111" w:type="dxa"/>
          </w:tcPr>
          <w:p w14:paraId="79FC4D43">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张</w:t>
            </w:r>
          </w:p>
        </w:tc>
        <w:tc>
          <w:tcPr>
            <w:tcW w:w="1605" w:type="dxa"/>
            <w:vAlign w:val="center"/>
          </w:tcPr>
          <w:p w14:paraId="6726DAC3">
            <w:pPr>
              <w:widowControl/>
              <w:ind w:left="15" w:hanging="14" w:hangingChars="7"/>
              <w:jc w:val="center"/>
              <w:rPr>
                <w:rFonts w:ascii="宋体" w:hAnsi="宋体" w:cs="宋体"/>
                <w:szCs w:val="21"/>
              </w:rPr>
            </w:pPr>
            <w:r>
              <w:rPr>
                <w:rFonts w:hint="eastAsia" w:ascii="宋体" w:hAnsi="宋体" w:cs="宋体"/>
                <w:szCs w:val="21"/>
              </w:rPr>
              <w:t>1</w:t>
            </w:r>
          </w:p>
        </w:tc>
      </w:tr>
      <w:tr w14:paraId="3CBE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98" w:type="dxa"/>
            <w:vAlign w:val="center"/>
          </w:tcPr>
          <w:p w14:paraId="3382E701">
            <w:pPr>
              <w:pStyle w:val="15"/>
              <w:spacing w:line="360" w:lineRule="auto"/>
              <w:ind w:firstLine="0" w:firstLineChars="0"/>
              <w:jc w:val="center"/>
              <w:rPr>
                <w:rFonts w:hint="eastAsia" w:ascii="Times New Roman" w:hAnsi="Times New Roman" w:eastAsia="宋体" w:cs="Times New Roman"/>
                <w:b/>
                <w:kern w:val="2"/>
                <w:sz w:val="21"/>
                <w:szCs w:val="21"/>
                <w:lang w:eastAsia="zh-CN"/>
              </w:rPr>
            </w:pPr>
            <w:r>
              <w:rPr>
                <w:rFonts w:hint="eastAsia" w:ascii="Times New Roman" w:hAnsi="Times New Roman" w:eastAsia="宋体" w:cs="Times New Roman"/>
                <w:b/>
                <w:sz w:val="21"/>
                <w:szCs w:val="21"/>
                <w:lang w:eastAsia="zh-CN"/>
              </w:rPr>
              <w:t>试机耗材</w:t>
            </w:r>
          </w:p>
        </w:tc>
        <w:tc>
          <w:tcPr>
            <w:tcW w:w="1111" w:type="dxa"/>
          </w:tcPr>
          <w:p w14:paraId="68C80697">
            <w:pPr>
              <w:pStyle w:val="15"/>
              <w:spacing w:line="360" w:lineRule="auto"/>
              <w:ind w:firstLine="0" w:firstLineChars="0"/>
              <w:jc w:val="center"/>
              <w:rPr>
                <w:rFonts w:hint="eastAsia" w:ascii="宋体" w:hAnsi="宋体" w:eastAsia="宋体" w:cs="宋体"/>
                <w:sz w:val="21"/>
                <w:szCs w:val="21"/>
                <w:lang w:eastAsia="zh-CN"/>
              </w:rPr>
            </w:pPr>
            <w:r>
              <w:rPr>
                <w:rFonts w:hint="eastAsia" w:ascii="宋体" w:hAnsi="宋体" w:cs="宋体"/>
                <w:kern w:val="0"/>
                <w:sz w:val="21"/>
                <w:szCs w:val="21"/>
                <w:lang w:eastAsia="zh-CN"/>
              </w:rPr>
              <w:t>份</w:t>
            </w:r>
          </w:p>
        </w:tc>
        <w:tc>
          <w:tcPr>
            <w:tcW w:w="1605" w:type="dxa"/>
            <w:vAlign w:val="center"/>
          </w:tcPr>
          <w:p w14:paraId="2E1A2829">
            <w:pPr>
              <w:widowControl/>
              <w:ind w:left="15" w:hanging="14" w:hangingChars="7"/>
              <w:jc w:val="center"/>
              <w:rPr>
                <w:rFonts w:hint="eastAsia" w:ascii="宋体" w:hAnsi="宋体" w:eastAsia="宋体" w:cs="宋体"/>
                <w:szCs w:val="21"/>
                <w:lang w:eastAsia="zh-CN"/>
              </w:rPr>
            </w:pPr>
            <w:r>
              <w:rPr>
                <w:rFonts w:hint="eastAsia" w:ascii="宋体" w:hAnsi="宋体" w:cs="宋体"/>
                <w:szCs w:val="21"/>
                <w:lang w:val="en-US" w:eastAsia="zh-CN"/>
              </w:rPr>
              <w:t>2</w:t>
            </w:r>
          </w:p>
        </w:tc>
      </w:tr>
    </w:tbl>
    <w:p w14:paraId="0953DDFC">
      <w:pPr>
        <w:rPr>
          <w:rFonts w:ascii="宋体" w:hAnsi="宋体" w:cs="Arial Unicode MS"/>
          <w:b/>
          <w:szCs w:val="21"/>
        </w:rPr>
      </w:pPr>
    </w:p>
    <w:p w14:paraId="337B49AC">
      <w:pPr>
        <w:rPr>
          <w:rFonts w:ascii="宋体" w:hAnsi="宋体" w:cs="Arial Unicode MS"/>
          <w:b/>
          <w:szCs w:val="21"/>
        </w:rPr>
      </w:pPr>
    </w:p>
    <w:p w14:paraId="6739F978">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四、</w:t>
      </w:r>
      <w:r>
        <w:rPr>
          <w:rFonts w:hint="eastAsia" w:ascii="Times New Roman" w:hAnsi="Times New Roman" w:eastAsia="宋体" w:cs="Times New Roman"/>
          <w:b/>
          <w:color w:val="000000"/>
          <w:sz w:val="28"/>
          <w:szCs w:val="36"/>
          <w:highlight w:val="none"/>
          <w:lang w:val="en-US" w:eastAsia="zh-CN"/>
        </w:rPr>
        <w:t>商务要求</w:t>
      </w:r>
    </w:p>
    <w:p w14:paraId="0FB6F67A">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9"/>
        <w:tblW w:w="839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1"/>
        <w:gridCol w:w="6734"/>
      </w:tblGrid>
      <w:tr w14:paraId="79985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1661" w:type="dxa"/>
            <w:vAlign w:val="center"/>
          </w:tcPr>
          <w:p w14:paraId="49CAA400">
            <w:pPr>
              <w:pStyle w:val="15"/>
              <w:spacing w:line="360" w:lineRule="auto"/>
              <w:jc w:val="both"/>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6734" w:type="dxa"/>
            <w:vAlign w:val="top"/>
          </w:tcPr>
          <w:p w14:paraId="35DA9148">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393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2E971347">
            <w:pPr>
              <w:pStyle w:val="15"/>
              <w:spacing w:line="360" w:lineRule="auto"/>
              <w:jc w:val="both"/>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6734" w:type="dxa"/>
            <w:vAlign w:val="top"/>
          </w:tcPr>
          <w:p w14:paraId="780866CC">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73FA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7DE3E625">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6734" w:type="dxa"/>
            <w:vAlign w:val="top"/>
          </w:tcPr>
          <w:p w14:paraId="4D03ED4B">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6700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1661" w:type="dxa"/>
            <w:vAlign w:val="center"/>
          </w:tcPr>
          <w:p w14:paraId="7D7C3A2A">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6734" w:type="dxa"/>
            <w:vAlign w:val="top"/>
          </w:tcPr>
          <w:p w14:paraId="2F7B5051">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31DCF4F6">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36E658DD">
            <w:pPr>
              <w:pStyle w:val="20"/>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388ADB26">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78E4E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661" w:type="dxa"/>
            <w:vAlign w:val="center"/>
          </w:tcPr>
          <w:p w14:paraId="45231348">
            <w:pPr>
              <w:pStyle w:val="15"/>
              <w:spacing w:line="360" w:lineRule="auto"/>
              <w:jc w:val="both"/>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6734" w:type="dxa"/>
            <w:vAlign w:val="top"/>
          </w:tcPr>
          <w:p w14:paraId="3F465FAA">
            <w:pPr>
              <w:pStyle w:val="15"/>
              <w:spacing w:line="360" w:lineRule="auto"/>
              <w:ind w:left="0" w:leftChars="0" w:firstLine="0" w:firstLineChars="0"/>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7D23D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661" w:type="dxa"/>
            <w:vAlign w:val="center"/>
          </w:tcPr>
          <w:p w14:paraId="10E05193">
            <w:pPr>
              <w:widowControl/>
              <w:numPr>
                <w:ilvl w:val="0"/>
                <w:numId w:val="0"/>
              </w:numPr>
              <w:tabs>
                <w:tab w:val="left" w:pos="636"/>
              </w:tabs>
              <w:autoSpaceDE w:val="0"/>
              <w:autoSpaceDN w:val="0"/>
              <w:spacing w:line="360" w:lineRule="auto"/>
              <w:jc w:val="left"/>
              <w:textAlignment w:val="bottom"/>
              <w:rPr>
                <w:rFonts w:hint="eastAsia" w:ascii="宋体" w:hAnsi="宋体" w:cs="宋体"/>
                <w:b w:val="0"/>
                <w:bCs w:val="0"/>
                <w:color w:val="000000"/>
                <w:kern w:val="2"/>
                <w:sz w:val="21"/>
                <w:szCs w:val="21"/>
                <w:highlight w:val="none"/>
              </w:rPr>
            </w:pPr>
            <w:r>
              <w:rPr>
                <w:rFonts w:hint="eastAsia" w:ascii="宋体" w:hAnsi="宋体" w:eastAsia="宋体" w:cs="宋体"/>
                <w:b w:val="0"/>
                <w:bCs w:val="0"/>
                <w:color w:val="auto"/>
                <w:sz w:val="21"/>
                <w:szCs w:val="21"/>
                <w:lang w:val="en-US" w:eastAsia="zh-CN"/>
              </w:rPr>
              <w:t>报价说明</w:t>
            </w:r>
          </w:p>
        </w:tc>
        <w:tc>
          <w:tcPr>
            <w:tcW w:w="6734" w:type="dxa"/>
            <w:vAlign w:val="top"/>
          </w:tcPr>
          <w:p w14:paraId="2F21215E">
            <w:pPr>
              <w:widowControl/>
              <w:numPr>
                <w:ilvl w:val="0"/>
                <w:numId w:val="0"/>
              </w:numPr>
              <w:tabs>
                <w:tab w:val="left" w:pos="636"/>
              </w:tabs>
              <w:autoSpaceDE w:val="0"/>
              <w:autoSpaceDN w:val="0"/>
              <w:spacing w:line="360" w:lineRule="auto"/>
              <w:jc w:val="left"/>
              <w:textAlignment w:val="bottom"/>
              <w:rPr>
                <w:rFonts w:hint="eastAsia" w:ascii="宋体" w:hAnsi="宋体" w:cs="宋体"/>
                <w:b w:val="0"/>
                <w:color w:val="auto"/>
                <w:szCs w:val="21"/>
                <w:lang w:val="en-US" w:eastAsia="zh-CN"/>
              </w:rPr>
            </w:pPr>
            <w:bookmarkStart w:id="13" w:name="OLE_LINK8"/>
            <w:bookmarkStart w:id="14" w:name="OLE_LINK2"/>
            <w:r>
              <w:rPr>
                <w:rFonts w:hint="eastAsia" w:ascii="宋体" w:hAnsi="宋体" w:cs="宋体"/>
                <w:b w:val="0"/>
                <w:color w:val="auto"/>
                <w:szCs w:val="21"/>
                <w:lang w:val="en-US" w:eastAsia="zh-CN"/>
              </w:rPr>
              <w:t>1.供应商应在《报价单》中需清晰列明主要标的的“设备名称、品牌、规格、型号、数量、单价及总价等。”</w:t>
            </w:r>
          </w:p>
          <w:p w14:paraId="319E0F34">
            <w:pPr>
              <w:widowControl/>
              <w:numPr>
                <w:ilvl w:val="0"/>
                <w:numId w:val="0"/>
              </w:numPr>
              <w:tabs>
                <w:tab w:val="left" w:pos="636"/>
              </w:tabs>
              <w:autoSpaceDE w:val="0"/>
              <w:autoSpaceDN w:val="0"/>
              <w:spacing w:line="360" w:lineRule="auto"/>
              <w:jc w:val="left"/>
              <w:textAlignment w:val="bottom"/>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宋体" w:hAnsi="宋体" w:eastAsia="宋体" w:cs="宋体"/>
                <w:color w:val="000000"/>
                <w:kern w:val="2"/>
                <w:sz w:val="21"/>
                <w:szCs w:val="21"/>
                <w:lang w:val="en-US" w:eastAsia="zh-CN" w:bidi="ar-SA"/>
              </w:rPr>
              <w:t>及合同实施过程中可预见和不可预见的一切费用，采购人不再额外支付任何费用</w:t>
            </w:r>
            <w:r>
              <w:rPr>
                <w:rFonts w:hint="eastAsia" w:ascii="宋体" w:hAnsi="宋体" w:cs="宋体"/>
                <w:color w:val="000000"/>
                <w:kern w:val="2"/>
                <w:sz w:val="21"/>
                <w:szCs w:val="21"/>
                <w:lang w:val="en-US" w:eastAsia="zh-CN" w:bidi="ar-SA"/>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val="0"/>
                <w:bCs w:val="0"/>
                <w:color w:val="auto"/>
                <w:sz w:val="21"/>
                <w:szCs w:val="21"/>
                <w:lang w:val="en-US" w:eastAsia="zh-CN"/>
              </w:rPr>
              <w:t>一次性</w:t>
            </w:r>
            <w:r>
              <w:rPr>
                <w:rFonts w:hint="eastAsia" w:ascii="宋体" w:hAnsi="宋体" w:eastAsia="宋体" w:cs="宋体"/>
                <w:b w:val="0"/>
                <w:bCs w:val="0"/>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3"/>
            <w:bookmarkEnd w:id="14"/>
          </w:p>
        </w:tc>
      </w:tr>
    </w:tbl>
    <w:p w14:paraId="026837C0">
      <w:pPr>
        <w:rPr>
          <w:highlight w:val="none"/>
          <w:lang w:eastAsia="zh-CN"/>
        </w:rPr>
      </w:pPr>
    </w:p>
    <w:p w14:paraId="0D639066">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0"/>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736"/>
      </w:tblGrid>
      <w:tr w14:paraId="1C5D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4" w:type="dxa"/>
            <w:vAlign w:val="center"/>
          </w:tcPr>
          <w:p w14:paraId="5CDD8455">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6736" w:type="dxa"/>
            <w:vAlign w:val="center"/>
          </w:tcPr>
          <w:p w14:paraId="2419E3D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6045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5F1E2704">
            <w:pPr>
              <w:tabs>
                <w:tab w:val="decimal" w:pos="315"/>
                <w:tab w:val="left" w:pos="630"/>
              </w:tabs>
              <w:spacing w:line="360" w:lineRule="auto"/>
              <w:jc w:val="center"/>
              <w:rPr>
                <w:rFonts w:hint="eastAsia" w:ascii="宋体" w:hAnsi="宋体" w:eastAsia="宋体" w:cs="宋体"/>
                <w:b/>
                <w:bCs/>
                <w:sz w:val="21"/>
                <w:szCs w:val="21"/>
              </w:rPr>
            </w:pPr>
          </w:p>
          <w:p w14:paraId="1C44B168">
            <w:pPr>
              <w:tabs>
                <w:tab w:val="decimal" w:pos="315"/>
                <w:tab w:val="left" w:pos="630"/>
              </w:tabs>
              <w:spacing w:line="360" w:lineRule="auto"/>
              <w:jc w:val="center"/>
              <w:rPr>
                <w:rFonts w:hint="eastAsia" w:ascii="宋体" w:hAnsi="宋体" w:eastAsia="宋体" w:cs="宋体"/>
                <w:b/>
                <w:bCs/>
                <w:sz w:val="21"/>
                <w:szCs w:val="21"/>
              </w:rPr>
            </w:pPr>
          </w:p>
          <w:p w14:paraId="4810A21A">
            <w:pPr>
              <w:tabs>
                <w:tab w:val="decimal" w:pos="315"/>
                <w:tab w:val="left" w:pos="630"/>
              </w:tabs>
              <w:spacing w:line="360" w:lineRule="auto"/>
              <w:jc w:val="center"/>
              <w:rPr>
                <w:rFonts w:hint="eastAsia" w:ascii="宋体" w:hAnsi="宋体" w:eastAsia="宋体" w:cs="宋体"/>
                <w:b/>
                <w:bCs/>
                <w:sz w:val="21"/>
                <w:szCs w:val="21"/>
              </w:rPr>
            </w:pPr>
          </w:p>
          <w:p w14:paraId="7BC243B1">
            <w:pPr>
              <w:tabs>
                <w:tab w:val="decimal" w:pos="315"/>
                <w:tab w:val="left" w:pos="630"/>
              </w:tabs>
              <w:spacing w:line="360" w:lineRule="auto"/>
              <w:jc w:val="center"/>
              <w:rPr>
                <w:rFonts w:hint="eastAsia" w:ascii="宋体" w:hAnsi="宋体" w:eastAsia="宋体" w:cs="宋体"/>
                <w:b/>
                <w:bCs/>
                <w:sz w:val="21"/>
                <w:szCs w:val="21"/>
              </w:rPr>
            </w:pPr>
          </w:p>
          <w:p w14:paraId="3B4B872F">
            <w:pPr>
              <w:tabs>
                <w:tab w:val="decimal" w:pos="315"/>
                <w:tab w:val="left" w:pos="630"/>
              </w:tabs>
              <w:spacing w:line="360" w:lineRule="auto"/>
              <w:jc w:val="center"/>
              <w:rPr>
                <w:rFonts w:hint="eastAsia" w:ascii="宋体" w:hAnsi="宋体" w:eastAsia="宋体" w:cs="宋体"/>
                <w:b/>
                <w:bCs/>
                <w:sz w:val="21"/>
                <w:szCs w:val="21"/>
              </w:rPr>
            </w:pPr>
          </w:p>
          <w:p w14:paraId="426CB15C">
            <w:pPr>
              <w:tabs>
                <w:tab w:val="decimal" w:pos="315"/>
                <w:tab w:val="left" w:pos="630"/>
              </w:tabs>
              <w:spacing w:line="360" w:lineRule="auto"/>
              <w:jc w:val="center"/>
              <w:rPr>
                <w:rFonts w:hint="eastAsia" w:ascii="宋体" w:hAnsi="宋体" w:eastAsia="宋体" w:cs="宋体"/>
                <w:b/>
                <w:bCs/>
                <w:sz w:val="21"/>
                <w:szCs w:val="21"/>
              </w:rPr>
            </w:pPr>
          </w:p>
          <w:p w14:paraId="2F5E3358">
            <w:pPr>
              <w:tabs>
                <w:tab w:val="decimal" w:pos="315"/>
                <w:tab w:val="left" w:pos="630"/>
              </w:tabs>
              <w:spacing w:line="360" w:lineRule="auto"/>
              <w:jc w:val="center"/>
              <w:rPr>
                <w:rFonts w:hint="eastAsia" w:ascii="宋体" w:hAnsi="宋体" w:eastAsia="宋体" w:cs="宋体"/>
                <w:b/>
                <w:bCs/>
                <w:sz w:val="21"/>
                <w:szCs w:val="21"/>
              </w:rPr>
            </w:pPr>
          </w:p>
          <w:p w14:paraId="3479C568">
            <w:pPr>
              <w:tabs>
                <w:tab w:val="decimal" w:pos="315"/>
                <w:tab w:val="left" w:pos="630"/>
              </w:tabs>
              <w:spacing w:line="360" w:lineRule="auto"/>
              <w:jc w:val="center"/>
              <w:rPr>
                <w:rFonts w:hint="eastAsia" w:ascii="宋体" w:hAnsi="宋体" w:eastAsia="宋体" w:cs="宋体"/>
                <w:b/>
                <w:bCs/>
                <w:sz w:val="21"/>
                <w:szCs w:val="21"/>
              </w:rPr>
            </w:pPr>
          </w:p>
          <w:p w14:paraId="693C87B2">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6736" w:type="dxa"/>
            <w:vAlign w:val="top"/>
          </w:tcPr>
          <w:p w14:paraId="05946F7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4DD467A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26002EC8">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0D48448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51CCC85C">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4803271F">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63C30C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58085F0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w:t>
            </w:r>
          </w:p>
          <w:p w14:paraId="3BD38BFC">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68B25350">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2E8A688F">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57823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4F24576B">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E8A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33EADCD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6736" w:type="dxa"/>
            <w:vAlign w:val="top"/>
          </w:tcPr>
          <w:p w14:paraId="01CF465B">
            <w:pPr>
              <w:tabs>
                <w:tab w:val="decimal" w:pos="315"/>
                <w:tab w:val="left" w:pos="630"/>
              </w:tabs>
              <w:spacing w:line="360" w:lineRule="auto"/>
              <w:rPr>
                <w:rFonts w:hint="default" w:ascii="宋体" w:hAnsi="宋体" w:eastAsia="宋体" w:cs="宋体"/>
                <w:b/>
                <w:bCs/>
                <w:sz w:val="21"/>
                <w:szCs w:val="21"/>
                <w:lang w:val="en-US" w:eastAsia="zh-CN"/>
              </w:rPr>
            </w:pPr>
            <w:r>
              <w:rPr>
                <w:rFonts w:hint="eastAsia" w:ascii="宋体" w:hAnsi="宋体"/>
                <w:b/>
                <w:bCs w:val="0"/>
                <w:szCs w:val="21"/>
                <w:highlight w:val="none"/>
              </w:rPr>
              <w:t>★</w:t>
            </w:r>
            <w:r>
              <w:rPr>
                <w:rFonts w:hint="eastAsia" w:ascii="宋体" w:hAnsi="宋体" w:cs="宋体"/>
                <w:b/>
                <w:bCs/>
                <w:sz w:val="21"/>
                <w:szCs w:val="21"/>
                <w:lang w:eastAsia="zh-CN"/>
              </w:rPr>
              <w:t>供应商</w:t>
            </w:r>
            <w:r>
              <w:rPr>
                <w:rFonts w:hint="eastAsia" w:ascii="宋体" w:hAnsi="宋体" w:eastAsia="宋体" w:cs="宋体"/>
                <w:b/>
                <w:bCs/>
                <w:sz w:val="21"/>
                <w:szCs w:val="21"/>
              </w:rPr>
              <w:t>需保证</w:t>
            </w:r>
            <w:r>
              <w:rPr>
                <w:rFonts w:hint="eastAsia" w:ascii="宋体" w:hAnsi="宋体" w:cs="宋体"/>
                <w:b/>
                <w:bCs/>
                <w:sz w:val="21"/>
                <w:szCs w:val="21"/>
                <w:lang w:eastAsia="zh-CN"/>
              </w:rPr>
              <w:t>医疗器械</w:t>
            </w:r>
            <w:r>
              <w:rPr>
                <w:rFonts w:hint="eastAsia" w:ascii="宋体" w:hAnsi="宋体" w:eastAsia="宋体" w:cs="宋体"/>
                <w:b/>
                <w:bCs/>
                <w:sz w:val="21"/>
                <w:szCs w:val="21"/>
              </w:rPr>
              <w:t>是全新、未曾使用过的，</w:t>
            </w:r>
            <w:r>
              <w:rPr>
                <w:rFonts w:hint="eastAsia" w:ascii="宋体" w:hAnsi="宋体" w:cs="宋体"/>
                <w:b/>
                <w:bCs/>
                <w:sz w:val="21"/>
                <w:szCs w:val="21"/>
                <w:lang w:eastAsia="zh-CN"/>
              </w:rPr>
              <w:t>医疗器械</w:t>
            </w:r>
            <w:r>
              <w:rPr>
                <w:rFonts w:hint="eastAsia" w:ascii="宋体" w:hAnsi="宋体" w:eastAsia="宋体" w:cs="宋体"/>
                <w:b/>
                <w:bCs/>
                <w:sz w:val="21"/>
                <w:szCs w:val="21"/>
              </w:rPr>
              <w:t>的质量、规格及技术特征符合国家相关标准、行业标准，且与</w:t>
            </w:r>
            <w:r>
              <w:rPr>
                <w:rFonts w:hint="eastAsia" w:ascii="宋体" w:hAnsi="宋体" w:eastAsia="宋体" w:cs="宋体"/>
                <w:b/>
                <w:bCs/>
                <w:sz w:val="21"/>
                <w:szCs w:val="21"/>
                <w:lang w:eastAsia="zh-CN"/>
              </w:rPr>
              <w:t>响应文件</w:t>
            </w:r>
            <w:r>
              <w:rPr>
                <w:rFonts w:hint="eastAsia" w:ascii="宋体" w:hAnsi="宋体" w:eastAsia="宋体" w:cs="宋体"/>
                <w:b/>
                <w:bCs/>
                <w:sz w:val="21"/>
                <w:szCs w:val="21"/>
              </w:rPr>
              <w:t>所提供的参数内容一致。</w:t>
            </w:r>
            <w:r>
              <w:rPr>
                <w:rFonts w:hint="eastAsia" w:ascii="宋体" w:hAnsi="宋体" w:eastAsia="宋体" w:cs="宋体"/>
                <w:b/>
                <w:bCs/>
                <w:sz w:val="21"/>
                <w:szCs w:val="21"/>
                <w:lang w:eastAsia="zh-CN"/>
              </w:rPr>
              <w:t>（提供承诺函并加盖供应商公章，格式见附件4）</w:t>
            </w:r>
          </w:p>
        </w:tc>
      </w:tr>
      <w:tr w14:paraId="52E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0ABC68F8">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6736" w:type="dxa"/>
            <w:vAlign w:val="top"/>
          </w:tcPr>
          <w:p w14:paraId="2966D2AA">
            <w:pPr>
              <w:tabs>
                <w:tab w:val="decimal" w:pos="315"/>
                <w:tab w:val="left" w:pos="630"/>
              </w:tabs>
              <w:spacing w:line="360" w:lineRule="auto"/>
              <w:rPr>
                <w:rFonts w:hint="eastAsia" w:ascii="宋体" w:hAnsi="宋体" w:eastAsia="宋体" w:cs="宋体"/>
                <w:sz w:val="21"/>
                <w:szCs w:val="21"/>
                <w:lang w:val="en-US" w:eastAsia="zh-CN"/>
              </w:rPr>
            </w:pPr>
            <w:bookmarkStart w:id="15" w:name="OLE_LINK1"/>
            <w:r>
              <w:rPr>
                <w:rFonts w:hint="eastAsia" w:ascii="宋体" w:hAnsi="宋体" w:cs="宋体"/>
                <w:color w:val="auto"/>
                <w:sz w:val="21"/>
                <w:szCs w:val="21"/>
                <w:highlight w:val="none"/>
                <w:lang w:eastAsia="zh-CN"/>
              </w:rPr>
              <w:t>医疗器械整机</w:t>
            </w:r>
            <w:r>
              <w:rPr>
                <w:rFonts w:hint="eastAsia" w:ascii="宋体" w:hAnsi="宋体" w:eastAsia="宋体" w:cs="宋体"/>
                <w:color w:val="auto"/>
                <w:sz w:val="21"/>
                <w:szCs w:val="21"/>
              </w:rPr>
              <w:t>保修期</w:t>
            </w:r>
            <w:bookmarkEnd w:id="15"/>
            <w:r>
              <w:rPr>
                <w:rFonts w:hint="eastAsia" w:ascii="宋体" w:hAnsi="宋体" w:cs="宋体"/>
                <w:color w:val="auto"/>
                <w:sz w:val="21"/>
                <w:szCs w:val="21"/>
                <w:lang w:eastAsia="zh-CN"/>
              </w:rPr>
              <w:t>不少于</w:t>
            </w:r>
            <w:r>
              <w:rPr>
                <w:rFonts w:hint="eastAsia" w:ascii="宋体" w:hAnsi="宋体" w:cs="宋体"/>
                <w:color w:val="auto"/>
                <w:sz w:val="21"/>
                <w:szCs w:val="21"/>
                <w:lang w:val="en-US" w:eastAsia="zh-CN"/>
              </w:rPr>
              <w:t>2年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验收合格之日起计算）。保质保用期内非采购人的人为原因而出现产品质量及问题，由</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负责包修、包换或包退，并承担因此而产生的一切费用。</w:t>
            </w:r>
          </w:p>
        </w:tc>
      </w:tr>
      <w:tr w14:paraId="4992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76843EF4">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6736" w:type="dxa"/>
            <w:vAlign w:val="top"/>
          </w:tcPr>
          <w:p w14:paraId="2D997CF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530E78F">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0ABCDB16">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15D936E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25EA306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8B4EC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547B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4" w:type="dxa"/>
            <w:vAlign w:val="top"/>
          </w:tcPr>
          <w:p w14:paraId="668BD44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6736" w:type="dxa"/>
            <w:vAlign w:val="top"/>
          </w:tcPr>
          <w:p w14:paraId="4204FA51">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4C3E5AD2">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4C72028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454B79F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CBE8982">
      <w:pPr>
        <w:spacing w:line="360" w:lineRule="auto"/>
        <w:ind w:firstLine="420" w:firstLineChars="200"/>
        <w:rPr>
          <w:rFonts w:hint="eastAsia" w:ascii="宋体" w:hAnsi="宋体" w:cs="Arial Unicode MS"/>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61607"/>
    <w:rsid w:val="00397670"/>
    <w:rsid w:val="004B2B5C"/>
    <w:rsid w:val="00714485"/>
    <w:rsid w:val="00A120AE"/>
    <w:rsid w:val="00AB2F1F"/>
    <w:rsid w:val="00AB7F7D"/>
    <w:rsid w:val="00BB379E"/>
    <w:rsid w:val="00BC190C"/>
    <w:rsid w:val="00DE2230"/>
    <w:rsid w:val="021655DE"/>
    <w:rsid w:val="062A745E"/>
    <w:rsid w:val="08796795"/>
    <w:rsid w:val="0B8B727C"/>
    <w:rsid w:val="0C1C796E"/>
    <w:rsid w:val="10A95DAD"/>
    <w:rsid w:val="123A55FF"/>
    <w:rsid w:val="12A759D4"/>
    <w:rsid w:val="12BC197C"/>
    <w:rsid w:val="13141052"/>
    <w:rsid w:val="13F7171B"/>
    <w:rsid w:val="155A1068"/>
    <w:rsid w:val="16432656"/>
    <w:rsid w:val="1C2F49F4"/>
    <w:rsid w:val="275A2578"/>
    <w:rsid w:val="285D6B3D"/>
    <w:rsid w:val="295D32C6"/>
    <w:rsid w:val="2B7F6601"/>
    <w:rsid w:val="33137201"/>
    <w:rsid w:val="35B86C47"/>
    <w:rsid w:val="363E7508"/>
    <w:rsid w:val="36DC4984"/>
    <w:rsid w:val="3BE065B5"/>
    <w:rsid w:val="41CB5C56"/>
    <w:rsid w:val="43225BD9"/>
    <w:rsid w:val="44161607"/>
    <w:rsid w:val="477F1341"/>
    <w:rsid w:val="480F28D7"/>
    <w:rsid w:val="48A6534A"/>
    <w:rsid w:val="4A124BD2"/>
    <w:rsid w:val="4C276CFE"/>
    <w:rsid w:val="4F4F2BE5"/>
    <w:rsid w:val="4FE4614F"/>
    <w:rsid w:val="50BD7E7E"/>
    <w:rsid w:val="51C748A4"/>
    <w:rsid w:val="51D96226"/>
    <w:rsid w:val="572C0168"/>
    <w:rsid w:val="59CF52DE"/>
    <w:rsid w:val="5CD67CF9"/>
    <w:rsid w:val="5F0253ED"/>
    <w:rsid w:val="5FDE2114"/>
    <w:rsid w:val="63B523A0"/>
    <w:rsid w:val="64DA2E86"/>
    <w:rsid w:val="65305EE9"/>
    <w:rsid w:val="6CFE2890"/>
    <w:rsid w:val="70CD3D9D"/>
    <w:rsid w:val="70F429F4"/>
    <w:rsid w:val="71F16859"/>
    <w:rsid w:val="72D518DB"/>
    <w:rsid w:val="743326A2"/>
    <w:rsid w:val="74524E58"/>
    <w:rsid w:val="78D1526C"/>
    <w:rsid w:val="7C891CA3"/>
    <w:rsid w:val="7F6F30A2"/>
    <w:rsid w:val="7FCA46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ody Text"/>
    <w:basedOn w:val="1"/>
    <w:qFormat/>
    <w:uiPriority w:val="0"/>
    <w:pPr>
      <w:spacing w:after="120"/>
    </w:pPr>
  </w:style>
  <w:style w:type="paragraph" w:styleId="5">
    <w:name w:val="Balloon Text"/>
    <w:basedOn w:val="1"/>
    <w:link w:val="16"/>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rPr>
      <w:sz w:val="24"/>
    </w:rPr>
  </w:style>
  <w:style w:type="table" w:styleId="10">
    <w:name w:val="Table Grid"/>
    <w:basedOn w:val="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p12"/>
    <w:qFormat/>
    <w:uiPriority w:val="0"/>
  </w:style>
  <w:style w:type="paragraph" w:customStyle="1" w:styleId="14">
    <w:name w:val="表格文字"/>
    <w:basedOn w:val="1"/>
    <w:qFormat/>
    <w:uiPriority w:val="0"/>
    <w:pPr>
      <w:jc w:val="left"/>
    </w:pPr>
    <w:rPr>
      <w:bCs/>
      <w:spacing w:val="10"/>
      <w:kern w:val="0"/>
      <w:sz w:val="24"/>
      <w:szCs w:val="20"/>
    </w:rPr>
  </w:style>
  <w:style w:type="paragraph" w:customStyle="1" w:styleId="15">
    <w:name w:val="正文1"/>
    <w:basedOn w:val="1"/>
    <w:qFormat/>
    <w:uiPriority w:val="0"/>
    <w:pPr>
      <w:spacing w:beforeAutospacing="1" w:afterAutospacing="1" w:line="400" w:lineRule="exact"/>
      <w:ind w:firstLine="480" w:firstLineChars="200"/>
      <w:jc w:val="left"/>
    </w:pPr>
    <w:rPr>
      <w:rFonts w:ascii="Arial" w:hAnsi="Arial"/>
      <w:sz w:val="24"/>
    </w:rPr>
  </w:style>
  <w:style w:type="character" w:customStyle="1" w:styleId="16">
    <w:name w:val="批注框文本 Char"/>
    <w:basedOn w:val="11"/>
    <w:link w:val="5"/>
    <w:qFormat/>
    <w:uiPriority w:val="0"/>
    <w:rPr>
      <w:rFonts w:ascii="Times New Roman" w:hAnsi="Times New Roman" w:eastAsia="宋体" w:cs="Times New Roman"/>
      <w:kern w:val="2"/>
      <w:sz w:val="18"/>
      <w:szCs w:val="18"/>
    </w:rPr>
  </w:style>
  <w:style w:type="character" w:customStyle="1" w:styleId="17">
    <w:name w:val="页眉 Char"/>
    <w:basedOn w:val="11"/>
    <w:link w:val="7"/>
    <w:qFormat/>
    <w:uiPriority w:val="0"/>
    <w:rPr>
      <w:rFonts w:ascii="Times New Roman" w:hAnsi="Times New Roman" w:eastAsia="宋体" w:cs="Times New Roman"/>
      <w:kern w:val="2"/>
      <w:sz w:val="18"/>
      <w:szCs w:val="18"/>
    </w:rPr>
  </w:style>
  <w:style w:type="character" w:customStyle="1" w:styleId="18">
    <w:name w:val="页脚 Char"/>
    <w:basedOn w:val="11"/>
    <w:link w:val="6"/>
    <w:qFormat/>
    <w:uiPriority w:val="0"/>
    <w:rPr>
      <w:rFonts w:ascii="Times New Roman" w:hAnsi="Times New Roman" w:eastAsia="宋体" w:cs="Times New Roman"/>
      <w:kern w:val="2"/>
      <w:sz w:val="18"/>
      <w:szCs w:val="18"/>
    </w:rPr>
  </w:style>
  <w:style w:type="character" w:customStyle="1" w:styleId="19">
    <w:name w:val="批注文字 Char"/>
    <w:basedOn w:val="11"/>
    <w:link w:val="3"/>
    <w:qFormat/>
    <w:uiPriority w:val="0"/>
    <w:rPr>
      <w:rFonts w:ascii="Times New Roman" w:hAnsi="Times New Roman" w:eastAsia="宋体" w:cs="Times New Roman"/>
      <w:kern w:val="2"/>
      <w:sz w:val="21"/>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3955</Words>
  <Characters>4187</Characters>
  <Lines>21</Lines>
  <Paragraphs>6</Paragraphs>
  <TotalTime>20</TotalTime>
  <ScaleCrop>false</ScaleCrop>
  <LinksUpToDate>false</LinksUpToDate>
  <CharactersWithSpaces>4210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2026-06-04T01:47:00Z</dcterms:created>
  <dc:creator>李政威</dc:creator>
  <cp:lastModifiedBy>.</cp:lastModifiedBy>
  <dcterms:modified xsi:type="dcterms:W3CDTF">2026-07-31T07:07:21Z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F6932C7F0D7B4DEE8523AD03F865F7CC_13</vt:lpwstr>
  </property>
  <property fmtid="{D5CDD505-2E9C-101B-9397-08002B2CF9AE}" pid="4" name="KSOTemplateDocerSaveRecord">
    <vt:lpwstr>eyJoZGlkIjoiZDZhMmUyNGNkNjFmMDg5OTBkMGE5NzVmMzUyMDY2ZWUifQ==</vt:lpwstr>
  </property>
</Properties>
</file>