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BB73DB">
      <w:pPr>
        <w:spacing w:line="500" w:lineRule="exact"/>
        <w:ind w:firstLine="0" w:firstLineChars="0"/>
        <w:jc w:val="left"/>
        <w:outlineLvl w:val="9"/>
        <w:rPr>
          <w:rStyle w:val="11"/>
          <w:rFonts w:hint="eastAsia" w:ascii="Arial" w:hAnsi="Arial" w:eastAsia="宋体" w:cs="Tahoma"/>
          <w:b w:val="0"/>
          <w:bCs w:val="0"/>
          <w:color w:val="000000"/>
          <w:kern w:val="28"/>
          <w:sz w:val="21"/>
          <w:szCs w:val="21"/>
          <w:highlight w:val="none"/>
          <w:lang w:val="en-US" w:eastAsia="zh-CN"/>
        </w:rPr>
      </w:pPr>
      <w:bookmarkStart w:id="0" w:name="_Toc186000522"/>
      <w:bookmarkStart w:id="1" w:name="_Toc278613949"/>
      <w:bookmarkStart w:id="2" w:name="_Toc297213506"/>
      <w:bookmarkStart w:id="3" w:name="_Toc164247492"/>
      <w:bookmarkStart w:id="4" w:name="_Toc238563757"/>
      <w:bookmarkStart w:id="5" w:name="_Toc237151173"/>
      <w:r>
        <w:rPr>
          <w:rStyle w:val="11"/>
          <w:rFonts w:hint="eastAsia" w:ascii="Arial" w:hAnsi="Arial" w:cs="Tahoma"/>
          <w:b w:val="0"/>
          <w:bCs w:val="0"/>
          <w:color w:val="000000"/>
          <w:kern w:val="28"/>
          <w:sz w:val="21"/>
          <w:szCs w:val="21"/>
          <w:highlight w:val="none"/>
          <w:lang w:eastAsia="zh-CN"/>
        </w:rPr>
        <w:t>附件</w:t>
      </w:r>
      <w:r>
        <w:rPr>
          <w:rStyle w:val="11"/>
          <w:rFonts w:hint="eastAsia" w:ascii="Arial" w:hAnsi="Arial" w:cs="Tahoma"/>
          <w:b w:val="0"/>
          <w:bCs w:val="0"/>
          <w:color w:val="000000"/>
          <w:kern w:val="28"/>
          <w:sz w:val="21"/>
          <w:szCs w:val="21"/>
          <w:highlight w:val="none"/>
          <w:lang w:val="en-US" w:eastAsia="zh-CN"/>
        </w:rPr>
        <w:t>1：</w:t>
      </w:r>
    </w:p>
    <w:p w14:paraId="6551A475">
      <w:pPr>
        <w:spacing w:line="360" w:lineRule="auto"/>
        <w:jc w:val="center"/>
        <w:outlineLvl w:val="2"/>
        <w:rPr>
          <w:b/>
          <w:sz w:val="32"/>
          <w:szCs w:val="32"/>
        </w:rPr>
      </w:pPr>
      <w:r>
        <w:rPr>
          <w:rStyle w:val="13"/>
          <w:rFonts w:hint="eastAsia" w:ascii="宋体" w:hAnsi="宋体"/>
          <w:b/>
          <w:bCs/>
          <w:sz w:val="32"/>
          <w:szCs w:val="32"/>
        </w:rPr>
        <w:t>用户需求书</w:t>
      </w:r>
      <w:bookmarkEnd w:id="0"/>
      <w:bookmarkEnd w:id="1"/>
      <w:bookmarkEnd w:id="2"/>
      <w:bookmarkEnd w:id="3"/>
      <w:bookmarkEnd w:id="4"/>
      <w:bookmarkEnd w:id="5"/>
    </w:p>
    <w:p w14:paraId="2CE80343">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hint="eastAsia"/>
          <w:b/>
          <w:sz w:val="32"/>
          <w:szCs w:val="32"/>
        </w:rPr>
      </w:pPr>
      <w:bookmarkStart w:id="6" w:name="_Toc182836733"/>
      <w:r>
        <w:rPr>
          <w:rFonts w:hint="eastAsia"/>
          <w:b/>
          <w:sz w:val="32"/>
          <w:szCs w:val="32"/>
        </w:rPr>
        <w:t>总则</w:t>
      </w:r>
    </w:p>
    <w:p w14:paraId="403BFAFD">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Arial" w:hAnsi="Arial" w:eastAsia="宋体" w:cs="Tahoma"/>
          <w:color w:val="000000"/>
          <w:kern w:val="28"/>
          <w:sz w:val="21"/>
          <w:szCs w:val="21"/>
          <w:highlight w:val="none"/>
          <w:lang w:val="en-US" w:eastAsia="zh-CN" w:bidi="ar-SA"/>
        </w:rPr>
      </w:pPr>
      <w:r>
        <w:rPr>
          <w:rFonts w:hint="eastAsia" w:ascii="Arial" w:hAnsi="Arial" w:eastAsia="宋体" w:cs="Tahoma"/>
          <w:color w:val="000000"/>
          <w:kern w:val="28"/>
          <w:sz w:val="21"/>
          <w:szCs w:val="21"/>
          <w:highlight w:val="none"/>
          <w:lang w:val="en-US" w:eastAsia="zh-CN" w:bidi="ar-SA"/>
        </w:rPr>
        <w:t>1、成交供应商必须按国家、行业的标准及采购文件的要求对本项目提供相应的货物及服务。</w:t>
      </w:r>
    </w:p>
    <w:p w14:paraId="21891537">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Arial" w:hAnsi="Arial" w:eastAsia="宋体" w:cs="Tahoma"/>
          <w:color w:val="000000"/>
          <w:kern w:val="28"/>
          <w:sz w:val="21"/>
          <w:szCs w:val="21"/>
          <w:highlight w:val="none"/>
          <w:lang w:val="en-US" w:eastAsia="zh-CN" w:bidi="ar-SA"/>
        </w:rPr>
      </w:pPr>
      <w:r>
        <w:rPr>
          <w:rFonts w:hint="eastAsia" w:ascii="Arial" w:hAnsi="Arial" w:eastAsia="宋体" w:cs="Tahoma"/>
          <w:color w:val="000000"/>
          <w:kern w:val="28"/>
          <w:sz w:val="21"/>
          <w:szCs w:val="21"/>
          <w:highlight w:val="none"/>
          <w:lang w:val="en-US" w:eastAsia="zh-CN" w:bidi="ar-SA"/>
        </w:rPr>
        <w:t>2、《用户需求书》中凡有“★”标识的内容条款(如有)被视为实质性响应项目、指标；响应供应商必须对此做出回答并完全满足这些要求不可以出现任何负偏离，如果出现负偏离将被视为无效响应。凡有“▲”的内容（如有）为重点评审项目，供应商必须对该标识项目按照要求进行真实应答描述。</w:t>
      </w:r>
    </w:p>
    <w:p w14:paraId="68201321">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Arial" w:hAnsi="Arial" w:eastAsia="宋体" w:cs="Tahoma"/>
          <w:color w:val="000000"/>
          <w:kern w:val="28"/>
          <w:sz w:val="21"/>
          <w:szCs w:val="21"/>
          <w:highlight w:val="none"/>
          <w:lang w:val="en-US" w:eastAsia="zh-CN" w:bidi="ar-SA"/>
        </w:rPr>
      </w:pPr>
      <w:r>
        <w:rPr>
          <w:rFonts w:hint="eastAsia" w:ascii="Arial" w:hAnsi="Arial" w:eastAsia="宋体" w:cs="Tahoma"/>
          <w:color w:val="000000"/>
          <w:kern w:val="28"/>
          <w:sz w:val="21"/>
          <w:szCs w:val="21"/>
          <w:highlight w:val="none"/>
          <w:lang w:val="en-US" w:eastAsia="zh-CN" w:bidi="ar-SA"/>
        </w:rPr>
        <w:t>3、本项目由成交供应商负责采购文件对成交供应商要求的一切事宜及责任。响应报价中不得包含采购文件要求以外的内容，否则，在评审时不予核减；若响应报价有缺漏项的，缺漏项部分的价格视为已包含在响应报价中，成交后不作任何调整，采购人将不再支付任何费用。</w:t>
      </w:r>
    </w:p>
    <w:p w14:paraId="6FF52BE2">
      <w:pPr>
        <w:spacing w:line="360" w:lineRule="auto"/>
        <w:ind w:firstLine="420" w:firstLineChars="200"/>
        <w:rPr>
          <w:rFonts w:hint="eastAsia" w:ascii="Arial" w:hAnsi="Arial" w:eastAsia="宋体" w:cs="Tahoma"/>
          <w:color w:val="000000"/>
          <w:kern w:val="28"/>
          <w:sz w:val="21"/>
          <w:szCs w:val="21"/>
          <w:highlight w:val="none"/>
          <w:lang w:val="en-US" w:eastAsia="zh-CN" w:bidi="ar-SA"/>
        </w:rPr>
      </w:pPr>
      <w:r>
        <w:rPr>
          <w:rFonts w:hint="eastAsia" w:ascii="Arial" w:hAnsi="Arial" w:eastAsia="宋体" w:cs="Tahoma"/>
          <w:color w:val="000000"/>
          <w:kern w:val="28"/>
          <w:sz w:val="21"/>
          <w:szCs w:val="21"/>
          <w:highlight w:val="none"/>
          <w:lang w:val="en-US" w:eastAsia="zh-CN" w:bidi="ar-SA"/>
        </w:rPr>
        <w:t>4、本项目不允许提交备选方案，不允许联合体响应、转包或分包。</w:t>
      </w:r>
    </w:p>
    <w:p w14:paraId="63D0CE7D">
      <w:pPr>
        <w:spacing w:beforeLines="100" w:line="360" w:lineRule="auto"/>
        <w:rPr>
          <w:rFonts w:hint="eastAsia" w:ascii="Arial" w:hAnsi="Arial" w:eastAsia="宋体" w:cs="Tahoma"/>
          <w:color w:val="000000"/>
          <w:kern w:val="28"/>
          <w:sz w:val="21"/>
          <w:szCs w:val="21"/>
          <w:highlight w:val="none"/>
          <w:lang w:val="en-US" w:eastAsia="zh-CN" w:bidi="ar-SA"/>
        </w:rPr>
      </w:pPr>
      <w:r>
        <w:rPr>
          <w:rFonts w:hint="eastAsia"/>
          <w:b/>
          <w:szCs w:val="21"/>
        </w:rPr>
        <w:t>一、项目概况</w:t>
      </w:r>
    </w:p>
    <w:p w14:paraId="478AE6B7">
      <w:pPr>
        <w:spacing w:line="360" w:lineRule="auto"/>
        <w:jc w:val="left"/>
        <w:rPr>
          <w:rFonts w:hint="eastAsia" w:ascii="宋体" w:hAnsi="宋体"/>
          <w:b/>
          <w:bCs w:val="0"/>
          <w:lang w:val="en-US" w:eastAsia="zh-CN"/>
        </w:rPr>
      </w:pPr>
      <w:r>
        <w:rPr>
          <w:rFonts w:hint="eastAsia" w:ascii="宋体" w:hAnsi="宋体"/>
          <w:b/>
          <w:bCs w:val="0"/>
          <w:lang w:val="en-US" w:eastAsia="zh-CN"/>
        </w:rPr>
        <w:t>（一）项目名称：</w:t>
      </w:r>
      <w:bookmarkStart w:id="7" w:name="OLE_LINK5"/>
      <w:r>
        <w:rPr>
          <w:rFonts w:hint="eastAsia" w:ascii="宋体" w:hAnsi="宋体"/>
          <w:b/>
          <w:bCs w:val="0"/>
          <w:lang w:val="en-US" w:eastAsia="zh-CN"/>
        </w:rPr>
        <w:t>中山市黄圃人民医</w:t>
      </w:r>
      <w:r>
        <w:rPr>
          <w:rFonts w:hint="eastAsia" w:ascii="宋体" w:hAnsi="宋体" w:eastAsia="宋体" w:cs="Times New Roman"/>
          <w:b/>
          <w:bCs w:val="0"/>
          <w:lang w:val="en-US" w:eastAsia="zh-CN"/>
        </w:rPr>
        <w:t>院</w:t>
      </w:r>
      <w:bookmarkStart w:id="8" w:name="OLE_LINK3"/>
      <w:r>
        <w:rPr>
          <w:rFonts w:hint="eastAsia" w:ascii="宋体" w:hAnsi="宋体" w:cs="Times New Roman"/>
          <w:b/>
          <w:bCs w:val="0"/>
          <w:lang w:val="en-US" w:eastAsia="zh-CN"/>
        </w:rPr>
        <w:t>核酸提取仪和荧光</w:t>
      </w:r>
      <w:bookmarkStart w:id="16" w:name="_GoBack"/>
      <w:bookmarkEnd w:id="16"/>
      <w:r>
        <w:rPr>
          <w:rFonts w:hint="eastAsia" w:ascii="宋体" w:hAnsi="宋体" w:cs="Times New Roman"/>
          <w:b/>
          <w:bCs w:val="0"/>
          <w:lang w:val="en-US" w:eastAsia="zh-CN"/>
        </w:rPr>
        <w:t>定量PCR仪</w:t>
      </w:r>
      <w:bookmarkEnd w:id="8"/>
      <w:r>
        <w:rPr>
          <w:rFonts w:hint="eastAsia" w:ascii="宋体" w:hAnsi="宋体" w:eastAsia="宋体" w:cs="Times New Roman"/>
          <w:b/>
          <w:bCs w:val="0"/>
          <w:lang w:val="en-US" w:eastAsia="zh-CN"/>
        </w:rPr>
        <w:t>采购项</w:t>
      </w:r>
      <w:r>
        <w:rPr>
          <w:rFonts w:hint="eastAsia" w:ascii="宋体" w:hAnsi="宋体"/>
          <w:b/>
          <w:bCs w:val="0"/>
          <w:lang w:val="en-US" w:eastAsia="zh-CN"/>
        </w:rPr>
        <w:t>目</w:t>
      </w:r>
      <w:bookmarkEnd w:id="7"/>
    </w:p>
    <w:p w14:paraId="035E8836">
      <w:pPr>
        <w:spacing w:line="360" w:lineRule="auto"/>
        <w:jc w:val="left"/>
        <w:rPr>
          <w:rFonts w:hint="default" w:ascii="宋体" w:hAnsi="宋体" w:eastAsia="宋体"/>
          <w:b/>
          <w:bCs w:val="0"/>
          <w:lang w:val="en-US" w:eastAsia="zh-CN"/>
        </w:rPr>
      </w:pPr>
      <w:r>
        <w:rPr>
          <w:rFonts w:hint="eastAsia" w:ascii="宋体" w:hAnsi="宋体"/>
          <w:b/>
          <w:bCs w:val="0"/>
          <w:lang w:val="en-US" w:eastAsia="zh-CN"/>
        </w:rPr>
        <w:t>（二）项目编号：</w:t>
      </w:r>
      <w:r>
        <w:rPr>
          <w:rFonts w:hint="eastAsia" w:ascii="宋体" w:hAnsi="宋体" w:eastAsia="宋体" w:cs="Times New Roman"/>
          <w:b/>
          <w:i w:val="0"/>
          <w:iCs w:val="0"/>
          <w:caps w:val="0"/>
          <w:color w:val="auto"/>
          <w:spacing w:val="0"/>
          <w:sz w:val="21"/>
          <w:szCs w:val="24"/>
          <w:shd w:val="clear" w:fill="auto"/>
        </w:rPr>
        <w:t>PYCG-SB-202607-</w:t>
      </w:r>
      <w:r>
        <w:rPr>
          <w:rFonts w:hint="eastAsia" w:ascii="宋体" w:hAnsi="宋体" w:cs="Times New Roman"/>
          <w:b/>
          <w:i w:val="0"/>
          <w:iCs w:val="0"/>
          <w:caps w:val="0"/>
          <w:spacing w:val="0"/>
          <w:sz w:val="21"/>
          <w:szCs w:val="24"/>
          <w:shd w:val="clear"/>
          <w:lang w:val="en-US" w:eastAsia="zh-CN"/>
        </w:rPr>
        <w:t>17</w:t>
      </w:r>
    </w:p>
    <w:p w14:paraId="370DC9A8">
      <w:pPr>
        <w:spacing w:line="360" w:lineRule="auto"/>
        <w:jc w:val="left"/>
        <w:rPr>
          <w:rFonts w:hint="default" w:ascii="宋体" w:hAnsi="宋体"/>
          <w:b/>
          <w:bCs w:val="0"/>
          <w:lang w:val="en-US" w:eastAsia="zh-CN"/>
        </w:rPr>
      </w:pPr>
      <w:r>
        <w:rPr>
          <w:rFonts w:hint="eastAsia" w:ascii="宋体" w:hAnsi="宋体"/>
          <w:b/>
          <w:bCs w:val="0"/>
          <w:lang w:val="en-US" w:eastAsia="zh-CN"/>
        </w:rPr>
        <w:t>（三）项目要求及内容：</w:t>
      </w:r>
    </w:p>
    <w:p w14:paraId="2FF4F37D">
      <w:pPr>
        <w:spacing w:line="360" w:lineRule="auto"/>
        <w:rPr>
          <w:rFonts w:ascii="宋体" w:hAnsi="宋体" w:cs="宋体"/>
          <w:bCs/>
          <w:szCs w:val="21"/>
        </w:rPr>
      </w:pPr>
      <w:r>
        <w:rPr>
          <w:rFonts w:hint="eastAsia" w:ascii="宋体" w:hAnsi="宋体" w:cs="宋体"/>
          <w:b/>
          <w:bCs/>
          <w:szCs w:val="21"/>
        </w:rPr>
        <w:t>★</w:t>
      </w:r>
      <w:r>
        <w:rPr>
          <w:rFonts w:hint="eastAsia" w:ascii="宋体" w:hAnsi="宋体" w:cs="宋体"/>
          <w:b/>
          <w:szCs w:val="21"/>
        </w:rPr>
        <w:t>1、采购清单：（如</w:t>
      </w:r>
      <w:r>
        <w:rPr>
          <w:rFonts w:hint="eastAsia" w:ascii="宋体" w:hAnsi="宋体" w:cs="宋体"/>
          <w:b/>
          <w:szCs w:val="21"/>
          <w:lang w:val="en-US" w:eastAsia="zh-CN"/>
        </w:rPr>
        <w:t>供应商</w:t>
      </w:r>
      <w:r>
        <w:rPr>
          <w:rFonts w:hint="eastAsia" w:ascii="宋体" w:hAnsi="宋体" w:cs="宋体"/>
          <w:b/>
          <w:szCs w:val="21"/>
        </w:rPr>
        <w:t>报价超出以下规定的采购预算，将导致投标无效）</w:t>
      </w:r>
    </w:p>
    <w:tbl>
      <w:tblPr>
        <w:tblStyle w:val="9"/>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5"/>
        <w:gridCol w:w="2452"/>
        <w:gridCol w:w="1056"/>
        <w:gridCol w:w="2160"/>
        <w:gridCol w:w="2159"/>
      </w:tblGrid>
      <w:tr w14:paraId="25477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tblHeader/>
          <w:jc w:val="center"/>
        </w:trPr>
        <w:tc>
          <w:tcPr>
            <w:tcW w:w="695" w:type="dxa"/>
            <w:vAlign w:val="center"/>
          </w:tcPr>
          <w:p w14:paraId="4B5E31CE">
            <w:pPr>
              <w:spacing w:line="360" w:lineRule="auto"/>
              <w:jc w:val="center"/>
              <w:rPr>
                <w:rFonts w:ascii="宋体" w:hAnsi="宋体" w:cs="宋体"/>
                <w:b/>
                <w:bCs/>
                <w:color w:val="000000"/>
                <w:szCs w:val="21"/>
              </w:rPr>
            </w:pPr>
            <w:r>
              <w:rPr>
                <w:rFonts w:hint="eastAsia" w:ascii="宋体" w:hAnsi="宋体" w:cs="宋体"/>
                <w:b/>
                <w:bCs/>
                <w:color w:val="000000"/>
                <w:szCs w:val="21"/>
              </w:rPr>
              <w:t>序号</w:t>
            </w:r>
          </w:p>
        </w:tc>
        <w:tc>
          <w:tcPr>
            <w:tcW w:w="2452" w:type="dxa"/>
            <w:vAlign w:val="center"/>
          </w:tcPr>
          <w:p w14:paraId="4633636B">
            <w:pPr>
              <w:spacing w:line="360" w:lineRule="auto"/>
              <w:jc w:val="center"/>
              <w:rPr>
                <w:rFonts w:ascii="宋体" w:hAnsi="宋体" w:cs="宋体"/>
                <w:b/>
                <w:bCs/>
                <w:color w:val="000000"/>
                <w:szCs w:val="21"/>
              </w:rPr>
            </w:pPr>
            <w:r>
              <w:rPr>
                <w:rFonts w:hint="eastAsia" w:ascii="宋体" w:hAnsi="宋体" w:cs="宋体"/>
                <w:b/>
                <w:bCs/>
                <w:color w:val="000000"/>
                <w:szCs w:val="21"/>
              </w:rPr>
              <w:t>设备名称</w:t>
            </w:r>
          </w:p>
        </w:tc>
        <w:tc>
          <w:tcPr>
            <w:tcW w:w="1056" w:type="dxa"/>
            <w:vAlign w:val="center"/>
          </w:tcPr>
          <w:p w14:paraId="7ACDEC48">
            <w:pPr>
              <w:spacing w:line="360" w:lineRule="auto"/>
              <w:jc w:val="center"/>
              <w:rPr>
                <w:rFonts w:ascii="宋体" w:hAnsi="宋体" w:cs="宋体"/>
                <w:b/>
                <w:bCs/>
                <w:color w:val="000000"/>
                <w:szCs w:val="21"/>
              </w:rPr>
            </w:pPr>
            <w:r>
              <w:rPr>
                <w:rFonts w:hint="eastAsia" w:ascii="宋体" w:hAnsi="宋体" w:cs="宋体"/>
                <w:b/>
                <w:bCs/>
                <w:color w:val="000000"/>
                <w:szCs w:val="21"/>
              </w:rPr>
              <w:t>数量</w:t>
            </w:r>
          </w:p>
        </w:tc>
        <w:tc>
          <w:tcPr>
            <w:tcW w:w="2160" w:type="dxa"/>
            <w:vAlign w:val="center"/>
          </w:tcPr>
          <w:p w14:paraId="5C69291A">
            <w:pPr>
              <w:spacing w:line="360" w:lineRule="auto"/>
              <w:jc w:val="center"/>
              <w:rPr>
                <w:rFonts w:ascii="宋体" w:hAnsi="宋体" w:cs="宋体"/>
                <w:b/>
                <w:bCs/>
                <w:color w:val="000000"/>
                <w:szCs w:val="21"/>
              </w:rPr>
            </w:pPr>
            <w:r>
              <w:rPr>
                <w:rFonts w:hint="eastAsia" w:ascii="宋体" w:hAnsi="宋体" w:cs="宋体"/>
                <w:b/>
                <w:bCs/>
                <w:color w:val="000000"/>
                <w:szCs w:val="21"/>
              </w:rPr>
              <w:t>预算金额</w:t>
            </w:r>
            <w:r>
              <w:rPr>
                <w:rFonts w:hint="eastAsia" w:ascii="宋体" w:hAnsi="宋体" w:cs="宋体"/>
                <w:b/>
                <w:bCs/>
                <w:color w:val="000000"/>
                <w:szCs w:val="21"/>
                <w:lang w:eastAsia="zh-CN"/>
              </w:rPr>
              <w:t>单</w:t>
            </w:r>
            <w:r>
              <w:rPr>
                <w:rFonts w:hint="eastAsia" w:ascii="宋体" w:hAnsi="宋体" w:cs="宋体"/>
                <w:b/>
                <w:bCs/>
                <w:color w:val="000000"/>
                <w:szCs w:val="21"/>
              </w:rPr>
              <w:t>价（元）</w:t>
            </w:r>
          </w:p>
        </w:tc>
        <w:tc>
          <w:tcPr>
            <w:tcW w:w="2159" w:type="dxa"/>
            <w:vAlign w:val="center"/>
          </w:tcPr>
          <w:p w14:paraId="40AD016D">
            <w:pPr>
              <w:spacing w:line="360" w:lineRule="auto"/>
              <w:jc w:val="center"/>
              <w:rPr>
                <w:rFonts w:hint="eastAsia" w:ascii="宋体" w:hAnsi="宋体" w:cs="宋体"/>
                <w:b/>
                <w:bCs/>
                <w:color w:val="000000"/>
                <w:szCs w:val="21"/>
              </w:rPr>
            </w:pPr>
            <w:r>
              <w:rPr>
                <w:rFonts w:hint="eastAsia" w:ascii="宋体" w:hAnsi="宋体" w:cs="宋体"/>
                <w:b/>
                <w:bCs/>
                <w:color w:val="000000"/>
                <w:szCs w:val="21"/>
              </w:rPr>
              <w:t>预算金额总价（元）</w:t>
            </w:r>
          </w:p>
        </w:tc>
      </w:tr>
      <w:tr w14:paraId="04B27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exact"/>
          <w:jc w:val="center"/>
        </w:trPr>
        <w:tc>
          <w:tcPr>
            <w:tcW w:w="695" w:type="dxa"/>
            <w:vAlign w:val="center"/>
          </w:tcPr>
          <w:p w14:paraId="79C8DAD4">
            <w:pPr>
              <w:spacing w:line="360" w:lineRule="auto"/>
              <w:jc w:val="center"/>
              <w:rPr>
                <w:rFonts w:ascii="宋体" w:hAnsi="宋体" w:cs="宋体"/>
                <w:color w:val="000000"/>
                <w:szCs w:val="21"/>
              </w:rPr>
            </w:pPr>
            <w:r>
              <w:rPr>
                <w:rFonts w:hint="eastAsia" w:ascii="宋体" w:hAnsi="宋体" w:cs="宋体"/>
                <w:color w:val="000000"/>
                <w:szCs w:val="21"/>
              </w:rPr>
              <w:t>1</w:t>
            </w:r>
          </w:p>
        </w:tc>
        <w:tc>
          <w:tcPr>
            <w:tcW w:w="2452" w:type="dxa"/>
            <w:vAlign w:val="center"/>
          </w:tcPr>
          <w:p w14:paraId="715108B3">
            <w:pPr>
              <w:spacing w:line="360" w:lineRule="auto"/>
              <w:jc w:val="center"/>
              <w:rPr>
                <w:rFonts w:hint="eastAsia" w:ascii="宋体" w:hAnsi="宋体" w:eastAsia="宋体" w:cs="宋体"/>
                <w:color w:val="000000"/>
                <w:szCs w:val="21"/>
                <w:lang w:eastAsia="zh-CN"/>
              </w:rPr>
            </w:pPr>
            <w:r>
              <w:rPr>
                <w:rFonts w:hint="eastAsia" w:ascii="宋体" w:hAnsi="宋体" w:cs="宋体"/>
                <w:color w:val="000000"/>
                <w:szCs w:val="21"/>
                <w:lang w:eastAsia="zh-CN"/>
              </w:rPr>
              <w:t>核酸提取仪</w:t>
            </w:r>
          </w:p>
        </w:tc>
        <w:tc>
          <w:tcPr>
            <w:tcW w:w="1056" w:type="dxa"/>
            <w:vAlign w:val="center"/>
          </w:tcPr>
          <w:p w14:paraId="50A2FA77">
            <w:pPr>
              <w:spacing w:line="360" w:lineRule="auto"/>
              <w:jc w:val="center"/>
              <w:rPr>
                <w:rFonts w:ascii="宋体" w:hAnsi="宋体" w:cs="宋体"/>
                <w:color w:val="000000"/>
                <w:szCs w:val="21"/>
              </w:rPr>
            </w:pPr>
            <w:r>
              <w:rPr>
                <w:rFonts w:hint="eastAsia" w:ascii="宋体" w:hAnsi="宋体" w:cs="宋体"/>
                <w:color w:val="000000"/>
                <w:szCs w:val="21"/>
                <w:lang w:val="en-US" w:eastAsia="zh-CN"/>
              </w:rPr>
              <w:t>1</w:t>
            </w:r>
            <w:r>
              <w:rPr>
                <w:rFonts w:hint="eastAsia" w:ascii="宋体" w:hAnsi="宋体" w:cs="宋体"/>
                <w:color w:val="000000"/>
                <w:szCs w:val="21"/>
              </w:rPr>
              <w:t>台</w:t>
            </w:r>
          </w:p>
        </w:tc>
        <w:tc>
          <w:tcPr>
            <w:tcW w:w="2160" w:type="dxa"/>
            <w:vAlign w:val="center"/>
          </w:tcPr>
          <w:p w14:paraId="03EB2185">
            <w:pPr>
              <w:spacing w:line="360" w:lineRule="auto"/>
              <w:jc w:val="center"/>
              <w:rPr>
                <w:rFonts w:hint="default" w:ascii="宋体" w:hAnsi="宋体" w:eastAsia="宋体" w:cs="宋体"/>
                <w:color w:val="000000"/>
                <w:szCs w:val="21"/>
                <w:lang w:val="en-US" w:eastAsia="zh-CN"/>
              </w:rPr>
            </w:pPr>
            <w:r>
              <w:rPr>
                <w:rFonts w:hint="eastAsia" w:ascii="宋体" w:hAnsi="宋体" w:cs="宋体"/>
                <w:color w:val="000000"/>
                <w:szCs w:val="21"/>
              </w:rPr>
              <w:t>¥</w:t>
            </w:r>
            <w:r>
              <w:rPr>
                <w:rFonts w:hint="eastAsia" w:ascii="宋体" w:hAnsi="宋体" w:cs="宋体"/>
                <w:color w:val="000000"/>
                <w:szCs w:val="21"/>
                <w:lang w:val="en-US" w:eastAsia="zh-CN"/>
              </w:rPr>
              <w:t>8000</w:t>
            </w:r>
          </w:p>
        </w:tc>
        <w:tc>
          <w:tcPr>
            <w:tcW w:w="2159" w:type="dxa"/>
            <w:vMerge w:val="restart"/>
            <w:vAlign w:val="center"/>
          </w:tcPr>
          <w:p w14:paraId="520C22CE">
            <w:pPr>
              <w:spacing w:line="360" w:lineRule="auto"/>
              <w:jc w:val="center"/>
              <w:rPr>
                <w:rFonts w:hint="eastAsia" w:ascii="宋体" w:hAnsi="宋体" w:cs="宋体"/>
                <w:color w:val="000000"/>
                <w:szCs w:val="21"/>
              </w:rPr>
            </w:pPr>
            <w:r>
              <w:rPr>
                <w:rFonts w:hint="eastAsia" w:ascii="宋体" w:hAnsi="宋体" w:cs="宋体"/>
                <w:color w:val="000000"/>
                <w:szCs w:val="21"/>
              </w:rPr>
              <w:t>¥</w:t>
            </w:r>
            <w:r>
              <w:rPr>
                <w:rFonts w:hint="eastAsia" w:ascii="宋体" w:hAnsi="宋体" w:cs="宋体"/>
                <w:color w:val="000000"/>
                <w:szCs w:val="21"/>
                <w:lang w:val="en-US" w:eastAsia="zh-CN"/>
              </w:rPr>
              <w:t>186000</w:t>
            </w:r>
          </w:p>
        </w:tc>
      </w:tr>
      <w:tr w14:paraId="50CAB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exact"/>
          <w:jc w:val="center"/>
        </w:trPr>
        <w:tc>
          <w:tcPr>
            <w:tcW w:w="695" w:type="dxa"/>
            <w:vAlign w:val="center"/>
          </w:tcPr>
          <w:p w14:paraId="5CC3BAE0">
            <w:pPr>
              <w:spacing w:line="360" w:lineRule="auto"/>
              <w:jc w:val="center"/>
              <w:rPr>
                <w:rFonts w:hint="eastAsia" w:ascii="宋体" w:hAnsi="宋体" w:eastAsia="宋体" w:cs="宋体"/>
                <w:color w:val="000000"/>
                <w:szCs w:val="21"/>
                <w:lang w:val="en-US" w:eastAsia="zh-CN"/>
              </w:rPr>
            </w:pPr>
            <w:bookmarkStart w:id="9" w:name="OLE_LINK11"/>
            <w:r>
              <w:rPr>
                <w:rFonts w:hint="eastAsia" w:ascii="宋体" w:hAnsi="宋体" w:cs="宋体"/>
                <w:color w:val="000000"/>
                <w:szCs w:val="21"/>
                <w:lang w:val="en-US" w:eastAsia="zh-CN"/>
              </w:rPr>
              <w:t>2</w:t>
            </w:r>
          </w:p>
        </w:tc>
        <w:tc>
          <w:tcPr>
            <w:tcW w:w="2452" w:type="dxa"/>
            <w:vAlign w:val="center"/>
          </w:tcPr>
          <w:p w14:paraId="0F450576">
            <w:pPr>
              <w:spacing w:line="360" w:lineRule="auto"/>
              <w:jc w:val="center"/>
              <w:rPr>
                <w:rFonts w:hint="default" w:ascii="宋体" w:hAnsi="宋体" w:cs="宋体"/>
                <w:color w:val="000000"/>
                <w:szCs w:val="21"/>
                <w:lang w:val="en-US" w:eastAsia="zh-CN"/>
              </w:rPr>
            </w:pPr>
            <w:r>
              <w:rPr>
                <w:rFonts w:hint="eastAsia" w:ascii="宋体" w:hAnsi="宋体" w:cs="宋体"/>
                <w:color w:val="000000"/>
                <w:szCs w:val="21"/>
                <w:lang w:eastAsia="zh-CN"/>
              </w:rPr>
              <w:t>荧光定量</w:t>
            </w:r>
            <w:r>
              <w:rPr>
                <w:rFonts w:hint="eastAsia" w:ascii="宋体" w:hAnsi="宋体" w:cs="宋体"/>
                <w:color w:val="000000"/>
                <w:szCs w:val="21"/>
                <w:lang w:val="en-US" w:eastAsia="zh-CN"/>
              </w:rPr>
              <w:t>PCR仪</w:t>
            </w:r>
          </w:p>
        </w:tc>
        <w:tc>
          <w:tcPr>
            <w:tcW w:w="1056" w:type="dxa"/>
            <w:vAlign w:val="center"/>
          </w:tcPr>
          <w:p w14:paraId="3A4758C9">
            <w:pPr>
              <w:spacing w:line="360" w:lineRule="auto"/>
              <w:jc w:val="center"/>
              <w:rPr>
                <w:rFonts w:hint="default" w:ascii="宋体" w:hAnsi="宋体" w:cs="宋体"/>
                <w:color w:val="000000"/>
                <w:szCs w:val="21"/>
                <w:lang w:val="en-US" w:eastAsia="zh-CN"/>
              </w:rPr>
            </w:pPr>
            <w:r>
              <w:rPr>
                <w:rFonts w:hint="eastAsia" w:ascii="宋体" w:hAnsi="宋体" w:cs="宋体"/>
                <w:color w:val="000000"/>
                <w:szCs w:val="21"/>
                <w:lang w:val="en-US" w:eastAsia="zh-CN"/>
              </w:rPr>
              <w:t>1台</w:t>
            </w:r>
          </w:p>
        </w:tc>
        <w:tc>
          <w:tcPr>
            <w:tcW w:w="2160" w:type="dxa"/>
            <w:vAlign w:val="center"/>
          </w:tcPr>
          <w:p w14:paraId="47E3B0CE">
            <w:pPr>
              <w:spacing w:line="360" w:lineRule="auto"/>
              <w:jc w:val="center"/>
              <w:rPr>
                <w:rFonts w:hint="eastAsia" w:ascii="宋体" w:hAnsi="宋体" w:cs="宋体"/>
                <w:color w:val="000000"/>
                <w:szCs w:val="21"/>
              </w:rPr>
            </w:pPr>
            <w:bookmarkStart w:id="10" w:name="OLE_LINK7"/>
            <w:r>
              <w:rPr>
                <w:rFonts w:hint="eastAsia" w:ascii="宋体" w:hAnsi="宋体" w:cs="宋体"/>
                <w:color w:val="000000"/>
                <w:szCs w:val="21"/>
              </w:rPr>
              <w:t>¥</w:t>
            </w:r>
            <w:r>
              <w:rPr>
                <w:rFonts w:hint="eastAsia" w:ascii="宋体" w:hAnsi="宋体" w:cs="宋体"/>
                <w:color w:val="000000"/>
                <w:szCs w:val="21"/>
                <w:lang w:val="en-US" w:eastAsia="zh-CN"/>
              </w:rPr>
              <w:t>178000</w:t>
            </w:r>
            <w:bookmarkEnd w:id="10"/>
          </w:p>
        </w:tc>
        <w:tc>
          <w:tcPr>
            <w:tcW w:w="2159" w:type="dxa"/>
            <w:vMerge w:val="continue"/>
            <w:vAlign w:val="center"/>
          </w:tcPr>
          <w:p w14:paraId="50515A22">
            <w:pPr>
              <w:spacing w:line="360" w:lineRule="auto"/>
              <w:jc w:val="center"/>
              <w:rPr>
                <w:rFonts w:hint="eastAsia" w:ascii="宋体" w:hAnsi="宋体" w:cs="宋体"/>
                <w:color w:val="000000"/>
                <w:szCs w:val="21"/>
              </w:rPr>
            </w:pPr>
          </w:p>
        </w:tc>
      </w:tr>
    </w:tbl>
    <w:p w14:paraId="16C42C0A">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cs="宋体"/>
          <w:b/>
          <w:color w:val="auto"/>
          <w:lang w:val="en-US" w:eastAsia="zh-CN"/>
        </w:rPr>
      </w:pPr>
      <w:r>
        <w:rPr>
          <w:rFonts w:hint="eastAsia"/>
          <w:b/>
          <w:bCs/>
          <w:color w:val="auto"/>
        </w:rPr>
        <w:t>★</w:t>
      </w:r>
      <w:r>
        <w:rPr>
          <w:rFonts w:hint="eastAsia"/>
          <w:b/>
          <w:bCs/>
          <w:color w:val="auto"/>
          <w:lang w:val="en-US" w:eastAsia="zh-CN"/>
        </w:rPr>
        <w:t>2.</w:t>
      </w:r>
      <w:r>
        <w:rPr>
          <w:rFonts w:hint="eastAsia"/>
          <w:b/>
          <w:bCs/>
          <w:color w:val="auto"/>
        </w:rPr>
        <w:t>本项目未申请办理进口产品采购财政核准，依据《政府采购法》第十条及《政府采购进口产品管理办法》相关规定，本项目不接受进口产品参与投标（响应）。凡在中国境内生产、符合本国产品认定标准的产品，均可平等参与本项目，不受企业资本属性限制。供应商所投产品为进口产品的，视为无效响应。</w:t>
      </w:r>
    </w:p>
    <w:p w14:paraId="52EE914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b/>
          <w:lang w:val="en-US" w:eastAsia="zh-CN"/>
        </w:rPr>
      </w:pPr>
      <w:r>
        <w:rPr>
          <w:rFonts w:hint="eastAsia" w:hAnsi="宋体"/>
          <w:b/>
          <w:color w:val="auto"/>
          <w:highlight w:val="none"/>
        </w:rPr>
        <w:t>★</w:t>
      </w:r>
      <w:r>
        <w:rPr>
          <w:rFonts w:hint="eastAsia" w:hAnsi="宋体"/>
          <w:b/>
          <w:color w:val="auto"/>
          <w:highlight w:val="none"/>
          <w:lang w:val="en-US" w:eastAsia="zh-CN"/>
        </w:rPr>
        <w:t>3.</w:t>
      </w:r>
      <w:bookmarkStart w:id="11" w:name="OLE_LINK4"/>
      <w:r>
        <w:rPr>
          <w:rFonts w:hint="eastAsia" w:hAnsi="宋体"/>
          <w:b/>
          <w:color w:val="auto"/>
          <w:highlight w:val="none"/>
        </w:rPr>
        <w:t>①如所投产品属于第二类或者第三类医疗器械，则必须提供有效的医疗器械注册证明复印件。②如所投产品属于一类产品需提供备案信息表。</w:t>
      </w:r>
      <w:r>
        <w:rPr>
          <w:rFonts w:hint="eastAsia" w:ascii="Times New Roman" w:hAnsi="宋体" w:eastAsia="宋体" w:cs="Times New Roman"/>
          <w:b/>
          <w:color w:val="auto"/>
          <w:highlight w:val="none"/>
        </w:rPr>
        <w:t>③</w:t>
      </w:r>
      <w:r>
        <w:rPr>
          <w:rFonts w:hint="eastAsia" w:ascii="Times New Roman" w:hAnsi="宋体" w:cs="Times New Roman"/>
          <w:b/>
          <w:color w:val="auto"/>
          <w:highlight w:val="none"/>
        </w:rPr>
        <w:t>非医疗器械产品</w:t>
      </w:r>
      <w:r>
        <w:rPr>
          <w:rFonts w:hint="eastAsia" w:ascii="Times New Roman" w:hAnsi="宋体" w:cs="Times New Roman"/>
          <w:b/>
          <w:color w:val="auto"/>
          <w:highlight w:val="none"/>
          <w:lang w:eastAsia="zh-CN"/>
        </w:rPr>
        <w:t>须</w:t>
      </w:r>
      <w:r>
        <w:rPr>
          <w:rFonts w:hint="eastAsia" w:ascii="Times New Roman" w:hAnsi="宋体" w:cs="Times New Roman"/>
          <w:b/>
          <w:color w:val="auto"/>
          <w:highlight w:val="none"/>
        </w:rPr>
        <w:t>提供</w:t>
      </w:r>
      <w:r>
        <w:rPr>
          <w:rFonts w:hint="eastAsia" w:ascii="Times New Roman" w:hAnsi="宋体" w:cs="Times New Roman"/>
          <w:b/>
          <w:color w:val="auto"/>
          <w:highlight w:val="none"/>
          <w:lang w:eastAsia="zh-CN"/>
        </w:rPr>
        <w:t>国家药监局网站发布的非医疗器械管理证明材料</w:t>
      </w:r>
      <w:r>
        <w:rPr>
          <w:rFonts w:hint="eastAsia" w:ascii="Times New Roman" w:hAnsi="宋体" w:cs="Times New Roman"/>
          <w:b/>
          <w:color w:val="auto"/>
          <w:highlight w:val="none"/>
        </w:rPr>
        <w:t>。（如国家另有规定，则适用其规定）</w:t>
      </w:r>
      <w:bookmarkEnd w:id="11"/>
    </w:p>
    <w:p w14:paraId="324ACC8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b/>
        </w:rPr>
      </w:pPr>
      <w:r>
        <w:rPr>
          <w:rFonts w:hint="eastAsia" w:hAnsi="宋体"/>
          <w:b/>
          <w:color w:val="auto"/>
          <w:highlight w:val="none"/>
        </w:rPr>
        <w:t>★</w:t>
      </w:r>
      <w:r>
        <w:rPr>
          <w:rFonts w:hint="eastAsia" w:hAnsi="宋体"/>
          <w:b/>
          <w:color w:val="auto"/>
          <w:highlight w:val="none"/>
          <w:lang w:val="en-US" w:eastAsia="zh-CN"/>
        </w:rPr>
        <w:t>4.</w:t>
      </w:r>
      <w:r>
        <w:rPr>
          <w:rFonts w:hint="eastAsia" w:hAnsi="宋体"/>
          <w:b/>
          <w:color w:val="auto"/>
          <w:highlight w:val="none"/>
        </w:rPr>
        <w:t>所投设备生产日期距交货验收日不超过12个月，且设备制造日期不得早于本项目</w:t>
      </w:r>
      <w:r>
        <w:rPr>
          <w:rFonts w:hint="eastAsia" w:hAnsi="宋体"/>
          <w:b/>
          <w:color w:val="auto"/>
          <w:highlight w:val="none"/>
          <w:lang w:eastAsia="zh-CN"/>
        </w:rPr>
        <w:t>采购</w:t>
      </w:r>
      <w:r>
        <w:rPr>
          <w:rFonts w:hint="eastAsia" w:hAnsi="宋体"/>
          <w:b/>
          <w:color w:val="auto"/>
          <w:highlight w:val="none"/>
        </w:rPr>
        <w:t>公告发布之日</w:t>
      </w:r>
      <w:r>
        <w:rPr>
          <w:rFonts w:hint="eastAsia" w:ascii="宋体" w:hAnsi="宋体" w:eastAsia="宋体" w:cs="宋体"/>
          <w:b/>
          <w:color w:val="auto"/>
          <w:kern w:val="2"/>
          <w:sz w:val="21"/>
          <w:szCs w:val="24"/>
          <w:highlight w:val="none"/>
          <w:lang w:val="en-US" w:eastAsia="zh-CN" w:bidi="ar-SA"/>
        </w:rPr>
        <w:t>。</w:t>
      </w:r>
    </w:p>
    <w:bookmarkEnd w:id="6"/>
    <w:bookmarkEnd w:id="9"/>
    <w:p w14:paraId="74485DE1">
      <w:pPr>
        <w:tabs>
          <w:tab w:val="left" w:pos="720"/>
        </w:tabs>
        <w:spacing w:line="360" w:lineRule="auto"/>
        <w:rPr>
          <w:rFonts w:hint="eastAsia"/>
          <w:b/>
          <w:szCs w:val="21"/>
        </w:rPr>
      </w:pPr>
      <w:r>
        <w:rPr>
          <w:rFonts w:hint="eastAsia"/>
          <w:b/>
          <w:szCs w:val="21"/>
        </w:rPr>
        <w:t>二、设备技术参数及要求</w:t>
      </w:r>
    </w:p>
    <w:p w14:paraId="753156C1">
      <w:pPr>
        <w:tabs>
          <w:tab w:val="left" w:pos="720"/>
        </w:tabs>
        <w:spacing w:line="360" w:lineRule="auto"/>
        <w:ind w:firstLine="0" w:firstLineChars="0"/>
        <w:rPr>
          <w:rFonts w:hint="default" w:ascii="宋体" w:hAnsi="宋体" w:eastAsia="宋体" w:cs="Arial Unicode MS"/>
          <w:bCs/>
          <w:szCs w:val="21"/>
          <w:lang w:val="en-US" w:eastAsia="zh-CN"/>
        </w:rPr>
      </w:pPr>
      <w:r>
        <w:rPr>
          <w:rFonts w:hint="eastAsia" w:ascii="宋体" w:hAnsi="宋体" w:cs="Arial Unicode MS"/>
          <w:bCs/>
          <w:szCs w:val="21"/>
          <w:lang w:eastAsia="zh-CN"/>
        </w:rPr>
        <w:t>（</w:t>
      </w:r>
      <w:r>
        <w:rPr>
          <w:rFonts w:hint="eastAsia" w:ascii="宋体" w:hAnsi="宋体" w:cs="Arial Unicode MS"/>
          <w:bCs/>
          <w:szCs w:val="21"/>
          <w:lang w:val="en-US" w:eastAsia="zh-CN"/>
        </w:rPr>
        <w:t>一</w:t>
      </w:r>
      <w:r>
        <w:rPr>
          <w:rFonts w:hint="eastAsia" w:ascii="宋体" w:hAnsi="宋体" w:cs="Arial Unicode MS"/>
          <w:bCs/>
          <w:szCs w:val="21"/>
          <w:lang w:eastAsia="zh-CN"/>
        </w:rPr>
        <w:t>）</w:t>
      </w:r>
      <w:r>
        <w:rPr>
          <w:rFonts w:hint="eastAsia" w:ascii="宋体" w:hAnsi="宋体" w:cs="Arial Unicode MS"/>
          <w:bCs/>
          <w:szCs w:val="21"/>
          <w:lang w:val="en-US" w:eastAsia="zh-CN"/>
        </w:rPr>
        <w:t>主要技术参数</w:t>
      </w:r>
    </w:p>
    <w:p w14:paraId="2AE9E241">
      <w:pPr>
        <w:widowControl/>
        <w:numPr>
          <w:ilvl w:val="-1"/>
          <w:numId w:val="0"/>
        </w:numPr>
        <w:tabs>
          <w:tab w:val="left" w:pos="720"/>
        </w:tabs>
        <w:spacing w:line="360" w:lineRule="auto"/>
        <w:ind w:left="0" w:leftChars="0" w:firstLine="0" w:firstLineChars="0"/>
        <w:rPr>
          <w:rFonts w:hint="eastAsia" w:ascii="Times New Roman" w:hAnsi="Times New Roman" w:eastAsia="宋体" w:cs="Times New Roman"/>
          <w:b/>
          <w:kern w:val="2"/>
          <w:sz w:val="21"/>
          <w:szCs w:val="21"/>
          <w:lang w:val="en-US" w:eastAsia="zh-CN" w:bidi="ar-SA"/>
        </w:rPr>
      </w:pPr>
      <w:r>
        <w:rPr>
          <w:rFonts w:hint="eastAsia" w:ascii="Times New Roman" w:hAnsi="Times New Roman" w:eastAsia="宋体" w:cs="Times New Roman"/>
          <w:b/>
          <w:kern w:val="2"/>
          <w:sz w:val="21"/>
          <w:szCs w:val="21"/>
          <w:lang w:val="en-US" w:eastAsia="zh-CN" w:bidi="ar-SA"/>
        </w:rPr>
        <w:t>核酸提取仪</w:t>
      </w:r>
    </w:p>
    <w:p w14:paraId="11B7D8CC">
      <w:pPr>
        <w:keepNext w:val="0"/>
        <w:keepLines w:val="0"/>
        <w:pageBreakBefore w:val="0"/>
        <w:widowControl/>
        <w:numPr>
          <w:ilvl w:val="1"/>
          <w:numId w:val="0"/>
        </w:numPr>
        <w:kinsoku/>
        <w:wordWrap/>
        <w:overflowPunct/>
        <w:topLinePunct w:val="0"/>
        <w:autoSpaceDE/>
        <w:autoSpaceDN/>
        <w:bidi w:val="0"/>
        <w:adjustRightInd/>
        <w:snapToGrid/>
        <w:spacing w:line="400" w:lineRule="exact"/>
        <w:ind w:left="567" w:leftChars="0" w:hanging="567" w:firstLineChars="0"/>
        <w:jc w:val="left"/>
        <w:textAlignment w:val="auto"/>
        <w:rPr>
          <w:rFonts w:hint="eastAsia" w:asciiTheme="minorEastAsia" w:hAnsiTheme="minorEastAsia" w:eastAsiaTheme="minorEastAsia" w:cstheme="minorEastAsia"/>
          <w:snapToGrid/>
          <w:kern w:val="2"/>
          <w:sz w:val="21"/>
          <w:szCs w:val="21"/>
          <w:lang w:val="en-US" w:eastAsia="zh-CN"/>
        </w:rPr>
      </w:pPr>
      <w:r>
        <w:rPr>
          <w:rFonts w:hint="eastAsia" w:asciiTheme="minorEastAsia" w:hAnsiTheme="minorEastAsia" w:eastAsiaTheme="minorEastAsia" w:cstheme="minorEastAsia"/>
          <w:snapToGrid/>
          <w:kern w:val="2"/>
          <w:sz w:val="21"/>
          <w:szCs w:val="21"/>
          <w:lang w:val="en-US" w:eastAsia="zh-CN" w:bidi="ar-SA"/>
        </w:rPr>
        <w:t>1、</w:t>
      </w:r>
      <w:r>
        <w:rPr>
          <w:rFonts w:hint="eastAsia" w:asciiTheme="minorEastAsia" w:hAnsiTheme="minorEastAsia" w:eastAsiaTheme="minorEastAsia" w:cstheme="minorEastAsia"/>
          <w:snapToGrid/>
          <w:kern w:val="2"/>
          <w:sz w:val="21"/>
          <w:szCs w:val="21"/>
          <w:lang w:val="en-US" w:eastAsia="zh-CN"/>
        </w:rPr>
        <w:t>处理体积：20~1000μl</w:t>
      </w:r>
    </w:p>
    <w:p w14:paraId="6C4A609C">
      <w:pPr>
        <w:keepNext w:val="0"/>
        <w:keepLines w:val="0"/>
        <w:pageBreakBefore w:val="0"/>
        <w:widowControl/>
        <w:numPr>
          <w:ilvl w:val="1"/>
          <w:numId w:val="0"/>
        </w:numPr>
        <w:kinsoku/>
        <w:wordWrap/>
        <w:overflowPunct/>
        <w:topLinePunct w:val="0"/>
        <w:autoSpaceDE/>
        <w:autoSpaceDN/>
        <w:bidi w:val="0"/>
        <w:adjustRightInd/>
        <w:snapToGrid/>
        <w:spacing w:line="400" w:lineRule="exact"/>
        <w:ind w:left="567" w:leftChars="0" w:hanging="567" w:firstLineChars="0"/>
        <w:jc w:val="left"/>
        <w:textAlignment w:val="auto"/>
        <w:rPr>
          <w:rFonts w:hint="eastAsia" w:asciiTheme="minorEastAsia" w:hAnsiTheme="minorEastAsia" w:eastAsiaTheme="minorEastAsia" w:cstheme="minorEastAsia"/>
          <w:snapToGrid/>
          <w:kern w:val="2"/>
          <w:sz w:val="21"/>
          <w:szCs w:val="21"/>
          <w:lang w:val="en-US" w:eastAsia="zh-CN"/>
        </w:rPr>
      </w:pPr>
      <w:r>
        <w:rPr>
          <w:rFonts w:hint="eastAsia" w:asciiTheme="minorEastAsia" w:hAnsiTheme="minorEastAsia" w:eastAsiaTheme="minorEastAsia" w:cstheme="minorEastAsia"/>
          <w:snapToGrid/>
          <w:kern w:val="2"/>
          <w:sz w:val="21"/>
          <w:szCs w:val="21"/>
          <w:lang w:val="en-US" w:eastAsia="zh-CN" w:bidi="ar-SA"/>
        </w:rPr>
        <w:t>2、</w:t>
      </w:r>
      <w:r>
        <w:rPr>
          <w:rFonts w:hint="eastAsia" w:asciiTheme="minorEastAsia" w:hAnsiTheme="minorEastAsia" w:eastAsiaTheme="minorEastAsia" w:cstheme="minorEastAsia"/>
          <w:snapToGrid/>
          <w:kern w:val="2"/>
          <w:sz w:val="21"/>
          <w:szCs w:val="21"/>
          <w:lang w:val="en-US" w:eastAsia="zh-CN"/>
        </w:rPr>
        <w:t>样品通量：1-32</w:t>
      </w:r>
    </w:p>
    <w:p w14:paraId="61A327C0">
      <w:pPr>
        <w:keepNext w:val="0"/>
        <w:keepLines w:val="0"/>
        <w:pageBreakBefore w:val="0"/>
        <w:widowControl/>
        <w:numPr>
          <w:ilvl w:val="1"/>
          <w:numId w:val="0"/>
        </w:numPr>
        <w:kinsoku/>
        <w:wordWrap/>
        <w:overflowPunct/>
        <w:topLinePunct w:val="0"/>
        <w:autoSpaceDE/>
        <w:autoSpaceDN/>
        <w:bidi w:val="0"/>
        <w:adjustRightInd/>
        <w:snapToGrid/>
        <w:spacing w:line="400" w:lineRule="exact"/>
        <w:ind w:left="567" w:leftChars="0" w:hanging="567" w:firstLineChars="0"/>
        <w:jc w:val="left"/>
        <w:textAlignment w:val="auto"/>
        <w:rPr>
          <w:rFonts w:hint="eastAsia" w:asciiTheme="minorEastAsia" w:hAnsiTheme="minorEastAsia" w:eastAsiaTheme="minorEastAsia" w:cstheme="minorEastAsia"/>
          <w:snapToGrid/>
          <w:kern w:val="2"/>
          <w:sz w:val="21"/>
          <w:szCs w:val="21"/>
          <w:lang w:val="en-US" w:eastAsia="zh-CN"/>
        </w:rPr>
      </w:pPr>
      <w:r>
        <w:rPr>
          <w:rFonts w:hint="eastAsia" w:asciiTheme="minorEastAsia" w:hAnsiTheme="minorEastAsia" w:eastAsiaTheme="minorEastAsia" w:cstheme="minorEastAsia"/>
          <w:snapToGrid/>
          <w:kern w:val="2"/>
          <w:sz w:val="21"/>
          <w:szCs w:val="21"/>
          <w:lang w:val="en-US" w:eastAsia="zh-CN" w:bidi="ar-SA"/>
        </w:rPr>
        <w:t>3、</w:t>
      </w:r>
      <w:r>
        <w:rPr>
          <w:rFonts w:hint="eastAsia" w:asciiTheme="minorEastAsia" w:hAnsiTheme="minorEastAsia" w:eastAsiaTheme="minorEastAsia" w:cstheme="minorEastAsia"/>
          <w:snapToGrid/>
          <w:kern w:val="2"/>
          <w:sz w:val="21"/>
          <w:szCs w:val="21"/>
          <w:lang w:val="en-US" w:eastAsia="zh-CN"/>
        </w:rPr>
        <w:t>磁珠回收效率：＞98%</w:t>
      </w:r>
    </w:p>
    <w:p w14:paraId="223BF65B">
      <w:pPr>
        <w:keepNext w:val="0"/>
        <w:keepLines w:val="0"/>
        <w:pageBreakBefore w:val="0"/>
        <w:widowControl/>
        <w:numPr>
          <w:ilvl w:val="1"/>
          <w:numId w:val="0"/>
        </w:numPr>
        <w:kinsoku/>
        <w:wordWrap/>
        <w:overflowPunct/>
        <w:topLinePunct w:val="0"/>
        <w:autoSpaceDE/>
        <w:autoSpaceDN/>
        <w:bidi w:val="0"/>
        <w:adjustRightInd/>
        <w:snapToGrid/>
        <w:spacing w:line="400" w:lineRule="exact"/>
        <w:ind w:left="567" w:leftChars="0" w:hanging="567" w:firstLineChars="0"/>
        <w:jc w:val="left"/>
        <w:textAlignment w:val="auto"/>
        <w:rPr>
          <w:rFonts w:hint="eastAsia" w:asciiTheme="minorEastAsia" w:hAnsiTheme="minorEastAsia" w:eastAsiaTheme="minorEastAsia" w:cstheme="minorEastAsia"/>
          <w:snapToGrid/>
          <w:kern w:val="2"/>
          <w:sz w:val="21"/>
          <w:szCs w:val="21"/>
          <w:lang w:val="en-US" w:eastAsia="zh-CN"/>
        </w:rPr>
      </w:pPr>
      <w:r>
        <w:rPr>
          <w:rFonts w:hint="eastAsia" w:asciiTheme="minorEastAsia" w:hAnsiTheme="minorEastAsia" w:eastAsiaTheme="minorEastAsia" w:cstheme="minorEastAsia"/>
          <w:snapToGrid/>
          <w:kern w:val="2"/>
          <w:sz w:val="21"/>
          <w:szCs w:val="21"/>
          <w:lang w:val="en-US" w:eastAsia="zh-CN" w:bidi="ar-SA"/>
        </w:rPr>
        <w:t>4、</w:t>
      </w:r>
      <w:r>
        <w:rPr>
          <w:rFonts w:hint="eastAsia" w:asciiTheme="minorEastAsia" w:hAnsiTheme="minorEastAsia" w:eastAsiaTheme="minorEastAsia" w:cstheme="minorEastAsia"/>
          <w:snapToGrid/>
          <w:kern w:val="2"/>
          <w:sz w:val="21"/>
          <w:szCs w:val="21"/>
          <w:lang w:val="en-US" w:eastAsia="zh-CN"/>
        </w:rPr>
        <w:t>磁棒数量：≥32</w:t>
      </w:r>
    </w:p>
    <w:p w14:paraId="0AA53442">
      <w:pPr>
        <w:keepNext w:val="0"/>
        <w:keepLines w:val="0"/>
        <w:pageBreakBefore w:val="0"/>
        <w:widowControl/>
        <w:numPr>
          <w:ilvl w:val="1"/>
          <w:numId w:val="0"/>
        </w:numPr>
        <w:kinsoku/>
        <w:wordWrap/>
        <w:overflowPunct/>
        <w:topLinePunct w:val="0"/>
        <w:autoSpaceDE/>
        <w:autoSpaceDN/>
        <w:bidi w:val="0"/>
        <w:adjustRightInd/>
        <w:snapToGrid/>
        <w:spacing w:line="400" w:lineRule="exact"/>
        <w:ind w:left="567" w:leftChars="0" w:hanging="567" w:firstLineChars="0"/>
        <w:jc w:val="left"/>
        <w:textAlignment w:val="auto"/>
        <w:rPr>
          <w:rFonts w:hint="eastAsia" w:asciiTheme="minorEastAsia" w:hAnsiTheme="minorEastAsia" w:eastAsiaTheme="minorEastAsia" w:cstheme="minorEastAsia"/>
          <w:snapToGrid/>
          <w:kern w:val="2"/>
          <w:sz w:val="21"/>
          <w:szCs w:val="21"/>
          <w:lang w:val="en-US" w:eastAsia="zh-CN"/>
        </w:rPr>
      </w:pPr>
      <w:r>
        <w:rPr>
          <w:rFonts w:hint="eastAsia" w:asciiTheme="minorEastAsia" w:hAnsiTheme="minorEastAsia" w:eastAsiaTheme="minorEastAsia" w:cstheme="minorEastAsia"/>
          <w:snapToGrid/>
          <w:kern w:val="2"/>
          <w:sz w:val="21"/>
          <w:szCs w:val="21"/>
          <w:lang w:val="en-US" w:eastAsia="zh-CN"/>
        </w:rPr>
        <w:t>▲</w:t>
      </w:r>
      <w:r>
        <w:rPr>
          <w:rFonts w:hint="eastAsia" w:asciiTheme="minorEastAsia" w:hAnsiTheme="minorEastAsia" w:eastAsiaTheme="minorEastAsia" w:cstheme="minorEastAsia"/>
          <w:snapToGrid/>
          <w:kern w:val="2"/>
          <w:sz w:val="21"/>
          <w:szCs w:val="21"/>
          <w:lang w:val="en-US" w:eastAsia="zh-CN" w:bidi="ar-SA"/>
        </w:rPr>
        <w:t>5、</w:t>
      </w:r>
      <w:r>
        <w:rPr>
          <w:rFonts w:hint="eastAsia" w:asciiTheme="minorEastAsia" w:hAnsiTheme="minorEastAsia" w:eastAsiaTheme="minorEastAsia" w:cstheme="minorEastAsia"/>
          <w:snapToGrid/>
          <w:kern w:val="2"/>
          <w:sz w:val="21"/>
          <w:szCs w:val="21"/>
          <w:lang w:val="en-US" w:eastAsia="zh-CN"/>
        </w:rPr>
        <w:t>最大磁通量： ≥5000Gs</w:t>
      </w:r>
    </w:p>
    <w:p w14:paraId="3ACB175A">
      <w:pPr>
        <w:keepNext w:val="0"/>
        <w:keepLines w:val="0"/>
        <w:pageBreakBefore w:val="0"/>
        <w:widowControl/>
        <w:numPr>
          <w:ilvl w:val="1"/>
          <w:numId w:val="0"/>
        </w:numPr>
        <w:kinsoku/>
        <w:wordWrap/>
        <w:overflowPunct/>
        <w:topLinePunct w:val="0"/>
        <w:autoSpaceDE/>
        <w:autoSpaceDN/>
        <w:bidi w:val="0"/>
        <w:adjustRightInd/>
        <w:snapToGrid/>
        <w:spacing w:line="400" w:lineRule="exact"/>
        <w:ind w:left="567" w:leftChars="0" w:hanging="567" w:firstLineChars="0"/>
        <w:jc w:val="left"/>
        <w:textAlignment w:val="auto"/>
        <w:rPr>
          <w:rFonts w:hint="default" w:asciiTheme="minorEastAsia" w:hAnsiTheme="minorEastAsia" w:eastAsiaTheme="minorEastAsia" w:cstheme="minorEastAsia"/>
          <w:snapToGrid/>
          <w:kern w:val="2"/>
          <w:sz w:val="21"/>
          <w:szCs w:val="21"/>
          <w:lang w:val="en-US" w:eastAsia="zh-CN"/>
        </w:rPr>
      </w:pPr>
      <w:r>
        <w:rPr>
          <w:rFonts w:hint="eastAsia" w:asciiTheme="minorEastAsia" w:hAnsiTheme="minorEastAsia" w:eastAsiaTheme="minorEastAsia" w:cstheme="minorEastAsia"/>
          <w:snapToGrid/>
          <w:kern w:val="2"/>
          <w:sz w:val="21"/>
          <w:szCs w:val="21"/>
          <w:lang w:val="en-US" w:eastAsia="zh-CN" w:bidi="ar-SA"/>
        </w:rPr>
        <w:t>6、</w:t>
      </w:r>
      <w:r>
        <w:rPr>
          <w:rFonts w:hint="eastAsia" w:asciiTheme="minorEastAsia" w:hAnsiTheme="minorEastAsia" w:eastAsiaTheme="minorEastAsia" w:cstheme="minorEastAsia"/>
          <w:snapToGrid/>
          <w:kern w:val="2"/>
          <w:sz w:val="21"/>
          <w:szCs w:val="21"/>
          <w:lang w:val="en-US" w:eastAsia="zh-CN"/>
        </w:rPr>
        <w:t>样品处理时间：5min-60min</w:t>
      </w:r>
    </w:p>
    <w:p w14:paraId="553CA2CB">
      <w:pPr>
        <w:keepNext w:val="0"/>
        <w:keepLines w:val="0"/>
        <w:pageBreakBefore w:val="0"/>
        <w:widowControl/>
        <w:numPr>
          <w:ilvl w:val="1"/>
          <w:numId w:val="0"/>
        </w:numPr>
        <w:kinsoku/>
        <w:wordWrap/>
        <w:overflowPunct/>
        <w:topLinePunct w:val="0"/>
        <w:autoSpaceDE/>
        <w:autoSpaceDN/>
        <w:bidi w:val="0"/>
        <w:adjustRightInd/>
        <w:snapToGrid/>
        <w:spacing w:line="400" w:lineRule="exact"/>
        <w:ind w:left="567" w:leftChars="0" w:hanging="567" w:firstLineChars="0"/>
        <w:jc w:val="left"/>
        <w:textAlignment w:val="auto"/>
        <w:rPr>
          <w:rFonts w:hint="eastAsia" w:asciiTheme="minorEastAsia" w:hAnsiTheme="minorEastAsia" w:eastAsiaTheme="minorEastAsia" w:cstheme="minorEastAsia"/>
          <w:snapToGrid/>
          <w:kern w:val="2"/>
          <w:sz w:val="21"/>
          <w:szCs w:val="21"/>
          <w:lang w:val="en-US" w:eastAsia="zh-CN"/>
        </w:rPr>
      </w:pPr>
      <w:r>
        <w:rPr>
          <w:rFonts w:hint="eastAsia" w:asciiTheme="minorEastAsia" w:hAnsiTheme="minorEastAsia" w:eastAsiaTheme="minorEastAsia" w:cstheme="minorEastAsia"/>
          <w:snapToGrid/>
          <w:kern w:val="2"/>
          <w:sz w:val="21"/>
          <w:szCs w:val="21"/>
          <w:lang w:val="en-US" w:eastAsia="zh-CN" w:bidi="ar-SA"/>
        </w:rPr>
        <w:t>7、</w:t>
      </w:r>
      <w:r>
        <w:rPr>
          <w:rFonts w:hint="eastAsia" w:asciiTheme="minorEastAsia" w:hAnsiTheme="minorEastAsia" w:eastAsiaTheme="minorEastAsia" w:cstheme="minorEastAsia"/>
          <w:snapToGrid/>
          <w:kern w:val="2"/>
          <w:sz w:val="21"/>
          <w:szCs w:val="21"/>
          <w:lang w:val="en-US" w:eastAsia="zh-CN"/>
        </w:rPr>
        <w:t>提纯孔间差(CV)：CV≤3%</w:t>
      </w:r>
    </w:p>
    <w:p w14:paraId="5B98BC78">
      <w:pPr>
        <w:keepNext w:val="0"/>
        <w:keepLines w:val="0"/>
        <w:pageBreakBefore w:val="0"/>
        <w:widowControl/>
        <w:numPr>
          <w:ilvl w:val="1"/>
          <w:numId w:val="0"/>
        </w:numPr>
        <w:kinsoku/>
        <w:wordWrap/>
        <w:overflowPunct/>
        <w:topLinePunct w:val="0"/>
        <w:autoSpaceDE/>
        <w:autoSpaceDN/>
        <w:bidi w:val="0"/>
        <w:adjustRightInd/>
        <w:snapToGrid/>
        <w:spacing w:line="400" w:lineRule="exact"/>
        <w:ind w:left="567" w:leftChars="0" w:hanging="567" w:firstLineChars="0"/>
        <w:jc w:val="left"/>
        <w:textAlignment w:val="auto"/>
        <w:rPr>
          <w:rFonts w:hint="eastAsia" w:asciiTheme="minorEastAsia" w:hAnsiTheme="minorEastAsia" w:eastAsiaTheme="minorEastAsia" w:cstheme="minorEastAsia"/>
          <w:snapToGrid/>
          <w:kern w:val="2"/>
          <w:sz w:val="21"/>
          <w:szCs w:val="21"/>
          <w:lang w:val="en-US" w:eastAsia="zh-CN"/>
        </w:rPr>
      </w:pPr>
      <w:r>
        <w:rPr>
          <w:rFonts w:hint="eastAsia" w:asciiTheme="minorEastAsia" w:hAnsiTheme="minorEastAsia" w:eastAsiaTheme="minorEastAsia" w:cstheme="minorEastAsia"/>
          <w:snapToGrid/>
          <w:kern w:val="2"/>
          <w:sz w:val="21"/>
          <w:szCs w:val="21"/>
          <w:lang w:val="en-US" w:eastAsia="zh-CN" w:bidi="ar-SA"/>
        </w:rPr>
        <w:t>8、</w:t>
      </w:r>
      <w:r>
        <w:rPr>
          <w:rFonts w:hint="eastAsia" w:asciiTheme="minorEastAsia" w:hAnsiTheme="minorEastAsia" w:eastAsiaTheme="minorEastAsia" w:cstheme="minorEastAsia"/>
          <w:snapToGrid/>
          <w:kern w:val="2"/>
          <w:sz w:val="21"/>
          <w:szCs w:val="21"/>
          <w:lang w:val="en-US" w:eastAsia="zh-CN"/>
        </w:rPr>
        <w:t>加热温度：裂解列，室温-105℃；洗脱列，室温-105℃；可调步长：1℃</w:t>
      </w:r>
    </w:p>
    <w:p w14:paraId="038EC380">
      <w:pPr>
        <w:keepNext w:val="0"/>
        <w:keepLines w:val="0"/>
        <w:pageBreakBefore w:val="0"/>
        <w:widowControl/>
        <w:numPr>
          <w:ilvl w:val="1"/>
          <w:numId w:val="0"/>
        </w:numPr>
        <w:kinsoku/>
        <w:wordWrap/>
        <w:overflowPunct/>
        <w:topLinePunct w:val="0"/>
        <w:autoSpaceDE/>
        <w:autoSpaceDN/>
        <w:bidi w:val="0"/>
        <w:adjustRightInd/>
        <w:snapToGrid/>
        <w:spacing w:line="400" w:lineRule="exact"/>
        <w:ind w:left="567" w:leftChars="0" w:hanging="567" w:firstLineChars="0"/>
        <w:jc w:val="left"/>
        <w:textAlignment w:val="auto"/>
        <w:rPr>
          <w:rFonts w:hint="eastAsia" w:asciiTheme="minorEastAsia" w:hAnsiTheme="minorEastAsia" w:eastAsiaTheme="minorEastAsia" w:cstheme="minorEastAsia"/>
          <w:snapToGrid/>
          <w:kern w:val="2"/>
          <w:sz w:val="21"/>
          <w:szCs w:val="21"/>
          <w:lang w:val="en-US" w:eastAsia="zh-CN"/>
        </w:rPr>
      </w:pPr>
      <w:r>
        <w:rPr>
          <w:rFonts w:hint="eastAsia" w:asciiTheme="minorEastAsia" w:hAnsiTheme="minorEastAsia" w:eastAsiaTheme="minorEastAsia" w:cstheme="minorEastAsia"/>
          <w:snapToGrid/>
          <w:kern w:val="2"/>
          <w:sz w:val="21"/>
          <w:szCs w:val="21"/>
          <w:lang w:val="en-US" w:eastAsia="zh-CN"/>
        </w:rPr>
        <w:t>▲</w:t>
      </w:r>
      <w:r>
        <w:rPr>
          <w:rFonts w:hint="eastAsia" w:asciiTheme="minorEastAsia" w:hAnsiTheme="minorEastAsia" w:eastAsiaTheme="minorEastAsia" w:cstheme="minorEastAsia"/>
          <w:snapToGrid/>
          <w:kern w:val="2"/>
          <w:sz w:val="21"/>
          <w:szCs w:val="21"/>
          <w:lang w:val="en-US" w:eastAsia="zh-CN" w:bidi="ar-SA"/>
        </w:rPr>
        <w:t>9、</w:t>
      </w:r>
      <w:r>
        <w:rPr>
          <w:rFonts w:hint="eastAsia" w:asciiTheme="minorEastAsia" w:hAnsiTheme="minorEastAsia" w:eastAsiaTheme="minorEastAsia" w:cstheme="minorEastAsia"/>
          <w:snapToGrid/>
          <w:kern w:val="2"/>
          <w:sz w:val="21"/>
          <w:szCs w:val="21"/>
          <w:lang w:val="en-US" w:eastAsia="zh-CN"/>
        </w:rPr>
        <w:t xml:space="preserve">内置温度补偿功能，可调步长：1℃ </w:t>
      </w:r>
    </w:p>
    <w:p w14:paraId="7ECD3C94">
      <w:pPr>
        <w:keepNext w:val="0"/>
        <w:keepLines w:val="0"/>
        <w:pageBreakBefore w:val="0"/>
        <w:widowControl/>
        <w:numPr>
          <w:ilvl w:val="1"/>
          <w:numId w:val="0"/>
        </w:numPr>
        <w:kinsoku/>
        <w:wordWrap/>
        <w:overflowPunct/>
        <w:topLinePunct w:val="0"/>
        <w:autoSpaceDE/>
        <w:autoSpaceDN/>
        <w:bidi w:val="0"/>
        <w:adjustRightInd/>
        <w:snapToGrid/>
        <w:spacing w:line="400" w:lineRule="exact"/>
        <w:ind w:left="567" w:leftChars="0" w:hanging="567" w:firstLineChars="0"/>
        <w:jc w:val="left"/>
        <w:textAlignment w:val="auto"/>
        <w:rPr>
          <w:rFonts w:hint="eastAsia" w:asciiTheme="minorEastAsia" w:hAnsiTheme="minorEastAsia" w:eastAsiaTheme="minorEastAsia" w:cstheme="minorEastAsia"/>
          <w:snapToGrid/>
          <w:kern w:val="2"/>
          <w:sz w:val="21"/>
          <w:szCs w:val="21"/>
          <w:lang w:val="en-US" w:eastAsia="zh-CN"/>
        </w:rPr>
      </w:pPr>
      <w:r>
        <w:rPr>
          <w:rFonts w:hint="eastAsia" w:asciiTheme="minorEastAsia" w:hAnsiTheme="minorEastAsia" w:eastAsiaTheme="minorEastAsia" w:cstheme="minorEastAsia"/>
          <w:snapToGrid/>
          <w:kern w:val="2"/>
          <w:sz w:val="21"/>
          <w:szCs w:val="21"/>
          <w:lang w:val="en-US" w:eastAsia="zh-CN"/>
        </w:rPr>
        <w:t>▲</w:t>
      </w:r>
      <w:r>
        <w:rPr>
          <w:rFonts w:hint="eastAsia" w:asciiTheme="minorEastAsia" w:hAnsiTheme="minorEastAsia" w:eastAsiaTheme="minorEastAsia" w:cstheme="minorEastAsia"/>
          <w:snapToGrid/>
          <w:kern w:val="2"/>
          <w:sz w:val="21"/>
          <w:szCs w:val="21"/>
          <w:lang w:val="en-US" w:eastAsia="zh-CN" w:bidi="ar-SA"/>
        </w:rPr>
        <w:t>10、</w:t>
      </w:r>
      <w:r>
        <w:rPr>
          <w:rFonts w:hint="eastAsia" w:asciiTheme="minorEastAsia" w:hAnsiTheme="minorEastAsia" w:eastAsiaTheme="minorEastAsia" w:cstheme="minorEastAsia"/>
          <w:snapToGrid/>
          <w:kern w:val="2"/>
          <w:sz w:val="21"/>
          <w:szCs w:val="21"/>
          <w:lang w:val="en-US" w:eastAsia="zh-CN"/>
        </w:rPr>
        <w:t>内置提前预热功能，可调步长：1 秒</w:t>
      </w:r>
    </w:p>
    <w:p w14:paraId="0B488B15">
      <w:pPr>
        <w:keepNext w:val="0"/>
        <w:keepLines w:val="0"/>
        <w:pageBreakBefore w:val="0"/>
        <w:widowControl/>
        <w:numPr>
          <w:ilvl w:val="1"/>
          <w:numId w:val="0"/>
        </w:numPr>
        <w:kinsoku/>
        <w:wordWrap/>
        <w:overflowPunct/>
        <w:topLinePunct w:val="0"/>
        <w:autoSpaceDE/>
        <w:autoSpaceDN/>
        <w:bidi w:val="0"/>
        <w:adjustRightInd/>
        <w:snapToGrid/>
        <w:spacing w:line="400" w:lineRule="exact"/>
        <w:ind w:left="567" w:leftChars="0" w:hanging="567" w:firstLineChars="0"/>
        <w:jc w:val="left"/>
        <w:textAlignment w:val="auto"/>
        <w:rPr>
          <w:rFonts w:hint="eastAsia" w:asciiTheme="minorEastAsia" w:hAnsiTheme="minorEastAsia" w:eastAsiaTheme="minorEastAsia" w:cstheme="minorEastAsia"/>
          <w:snapToGrid/>
          <w:kern w:val="2"/>
          <w:sz w:val="21"/>
          <w:szCs w:val="21"/>
          <w:lang w:val="en-US" w:eastAsia="zh-CN"/>
        </w:rPr>
      </w:pPr>
      <w:r>
        <w:rPr>
          <w:rFonts w:hint="eastAsia" w:asciiTheme="minorEastAsia" w:hAnsiTheme="minorEastAsia" w:eastAsiaTheme="minorEastAsia" w:cstheme="minorEastAsia"/>
          <w:snapToGrid/>
          <w:kern w:val="2"/>
          <w:sz w:val="21"/>
          <w:szCs w:val="21"/>
          <w:lang w:val="en-US" w:eastAsia="zh-CN" w:bidi="ar-SA"/>
        </w:rPr>
        <w:t>11、</w:t>
      </w:r>
      <w:r>
        <w:rPr>
          <w:rFonts w:hint="eastAsia" w:asciiTheme="minorEastAsia" w:hAnsiTheme="minorEastAsia" w:eastAsiaTheme="minorEastAsia" w:cstheme="minorEastAsia"/>
          <w:snapToGrid/>
          <w:kern w:val="2"/>
          <w:sz w:val="21"/>
          <w:szCs w:val="21"/>
          <w:lang w:val="en-US" w:eastAsia="zh-CN"/>
        </w:rPr>
        <w:t>操作界面：≥10寸宽视角电容触摸屏，1024*600 高分辨率，高灵敏度</w:t>
      </w:r>
    </w:p>
    <w:p w14:paraId="3DE26373">
      <w:pPr>
        <w:keepNext w:val="0"/>
        <w:keepLines w:val="0"/>
        <w:pageBreakBefore w:val="0"/>
        <w:widowControl/>
        <w:numPr>
          <w:ilvl w:val="1"/>
          <w:numId w:val="0"/>
        </w:numPr>
        <w:kinsoku/>
        <w:wordWrap/>
        <w:overflowPunct/>
        <w:topLinePunct w:val="0"/>
        <w:autoSpaceDE/>
        <w:autoSpaceDN/>
        <w:bidi w:val="0"/>
        <w:adjustRightInd/>
        <w:snapToGrid/>
        <w:spacing w:line="400" w:lineRule="exact"/>
        <w:ind w:left="567" w:leftChars="0" w:hanging="567" w:firstLineChars="0"/>
        <w:jc w:val="left"/>
        <w:textAlignment w:val="auto"/>
        <w:rPr>
          <w:rFonts w:hint="eastAsia" w:asciiTheme="minorEastAsia" w:hAnsiTheme="minorEastAsia" w:eastAsiaTheme="minorEastAsia" w:cstheme="minorEastAsia"/>
          <w:snapToGrid/>
          <w:kern w:val="2"/>
          <w:sz w:val="21"/>
          <w:szCs w:val="21"/>
          <w:lang w:val="en-US" w:eastAsia="zh-CN"/>
        </w:rPr>
      </w:pPr>
      <w:r>
        <w:rPr>
          <w:rFonts w:hint="eastAsia" w:asciiTheme="minorEastAsia" w:hAnsiTheme="minorEastAsia" w:eastAsiaTheme="minorEastAsia" w:cstheme="minorEastAsia"/>
          <w:snapToGrid/>
          <w:kern w:val="2"/>
          <w:sz w:val="21"/>
          <w:szCs w:val="21"/>
          <w:lang w:val="en-US" w:eastAsia="zh-CN"/>
        </w:rPr>
        <w:t>▲</w:t>
      </w:r>
      <w:r>
        <w:rPr>
          <w:rFonts w:hint="eastAsia" w:asciiTheme="minorEastAsia" w:hAnsiTheme="minorEastAsia" w:eastAsiaTheme="minorEastAsia" w:cstheme="minorEastAsia"/>
          <w:snapToGrid/>
          <w:kern w:val="2"/>
          <w:sz w:val="21"/>
          <w:szCs w:val="21"/>
          <w:lang w:val="en-US" w:eastAsia="zh-CN" w:bidi="ar-SA"/>
        </w:rPr>
        <w:t>12、</w:t>
      </w:r>
      <w:r>
        <w:rPr>
          <w:rFonts w:hint="eastAsia" w:asciiTheme="minorEastAsia" w:hAnsiTheme="minorEastAsia" w:eastAsiaTheme="minorEastAsia" w:cstheme="minorEastAsia"/>
          <w:snapToGrid/>
          <w:kern w:val="2"/>
          <w:sz w:val="21"/>
          <w:szCs w:val="21"/>
          <w:lang w:val="en-US" w:eastAsia="zh-CN"/>
        </w:rPr>
        <w:t>混合速度：≥3档可调</w:t>
      </w:r>
    </w:p>
    <w:p w14:paraId="6D69085E">
      <w:pPr>
        <w:keepNext w:val="0"/>
        <w:keepLines w:val="0"/>
        <w:pageBreakBefore w:val="0"/>
        <w:widowControl/>
        <w:numPr>
          <w:ilvl w:val="1"/>
          <w:numId w:val="0"/>
        </w:numPr>
        <w:kinsoku/>
        <w:wordWrap/>
        <w:overflowPunct/>
        <w:topLinePunct w:val="0"/>
        <w:autoSpaceDE/>
        <w:autoSpaceDN/>
        <w:bidi w:val="0"/>
        <w:adjustRightInd/>
        <w:snapToGrid/>
        <w:spacing w:line="400" w:lineRule="exact"/>
        <w:ind w:left="567" w:leftChars="0" w:hanging="567" w:firstLineChars="0"/>
        <w:jc w:val="left"/>
        <w:textAlignment w:val="auto"/>
        <w:rPr>
          <w:rFonts w:hint="eastAsia" w:asciiTheme="minorEastAsia" w:hAnsiTheme="minorEastAsia" w:eastAsiaTheme="minorEastAsia" w:cstheme="minorEastAsia"/>
          <w:snapToGrid/>
          <w:kern w:val="2"/>
          <w:sz w:val="21"/>
          <w:szCs w:val="21"/>
          <w:lang w:val="en-US" w:eastAsia="zh-CN"/>
        </w:rPr>
      </w:pPr>
      <w:r>
        <w:rPr>
          <w:rFonts w:hint="eastAsia" w:asciiTheme="minorEastAsia" w:hAnsiTheme="minorEastAsia" w:eastAsiaTheme="minorEastAsia" w:cstheme="minorEastAsia"/>
          <w:snapToGrid/>
          <w:kern w:val="2"/>
          <w:sz w:val="21"/>
          <w:szCs w:val="21"/>
          <w:lang w:val="en-US" w:eastAsia="zh-CN"/>
        </w:rPr>
        <w:t>▲</w:t>
      </w:r>
      <w:r>
        <w:rPr>
          <w:rFonts w:hint="eastAsia" w:asciiTheme="minorEastAsia" w:hAnsiTheme="minorEastAsia" w:eastAsiaTheme="minorEastAsia" w:cstheme="minorEastAsia"/>
          <w:snapToGrid/>
          <w:kern w:val="2"/>
          <w:sz w:val="21"/>
          <w:szCs w:val="21"/>
          <w:lang w:val="en-US" w:eastAsia="zh-CN" w:bidi="ar-SA"/>
        </w:rPr>
        <w:t>13、</w:t>
      </w:r>
      <w:r>
        <w:rPr>
          <w:rFonts w:hint="eastAsia" w:asciiTheme="minorEastAsia" w:hAnsiTheme="minorEastAsia" w:eastAsiaTheme="minorEastAsia" w:cstheme="minorEastAsia"/>
          <w:snapToGrid/>
          <w:kern w:val="2"/>
          <w:sz w:val="21"/>
          <w:szCs w:val="21"/>
          <w:lang w:val="en-US" w:eastAsia="zh-CN"/>
        </w:rPr>
        <w:t>震荡幅度：≥3档可调</w:t>
      </w:r>
    </w:p>
    <w:p w14:paraId="00FC073C">
      <w:pPr>
        <w:keepNext w:val="0"/>
        <w:keepLines w:val="0"/>
        <w:pageBreakBefore w:val="0"/>
        <w:widowControl/>
        <w:numPr>
          <w:ilvl w:val="1"/>
          <w:numId w:val="0"/>
        </w:numPr>
        <w:kinsoku/>
        <w:wordWrap/>
        <w:overflowPunct/>
        <w:topLinePunct w:val="0"/>
        <w:autoSpaceDE/>
        <w:autoSpaceDN/>
        <w:bidi w:val="0"/>
        <w:adjustRightInd/>
        <w:snapToGrid/>
        <w:spacing w:line="400" w:lineRule="exact"/>
        <w:ind w:left="567" w:leftChars="0" w:hanging="567" w:firstLineChars="0"/>
        <w:jc w:val="left"/>
        <w:textAlignment w:val="auto"/>
        <w:rPr>
          <w:rFonts w:hint="eastAsia" w:asciiTheme="minorEastAsia" w:hAnsiTheme="minorEastAsia" w:eastAsiaTheme="minorEastAsia" w:cstheme="minorEastAsia"/>
          <w:snapToGrid/>
          <w:kern w:val="2"/>
          <w:sz w:val="21"/>
          <w:szCs w:val="21"/>
          <w:lang w:val="en-US" w:eastAsia="zh-CN"/>
        </w:rPr>
      </w:pPr>
      <w:r>
        <w:rPr>
          <w:rFonts w:hint="eastAsia" w:asciiTheme="minorEastAsia" w:hAnsiTheme="minorEastAsia" w:eastAsiaTheme="minorEastAsia" w:cstheme="minorEastAsia"/>
          <w:snapToGrid/>
          <w:kern w:val="2"/>
          <w:sz w:val="21"/>
          <w:szCs w:val="21"/>
          <w:lang w:val="en-US" w:eastAsia="zh-CN" w:bidi="ar-SA"/>
        </w:rPr>
        <w:t>14、</w:t>
      </w:r>
      <w:r>
        <w:rPr>
          <w:rFonts w:hint="eastAsia" w:asciiTheme="minorEastAsia" w:hAnsiTheme="minorEastAsia" w:eastAsiaTheme="minorEastAsia" w:cstheme="minorEastAsia"/>
          <w:snapToGrid/>
          <w:kern w:val="2"/>
          <w:sz w:val="21"/>
          <w:szCs w:val="21"/>
          <w:lang w:val="en-US" w:eastAsia="zh-CN"/>
        </w:rPr>
        <w:t>试剂种类：开放试剂平台，无需配套试剂，可兼容市场上绝大多数磁珠法核酸提取试剂</w:t>
      </w:r>
    </w:p>
    <w:p w14:paraId="446EF184">
      <w:pPr>
        <w:keepNext w:val="0"/>
        <w:keepLines w:val="0"/>
        <w:pageBreakBefore w:val="0"/>
        <w:widowControl/>
        <w:numPr>
          <w:ilvl w:val="1"/>
          <w:numId w:val="0"/>
        </w:numPr>
        <w:kinsoku/>
        <w:wordWrap/>
        <w:overflowPunct/>
        <w:topLinePunct w:val="0"/>
        <w:autoSpaceDE/>
        <w:autoSpaceDN/>
        <w:bidi w:val="0"/>
        <w:adjustRightInd/>
        <w:snapToGrid/>
        <w:spacing w:line="400" w:lineRule="exact"/>
        <w:ind w:left="567" w:leftChars="0" w:hanging="567" w:firstLineChars="0"/>
        <w:jc w:val="left"/>
        <w:textAlignment w:val="auto"/>
        <w:rPr>
          <w:rFonts w:hint="eastAsia" w:asciiTheme="minorEastAsia" w:hAnsiTheme="minorEastAsia" w:eastAsiaTheme="minorEastAsia" w:cstheme="minorEastAsia"/>
          <w:snapToGrid/>
          <w:kern w:val="2"/>
          <w:sz w:val="21"/>
          <w:szCs w:val="21"/>
          <w:lang w:val="en-US" w:eastAsia="zh-CN"/>
        </w:rPr>
      </w:pPr>
      <w:r>
        <w:rPr>
          <w:rFonts w:hint="eastAsia" w:asciiTheme="minorEastAsia" w:hAnsiTheme="minorEastAsia" w:eastAsiaTheme="minorEastAsia" w:cstheme="minorEastAsia"/>
          <w:snapToGrid/>
          <w:kern w:val="2"/>
          <w:sz w:val="21"/>
          <w:szCs w:val="21"/>
          <w:lang w:val="en-US" w:eastAsia="zh-CN" w:bidi="ar-SA"/>
        </w:rPr>
        <w:t>15、</w:t>
      </w:r>
      <w:r>
        <w:rPr>
          <w:rFonts w:hint="eastAsia" w:asciiTheme="minorEastAsia" w:hAnsiTheme="minorEastAsia" w:eastAsiaTheme="minorEastAsia" w:cstheme="minorEastAsia"/>
          <w:snapToGrid/>
          <w:kern w:val="2"/>
          <w:sz w:val="21"/>
          <w:szCs w:val="21"/>
          <w:lang w:val="en-US" w:eastAsia="zh-CN"/>
        </w:rPr>
        <w:t>程序管理：可灵活新建、编辑、应用及删除相应程序</w:t>
      </w:r>
    </w:p>
    <w:p w14:paraId="01137E18">
      <w:pPr>
        <w:keepNext w:val="0"/>
        <w:keepLines w:val="0"/>
        <w:pageBreakBefore w:val="0"/>
        <w:widowControl/>
        <w:numPr>
          <w:ilvl w:val="1"/>
          <w:numId w:val="0"/>
        </w:numPr>
        <w:kinsoku/>
        <w:wordWrap/>
        <w:overflowPunct/>
        <w:topLinePunct w:val="0"/>
        <w:autoSpaceDE/>
        <w:autoSpaceDN/>
        <w:bidi w:val="0"/>
        <w:adjustRightInd/>
        <w:snapToGrid/>
        <w:spacing w:line="400" w:lineRule="exact"/>
        <w:ind w:left="567" w:leftChars="0" w:hanging="567" w:firstLineChars="0"/>
        <w:jc w:val="left"/>
        <w:textAlignment w:val="auto"/>
        <w:rPr>
          <w:rFonts w:hint="eastAsia" w:asciiTheme="minorEastAsia" w:hAnsiTheme="minorEastAsia" w:eastAsiaTheme="minorEastAsia" w:cstheme="minorEastAsia"/>
          <w:snapToGrid/>
          <w:kern w:val="2"/>
          <w:sz w:val="21"/>
          <w:szCs w:val="21"/>
          <w:lang w:val="en-US" w:eastAsia="zh-CN"/>
        </w:rPr>
      </w:pPr>
      <w:r>
        <w:rPr>
          <w:rFonts w:hint="eastAsia" w:asciiTheme="minorEastAsia" w:hAnsiTheme="minorEastAsia" w:eastAsiaTheme="minorEastAsia" w:cstheme="minorEastAsia"/>
          <w:snapToGrid/>
          <w:kern w:val="2"/>
          <w:sz w:val="21"/>
          <w:szCs w:val="21"/>
          <w:lang w:val="en-US" w:eastAsia="zh-CN" w:bidi="ar-SA"/>
        </w:rPr>
        <w:t>16、</w:t>
      </w:r>
      <w:r>
        <w:rPr>
          <w:rFonts w:hint="eastAsia" w:asciiTheme="minorEastAsia" w:hAnsiTheme="minorEastAsia" w:eastAsiaTheme="minorEastAsia" w:cstheme="minorEastAsia"/>
          <w:snapToGrid/>
          <w:kern w:val="2"/>
          <w:sz w:val="21"/>
          <w:szCs w:val="21"/>
          <w:lang w:val="en-US" w:eastAsia="zh-CN"/>
        </w:rPr>
        <w:t>数据储存(内部程序)：可存储≥100 组程序</w:t>
      </w:r>
    </w:p>
    <w:p w14:paraId="4B02FC53">
      <w:pPr>
        <w:keepNext w:val="0"/>
        <w:keepLines w:val="0"/>
        <w:pageBreakBefore w:val="0"/>
        <w:widowControl/>
        <w:numPr>
          <w:ilvl w:val="1"/>
          <w:numId w:val="0"/>
        </w:numPr>
        <w:kinsoku/>
        <w:wordWrap/>
        <w:overflowPunct/>
        <w:topLinePunct w:val="0"/>
        <w:autoSpaceDE/>
        <w:autoSpaceDN/>
        <w:bidi w:val="0"/>
        <w:adjustRightInd/>
        <w:snapToGrid/>
        <w:spacing w:line="400" w:lineRule="exact"/>
        <w:ind w:left="567" w:leftChars="0" w:hanging="567" w:firstLineChars="0"/>
        <w:jc w:val="left"/>
        <w:textAlignment w:val="auto"/>
        <w:rPr>
          <w:rFonts w:hint="eastAsia" w:asciiTheme="minorEastAsia" w:hAnsiTheme="minorEastAsia" w:eastAsiaTheme="minorEastAsia" w:cstheme="minorEastAsia"/>
          <w:snapToGrid/>
          <w:kern w:val="2"/>
          <w:sz w:val="21"/>
          <w:szCs w:val="21"/>
          <w:lang w:val="en-US" w:eastAsia="zh-CN"/>
        </w:rPr>
      </w:pPr>
      <w:r>
        <w:rPr>
          <w:rFonts w:hint="eastAsia" w:asciiTheme="minorEastAsia" w:hAnsiTheme="minorEastAsia" w:eastAsiaTheme="minorEastAsia" w:cstheme="minorEastAsia"/>
          <w:snapToGrid/>
          <w:kern w:val="2"/>
          <w:sz w:val="21"/>
          <w:szCs w:val="21"/>
          <w:lang w:val="en-US" w:eastAsia="zh-CN" w:bidi="ar-SA"/>
        </w:rPr>
        <w:t>17、</w:t>
      </w:r>
      <w:r>
        <w:rPr>
          <w:rFonts w:hint="eastAsia" w:asciiTheme="minorEastAsia" w:hAnsiTheme="minorEastAsia" w:eastAsiaTheme="minorEastAsia" w:cstheme="minorEastAsia"/>
          <w:snapToGrid/>
          <w:kern w:val="2"/>
          <w:sz w:val="21"/>
          <w:szCs w:val="21"/>
          <w:lang w:val="en-US" w:eastAsia="zh-CN"/>
        </w:rPr>
        <w:t>通风方式：高速风扇+特殊风道设计</w:t>
      </w:r>
    </w:p>
    <w:p w14:paraId="722A935F">
      <w:pPr>
        <w:keepNext w:val="0"/>
        <w:keepLines w:val="0"/>
        <w:pageBreakBefore w:val="0"/>
        <w:widowControl/>
        <w:numPr>
          <w:ilvl w:val="1"/>
          <w:numId w:val="0"/>
        </w:numPr>
        <w:kinsoku/>
        <w:wordWrap/>
        <w:overflowPunct/>
        <w:topLinePunct w:val="0"/>
        <w:autoSpaceDE/>
        <w:autoSpaceDN/>
        <w:bidi w:val="0"/>
        <w:adjustRightInd/>
        <w:snapToGrid/>
        <w:spacing w:line="400" w:lineRule="exact"/>
        <w:ind w:left="567" w:leftChars="0" w:hanging="567" w:firstLineChars="0"/>
        <w:jc w:val="left"/>
        <w:textAlignment w:val="auto"/>
        <w:rPr>
          <w:rFonts w:hint="eastAsia" w:asciiTheme="minorEastAsia" w:hAnsiTheme="minorEastAsia" w:eastAsiaTheme="minorEastAsia" w:cstheme="minorEastAsia"/>
          <w:snapToGrid/>
          <w:kern w:val="2"/>
          <w:sz w:val="21"/>
          <w:szCs w:val="21"/>
          <w:lang w:val="en-US" w:eastAsia="zh-CN"/>
        </w:rPr>
      </w:pPr>
      <w:r>
        <w:rPr>
          <w:rFonts w:hint="eastAsia" w:asciiTheme="minorEastAsia" w:hAnsiTheme="minorEastAsia" w:eastAsiaTheme="minorEastAsia" w:cstheme="minorEastAsia"/>
          <w:snapToGrid/>
          <w:kern w:val="2"/>
          <w:sz w:val="21"/>
          <w:szCs w:val="21"/>
          <w:lang w:val="en-US" w:eastAsia="zh-CN" w:bidi="ar-SA"/>
        </w:rPr>
        <w:t>18、</w:t>
      </w:r>
      <w:r>
        <w:rPr>
          <w:rFonts w:hint="eastAsia" w:asciiTheme="minorEastAsia" w:hAnsiTheme="minorEastAsia" w:eastAsiaTheme="minorEastAsia" w:cstheme="minorEastAsia"/>
          <w:snapToGrid/>
          <w:kern w:val="2"/>
          <w:sz w:val="21"/>
          <w:szCs w:val="21"/>
          <w:lang w:val="en-US" w:eastAsia="zh-CN"/>
        </w:rPr>
        <w:t>污染控制：内置紫外消毒灯</w:t>
      </w:r>
    </w:p>
    <w:p w14:paraId="2D821ECC">
      <w:pPr>
        <w:keepNext w:val="0"/>
        <w:keepLines w:val="0"/>
        <w:pageBreakBefore w:val="0"/>
        <w:widowControl/>
        <w:numPr>
          <w:ilvl w:val="1"/>
          <w:numId w:val="0"/>
        </w:numPr>
        <w:kinsoku/>
        <w:wordWrap/>
        <w:overflowPunct/>
        <w:topLinePunct w:val="0"/>
        <w:autoSpaceDE/>
        <w:autoSpaceDN/>
        <w:bidi w:val="0"/>
        <w:adjustRightInd/>
        <w:snapToGrid/>
        <w:spacing w:line="400" w:lineRule="exact"/>
        <w:ind w:left="567" w:leftChars="0" w:hanging="567" w:firstLineChars="0"/>
        <w:jc w:val="left"/>
        <w:textAlignment w:val="auto"/>
        <w:rPr>
          <w:rFonts w:hint="eastAsia" w:asciiTheme="minorEastAsia" w:hAnsiTheme="minorEastAsia" w:eastAsiaTheme="minorEastAsia" w:cstheme="minorEastAsia"/>
          <w:snapToGrid/>
          <w:kern w:val="2"/>
          <w:sz w:val="21"/>
          <w:szCs w:val="21"/>
          <w:lang w:val="en-US" w:eastAsia="zh-CN"/>
        </w:rPr>
      </w:pPr>
      <w:r>
        <w:rPr>
          <w:rFonts w:hint="eastAsia" w:asciiTheme="minorEastAsia" w:hAnsiTheme="minorEastAsia" w:eastAsiaTheme="minorEastAsia" w:cstheme="minorEastAsia"/>
          <w:snapToGrid/>
          <w:kern w:val="2"/>
          <w:sz w:val="21"/>
          <w:szCs w:val="21"/>
          <w:lang w:val="en-US" w:eastAsia="zh-CN" w:bidi="ar-SA"/>
        </w:rPr>
        <w:t>19、</w:t>
      </w:r>
      <w:r>
        <w:rPr>
          <w:rFonts w:hint="eastAsia" w:asciiTheme="minorEastAsia" w:hAnsiTheme="minorEastAsia" w:eastAsiaTheme="minorEastAsia" w:cstheme="minorEastAsia"/>
          <w:snapToGrid/>
          <w:kern w:val="2"/>
          <w:sz w:val="21"/>
          <w:szCs w:val="21"/>
          <w:lang w:val="en-US" w:eastAsia="zh-CN"/>
        </w:rPr>
        <w:t>自动息屏/唤醒功能</w:t>
      </w:r>
    </w:p>
    <w:p w14:paraId="3888C3FD">
      <w:pPr>
        <w:keepNext w:val="0"/>
        <w:keepLines w:val="0"/>
        <w:pageBreakBefore w:val="0"/>
        <w:widowControl/>
        <w:numPr>
          <w:ilvl w:val="1"/>
          <w:numId w:val="0"/>
        </w:numPr>
        <w:kinsoku/>
        <w:wordWrap/>
        <w:overflowPunct/>
        <w:topLinePunct w:val="0"/>
        <w:autoSpaceDE/>
        <w:autoSpaceDN/>
        <w:bidi w:val="0"/>
        <w:adjustRightInd/>
        <w:snapToGrid/>
        <w:spacing w:line="400" w:lineRule="exact"/>
        <w:ind w:left="567" w:leftChars="0" w:hanging="567" w:firstLineChars="0"/>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2"/>
          <w:sz w:val="21"/>
          <w:szCs w:val="21"/>
          <w:lang w:val="en-US" w:eastAsia="zh-CN" w:bidi="ar-SA"/>
        </w:rPr>
        <w:t>20、</w:t>
      </w:r>
      <w:r>
        <w:rPr>
          <w:rFonts w:hint="eastAsia" w:asciiTheme="minorEastAsia" w:hAnsiTheme="minorEastAsia" w:eastAsiaTheme="minorEastAsia" w:cstheme="minorEastAsia"/>
          <w:snapToGrid/>
          <w:kern w:val="2"/>
          <w:sz w:val="21"/>
          <w:szCs w:val="21"/>
          <w:lang w:val="en-US" w:eastAsia="zh-CN"/>
        </w:rPr>
        <w:t>重量： ≤35kg</w:t>
      </w:r>
    </w:p>
    <w:p w14:paraId="220EA3A8">
      <w:pPr>
        <w:widowControl/>
        <w:numPr>
          <w:ilvl w:val="1"/>
          <w:numId w:val="0"/>
        </w:numPr>
        <w:spacing w:line="420" w:lineRule="exact"/>
        <w:rPr>
          <w:rFonts w:hint="eastAsia" w:ascii="宋体" w:hAnsi="宋体" w:cs="宋体"/>
          <w:color w:val="000000"/>
          <w:szCs w:val="21"/>
          <w:lang w:eastAsia="zh-CN"/>
        </w:rPr>
      </w:pPr>
    </w:p>
    <w:p w14:paraId="0465C091">
      <w:pPr>
        <w:widowControl/>
        <w:numPr>
          <w:ilvl w:val="-1"/>
          <w:numId w:val="0"/>
        </w:numPr>
        <w:tabs>
          <w:tab w:val="left" w:pos="720"/>
        </w:tabs>
        <w:spacing w:line="360" w:lineRule="auto"/>
        <w:rPr>
          <w:rFonts w:hint="eastAsia" w:ascii="Times New Roman" w:hAnsi="Times New Roman" w:eastAsia="宋体" w:cs="Times New Roman"/>
          <w:b/>
          <w:szCs w:val="21"/>
          <w:lang w:eastAsia="zh-CN"/>
        </w:rPr>
      </w:pPr>
    </w:p>
    <w:p w14:paraId="0D88520D">
      <w:pPr>
        <w:widowControl/>
        <w:numPr>
          <w:ilvl w:val="-1"/>
          <w:numId w:val="0"/>
        </w:numPr>
        <w:tabs>
          <w:tab w:val="left" w:pos="720"/>
        </w:tabs>
        <w:spacing w:line="360" w:lineRule="auto"/>
        <w:rPr>
          <w:rFonts w:hint="eastAsia" w:ascii="Times New Roman" w:hAnsi="Times New Roman" w:eastAsia="宋体" w:cs="Times New Roman"/>
          <w:b/>
          <w:szCs w:val="21"/>
          <w:lang w:val="en-US" w:eastAsia="zh-CN"/>
        </w:rPr>
      </w:pPr>
      <w:r>
        <w:rPr>
          <w:rFonts w:hint="eastAsia" w:ascii="Times New Roman" w:hAnsi="Times New Roman" w:eastAsia="宋体" w:cs="Times New Roman"/>
          <w:b/>
          <w:szCs w:val="21"/>
          <w:lang w:eastAsia="zh-CN"/>
        </w:rPr>
        <w:t>荧光定量</w:t>
      </w:r>
      <w:r>
        <w:rPr>
          <w:rFonts w:hint="eastAsia" w:ascii="Times New Roman" w:hAnsi="Times New Roman" w:eastAsia="宋体" w:cs="Times New Roman"/>
          <w:b/>
          <w:szCs w:val="21"/>
          <w:lang w:val="en-US" w:eastAsia="zh-CN"/>
        </w:rPr>
        <w:t>PCR仪</w:t>
      </w:r>
    </w:p>
    <w:p w14:paraId="679972B0">
      <w:pPr>
        <w:widowControl/>
        <w:numPr>
          <w:ilvl w:val="1"/>
          <w:numId w:val="0"/>
        </w:numPr>
        <w:spacing w:line="400" w:lineRule="exact"/>
        <w:ind w:left="567" w:hanging="567"/>
        <w:jc w:val="lef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w:t>
      </w:r>
      <w:r>
        <w:rPr>
          <w:rFonts w:hint="eastAsia" w:asciiTheme="minorEastAsia" w:hAnsiTheme="minorEastAsia" w:eastAsiaTheme="minorEastAsia" w:cstheme="minorEastAsia"/>
          <w:b w:val="0"/>
          <w:bCs w:val="0"/>
          <w:sz w:val="21"/>
          <w:szCs w:val="21"/>
          <w:lang w:val="en-US" w:eastAsia="zh-CN"/>
        </w:rPr>
        <w:t>1、</w:t>
      </w:r>
      <w:r>
        <w:rPr>
          <w:rFonts w:hint="eastAsia" w:asciiTheme="minorEastAsia" w:hAnsiTheme="minorEastAsia" w:eastAsiaTheme="minorEastAsia" w:cstheme="minorEastAsia"/>
          <w:b w:val="0"/>
          <w:bCs w:val="0"/>
          <w:sz w:val="21"/>
          <w:szCs w:val="21"/>
        </w:rPr>
        <w:t>激发光源</w:t>
      </w:r>
      <w:r>
        <w:rPr>
          <w:rFonts w:hint="eastAsia" w:asciiTheme="minorEastAsia" w:hAnsiTheme="minorEastAsia" w:eastAsiaTheme="minorEastAsia" w:cstheme="minorEastAsia"/>
          <w:b w:val="0"/>
          <w:bCs w:val="0"/>
          <w:sz w:val="21"/>
          <w:szCs w:val="21"/>
          <w:lang w:eastAsia="zh-CN"/>
        </w:rPr>
        <w:t>：</w:t>
      </w:r>
      <w:r>
        <w:rPr>
          <w:rFonts w:hint="eastAsia" w:asciiTheme="minorEastAsia" w:hAnsiTheme="minorEastAsia" w:eastAsiaTheme="minorEastAsia" w:cstheme="minorEastAsia"/>
          <w:b w:val="0"/>
          <w:bCs w:val="0"/>
          <w:sz w:val="21"/>
          <w:szCs w:val="21"/>
        </w:rPr>
        <w:t>LED光源</w:t>
      </w:r>
    </w:p>
    <w:p w14:paraId="5E25B418">
      <w:pPr>
        <w:widowControl/>
        <w:numPr>
          <w:ilvl w:val="1"/>
          <w:numId w:val="0"/>
        </w:numPr>
        <w:spacing w:line="400" w:lineRule="exact"/>
        <w:ind w:left="567" w:hanging="567"/>
        <w:jc w:val="lef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w:t>
      </w:r>
      <w:r>
        <w:rPr>
          <w:rFonts w:hint="eastAsia" w:asciiTheme="minorEastAsia" w:hAnsiTheme="minorEastAsia" w:eastAsiaTheme="minorEastAsia" w:cstheme="minorEastAsia"/>
          <w:b w:val="0"/>
          <w:bCs w:val="0"/>
          <w:sz w:val="21"/>
          <w:szCs w:val="21"/>
          <w:lang w:val="en-US" w:eastAsia="zh-CN"/>
        </w:rPr>
        <w:t>2、</w:t>
      </w:r>
      <w:r>
        <w:rPr>
          <w:rFonts w:hint="eastAsia" w:asciiTheme="minorEastAsia" w:hAnsiTheme="minorEastAsia" w:eastAsiaTheme="minorEastAsia" w:cstheme="minorEastAsia"/>
          <w:b w:val="0"/>
          <w:bCs w:val="0"/>
          <w:sz w:val="21"/>
          <w:szCs w:val="21"/>
        </w:rPr>
        <w:t>检测器</w:t>
      </w:r>
      <w:r>
        <w:rPr>
          <w:rFonts w:hint="eastAsia" w:asciiTheme="minorEastAsia" w:hAnsiTheme="minorEastAsia" w:eastAsiaTheme="minorEastAsia" w:cstheme="minorEastAsia"/>
          <w:b w:val="0"/>
          <w:bCs w:val="0"/>
          <w:sz w:val="21"/>
          <w:szCs w:val="21"/>
          <w:lang w:eastAsia="zh-CN"/>
        </w:rPr>
        <w:t>：</w:t>
      </w:r>
      <w:r>
        <w:rPr>
          <w:rFonts w:hint="eastAsia" w:asciiTheme="minorEastAsia" w:hAnsiTheme="minorEastAsia" w:eastAsiaTheme="minorEastAsia" w:cstheme="minorEastAsia"/>
          <w:b w:val="0"/>
          <w:bCs w:val="0"/>
          <w:sz w:val="21"/>
          <w:szCs w:val="21"/>
        </w:rPr>
        <w:t>高灵敏度光电传感器</w:t>
      </w:r>
    </w:p>
    <w:p w14:paraId="2C05EE51">
      <w:pPr>
        <w:widowControl/>
        <w:numPr>
          <w:ilvl w:val="1"/>
          <w:numId w:val="0"/>
        </w:numPr>
        <w:spacing w:line="400" w:lineRule="exact"/>
        <w:ind w:left="567" w:hanging="567"/>
        <w:jc w:val="lef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w:t>
      </w:r>
      <w:r>
        <w:rPr>
          <w:rFonts w:hint="eastAsia" w:asciiTheme="minorEastAsia" w:hAnsiTheme="minorEastAsia" w:eastAsiaTheme="minorEastAsia" w:cstheme="minorEastAsia"/>
          <w:b w:val="0"/>
          <w:bCs w:val="0"/>
          <w:sz w:val="21"/>
          <w:szCs w:val="21"/>
          <w:lang w:val="en-US" w:eastAsia="zh-CN"/>
        </w:rPr>
        <w:t>3、</w:t>
      </w:r>
      <w:r>
        <w:rPr>
          <w:rFonts w:hint="eastAsia" w:asciiTheme="minorEastAsia" w:hAnsiTheme="minorEastAsia" w:eastAsiaTheme="minorEastAsia" w:cstheme="minorEastAsia"/>
          <w:b w:val="0"/>
          <w:bCs w:val="0"/>
          <w:sz w:val="21"/>
          <w:szCs w:val="21"/>
        </w:rPr>
        <w:t>样本容量</w:t>
      </w:r>
      <w:r>
        <w:rPr>
          <w:rFonts w:hint="eastAsia" w:asciiTheme="minorEastAsia" w:hAnsiTheme="minorEastAsia" w:eastAsiaTheme="minorEastAsia" w:cstheme="minorEastAsia"/>
          <w:b w:val="0"/>
          <w:bCs w:val="0"/>
          <w:sz w:val="21"/>
          <w:szCs w:val="21"/>
          <w:lang w:eastAsia="zh-CN"/>
        </w:rPr>
        <w:t>：</w:t>
      </w:r>
      <w:r>
        <w:rPr>
          <w:rFonts w:hint="eastAsia" w:asciiTheme="minorEastAsia" w:hAnsiTheme="minorEastAsia" w:eastAsiaTheme="minorEastAsia" w:cstheme="minorEastAsia"/>
          <w:b w:val="0"/>
          <w:bCs w:val="0"/>
          <w:sz w:val="21"/>
          <w:szCs w:val="21"/>
        </w:rPr>
        <w:t>96孔(48×2＊0.2ml,双反应模块)</w:t>
      </w:r>
    </w:p>
    <w:p w14:paraId="583C52F7">
      <w:pPr>
        <w:widowControl/>
        <w:numPr>
          <w:ilvl w:val="1"/>
          <w:numId w:val="0"/>
        </w:numPr>
        <w:snapToGrid/>
        <w:spacing w:line="400" w:lineRule="exact"/>
        <w:ind w:left="567" w:hanging="567" w:firstLineChars="0"/>
        <w:jc w:val="left"/>
        <w:rPr>
          <w:rFonts w:hint="eastAsia" w:asciiTheme="minorEastAsia" w:hAnsiTheme="minorEastAsia" w:eastAsiaTheme="minorEastAsia" w:cstheme="minorEastAsia"/>
          <w:b w:val="0"/>
          <w:bCs w:val="0"/>
          <w:sz w:val="21"/>
          <w:szCs w:val="21"/>
          <w:lang w:eastAsia="zh-CN"/>
        </w:rPr>
      </w:pPr>
      <w:r>
        <w:rPr>
          <w:rFonts w:hint="eastAsia" w:asciiTheme="minorEastAsia" w:hAnsiTheme="minorEastAsia" w:eastAsiaTheme="minorEastAsia" w:cstheme="minorEastAsia"/>
          <w:szCs w:val="21"/>
        </w:rPr>
        <w:t>▲</w:t>
      </w:r>
      <w:r>
        <w:rPr>
          <w:rFonts w:hint="eastAsia" w:asciiTheme="minorEastAsia" w:hAnsiTheme="minorEastAsia" w:eastAsiaTheme="minorEastAsia" w:cstheme="minorEastAsia"/>
          <w:b w:val="0"/>
          <w:bCs w:val="0"/>
          <w:sz w:val="21"/>
          <w:szCs w:val="21"/>
          <w:lang w:val="en-US" w:eastAsia="zh-CN"/>
        </w:rPr>
        <w:t>4、</w:t>
      </w:r>
      <w:r>
        <w:rPr>
          <w:rFonts w:hint="eastAsia" w:asciiTheme="minorEastAsia" w:hAnsiTheme="minorEastAsia" w:eastAsiaTheme="minorEastAsia" w:cstheme="minorEastAsia"/>
          <w:b w:val="0"/>
          <w:bCs w:val="0"/>
          <w:sz w:val="21"/>
          <w:szCs w:val="21"/>
        </w:rPr>
        <w:t>荧光检测波长</w:t>
      </w:r>
      <w:r>
        <w:rPr>
          <w:rFonts w:hint="eastAsia" w:asciiTheme="minorEastAsia" w:hAnsiTheme="minorEastAsia" w:eastAsiaTheme="minorEastAsia" w:cstheme="minorEastAsia"/>
          <w:b w:val="0"/>
          <w:bCs w:val="0"/>
          <w:sz w:val="21"/>
          <w:szCs w:val="21"/>
          <w:lang w:eastAsia="zh-CN"/>
        </w:rPr>
        <w:t>：</w:t>
      </w:r>
      <w:r>
        <w:rPr>
          <w:rFonts w:hint="eastAsia" w:asciiTheme="minorEastAsia" w:hAnsiTheme="minorEastAsia" w:eastAsiaTheme="minorEastAsia" w:cstheme="minorEastAsia"/>
          <w:b w:val="0"/>
          <w:bCs w:val="0"/>
          <w:sz w:val="21"/>
          <w:szCs w:val="21"/>
        </w:rPr>
        <w:t>470nm-665nm</w:t>
      </w:r>
      <w:r>
        <w:rPr>
          <w:rFonts w:hint="eastAsia" w:asciiTheme="minorEastAsia" w:hAnsiTheme="minorEastAsia" w:eastAsiaTheme="minorEastAsia" w:cstheme="minorEastAsia"/>
          <w:b w:val="0"/>
          <w:bCs w:val="0"/>
          <w:sz w:val="21"/>
          <w:szCs w:val="21"/>
          <w:lang w:eastAsia="zh-CN"/>
        </w:rPr>
        <w:t>，可分为多段波长段</w:t>
      </w:r>
    </w:p>
    <w:p w14:paraId="2AC96C8B">
      <w:pPr>
        <w:widowControl/>
        <w:numPr>
          <w:ilvl w:val="1"/>
          <w:numId w:val="0"/>
        </w:numPr>
        <w:spacing w:line="400" w:lineRule="exact"/>
        <w:ind w:left="567" w:leftChars="0" w:hanging="567" w:firstLineChars="0"/>
        <w:jc w:val="lef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5、</w:t>
      </w:r>
      <w:r>
        <w:rPr>
          <w:rFonts w:hint="eastAsia" w:asciiTheme="minorEastAsia" w:hAnsiTheme="minorEastAsia" w:eastAsiaTheme="minorEastAsia" w:cstheme="minorEastAsia"/>
          <w:b w:val="0"/>
          <w:bCs w:val="0"/>
          <w:sz w:val="21"/>
          <w:szCs w:val="21"/>
        </w:rPr>
        <w:t>可检测的荧光素及染料</w:t>
      </w:r>
      <w:r>
        <w:rPr>
          <w:rFonts w:hint="eastAsia" w:asciiTheme="minorEastAsia" w:hAnsiTheme="minorEastAsia" w:eastAsiaTheme="minorEastAsia" w:cstheme="minorEastAsia"/>
          <w:b w:val="0"/>
          <w:bCs w:val="0"/>
          <w:sz w:val="21"/>
          <w:szCs w:val="21"/>
          <w:lang w:eastAsia="zh-CN"/>
        </w:rPr>
        <w:t>：</w:t>
      </w:r>
      <w:r>
        <w:rPr>
          <w:rFonts w:hint="eastAsia" w:asciiTheme="minorEastAsia" w:hAnsiTheme="minorEastAsia" w:eastAsiaTheme="minorEastAsia" w:cstheme="minorEastAsia"/>
          <w:b w:val="0"/>
          <w:bCs w:val="0"/>
          <w:sz w:val="21"/>
          <w:szCs w:val="21"/>
        </w:rPr>
        <w:t>FAM,SYBR，VIC, HEX, Joe, TET，TMRA，CY3，ROX, Texas Red,CY5</w:t>
      </w:r>
    </w:p>
    <w:p w14:paraId="576E4E17">
      <w:pPr>
        <w:widowControl/>
        <w:numPr>
          <w:ilvl w:val="1"/>
          <w:numId w:val="0"/>
        </w:numPr>
        <w:spacing w:line="400" w:lineRule="exact"/>
        <w:ind w:left="567" w:hanging="567"/>
        <w:jc w:val="lef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szCs w:val="21"/>
        </w:rPr>
        <w:t>▲</w:t>
      </w:r>
      <w:r>
        <w:rPr>
          <w:rFonts w:hint="eastAsia" w:asciiTheme="minorEastAsia" w:hAnsiTheme="minorEastAsia" w:eastAsiaTheme="minorEastAsia" w:cstheme="minorEastAsia"/>
          <w:szCs w:val="21"/>
          <w:lang w:val="en-US" w:eastAsia="zh-CN"/>
        </w:rPr>
        <w:t>6、</w:t>
      </w:r>
      <w:r>
        <w:rPr>
          <w:rFonts w:hint="eastAsia" w:asciiTheme="minorEastAsia" w:hAnsiTheme="minorEastAsia" w:eastAsiaTheme="minorEastAsia" w:cstheme="minorEastAsia"/>
          <w:b w:val="0"/>
          <w:bCs w:val="0"/>
          <w:sz w:val="21"/>
          <w:szCs w:val="21"/>
        </w:rPr>
        <w:t>激发、检测光的传输模式</w:t>
      </w:r>
      <w:r>
        <w:rPr>
          <w:rFonts w:hint="eastAsia" w:asciiTheme="minorEastAsia" w:hAnsiTheme="minorEastAsia" w:eastAsiaTheme="minorEastAsia" w:cstheme="minorEastAsia"/>
          <w:b w:val="0"/>
          <w:bCs w:val="0"/>
          <w:sz w:val="21"/>
          <w:szCs w:val="21"/>
          <w:lang w:eastAsia="zh-CN"/>
        </w:rPr>
        <w:t>：</w:t>
      </w:r>
      <w:r>
        <w:rPr>
          <w:rFonts w:hint="eastAsia" w:asciiTheme="minorEastAsia" w:hAnsiTheme="minorEastAsia" w:eastAsiaTheme="minorEastAsia" w:cstheme="minorEastAsia"/>
          <w:b w:val="0"/>
          <w:bCs w:val="0"/>
          <w:sz w:val="21"/>
          <w:szCs w:val="21"/>
        </w:rPr>
        <w:t>每一反应孔独立的光纤传输</w:t>
      </w:r>
    </w:p>
    <w:p w14:paraId="252BA96C">
      <w:pPr>
        <w:widowControl/>
        <w:numPr>
          <w:ilvl w:val="1"/>
          <w:numId w:val="0"/>
        </w:numPr>
        <w:spacing w:line="400" w:lineRule="exact"/>
        <w:ind w:left="0" w:leftChars="0" w:firstLine="0" w:firstLineChars="0"/>
        <w:jc w:val="lef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7、</w:t>
      </w:r>
      <w:r>
        <w:rPr>
          <w:rFonts w:hint="eastAsia" w:asciiTheme="minorEastAsia" w:hAnsiTheme="minorEastAsia" w:eastAsiaTheme="minorEastAsia" w:cstheme="minorEastAsia"/>
          <w:b w:val="0"/>
          <w:bCs w:val="0"/>
          <w:sz w:val="21"/>
          <w:szCs w:val="21"/>
        </w:rPr>
        <w:t>软件应用模式</w:t>
      </w:r>
      <w:r>
        <w:rPr>
          <w:rFonts w:hint="eastAsia" w:asciiTheme="minorEastAsia" w:hAnsiTheme="minorEastAsia" w:eastAsiaTheme="minorEastAsia" w:cstheme="minorEastAsia"/>
          <w:b w:val="0"/>
          <w:bCs w:val="0"/>
          <w:sz w:val="21"/>
          <w:szCs w:val="21"/>
          <w:lang w:eastAsia="zh-CN"/>
        </w:rPr>
        <w:t>：</w:t>
      </w:r>
      <w:r>
        <w:rPr>
          <w:rFonts w:hint="eastAsia" w:asciiTheme="minorEastAsia" w:hAnsiTheme="minorEastAsia" w:eastAsiaTheme="minorEastAsia" w:cstheme="minorEastAsia"/>
          <w:b w:val="0"/>
          <w:bCs w:val="0"/>
          <w:sz w:val="21"/>
          <w:szCs w:val="21"/>
        </w:rPr>
        <w:t>定量/定性、熔解曲线、多管多项目分析、相对定量、等位基因、HRM、SAT实时荧光等温扩增</w:t>
      </w:r>
    </w:p>
    <w:p w14:paraId="51F2BE67">
      <w:pPr>
        <w:widowControl/>
        <w:numPr>
          <w:ilvl w:val="1"/>
          <w:numId w:val="0"/>
        </w:numPr>
        <w:spacing w:line="400" w:lineRule="exact"/>
        <w:ind w:left="567" w:hanging="567" w:firstLineChars="0"/>
        <w:jc w:val="lef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8、</w:t>
      </w:r>
      <w:r>
        <w:rPr>
          <w:rFonts w:hint="eastAsia" w:asciiTheme="minorEastAsia" w:hAnsiTheme="minorEastAsia" w:eastAsiaTheme="minorEastAsia" w:cstheme="minorEastAsia"/>
          <w:b w:val="0"/>
          <w:bCs w:val="0"/>
          <w:sz w:val="21"/>
          <w:szCs w:val="21"/>
        </w:rPr>
        <w:t>模块温度范围</w:t>
      </w:r>
      <w:r>
        <w:rPr>
          <w:rFonts w:hint="eastAsia" w:asciiTheme="minorEastAsia" w:hAnsiTheme="minorEastAsia" w:eastAsiaTheme="minorEastAsia" w:cstheme="minorEastAsia"/>
          <w:b w:val="0"/>
          <w:bCs w:val="0"/>
          <w:sz w:val="21"/>
          <w:szCs w:val="21"/>
          <w:lang w:eastAsia="zh-CN"/>
        </w:rPr>
        <w:t>：</w:t>
      </w:r>
      <w:r>
        <w:rPr>
          <w:rFonts w:hint="eastAsia" w:asciiTheme="minorEastAsia" w:hAnsiTheme="minorEastAsia" w:eastAsiaTheme="minorEastAsia" w:cstheme="minorEastAsia"/>
          <w:b w:val="0"/>
          <w:bCs w:val="0"/>
          <w:sz w:val="21"/>
          <w:szCs w:val="21"/>
        </w:rPr>
        <w:t>4℃-99℃</w:t>
      </w:r>
    </w:p>
    <w:p w14:paraId="1B4CA959">
      <w:pPr>
        <w:widowControl/>
        <w:numPr>
          <w:ilvl w:val="1"/>
          <w:numId w:val="0"/>
        </w:numPr>
        <w:spacing w:line="400" w:lineRule="exact"/>
        <w:ind w:left="567" w:hanging="567" w:firstLineChars="0"/>
        <w:jc w:val="left"/>
        <w:rPr>
          <w:rFonts w:hint="eastAsia" w:asciiTheme="minorEastAsia" w:hAnsiTheme="minorEastAsia" w:eastAsiaTheme="minorEastAsia" w:cstheme="minorEastAsia"/>
          <w:b w:val="0"/>
          <w:bCs w:val="0"/>
          <w:sz w:val="21"/>
          <w:szCs w:val="21"/>
          <w:vertAlign w:val="baseline"/>
        </w:rPr>
      </w:pPr>
      <w:r>
        <w:rPr>
          <w:rFonts w:hint="eastAsia" w:asciiTheme="minorEastAsia" w:hAnsiTheme="minorEastAsia" w:eastAsiaTheme="minorEastAsia" w:cstheme="minorEastAsia"/>
          <w:b w:val="0"/>
          <w:bCs w:val="0"/>
          <w:sz w:val="21"/>
          <w:szCs w:val="21"/>
          <w:lang w:val="en-US" w:eastAsia="zh-CN"/>
        </w:rPr>
        <w:t>9、</w:t>
      </w:r>
      <w:r>
        <w:rPr>
          <w:rFonts w:hint="eastAsia" w:asciiTheme="minorEastAsia" w:hAnsiTheme="minorEastAsia" w:eastAsiaTheme="minorEastAsia" w:cstheme="minorEastAsia"/>
          <w:b w:val="0"/>
          <w:bCs w:val="0"/>
          <w:sz w:val="21"/>
          <w:szCs w:val="21"/>
        </w:rPr>
        <w:t>检测动力学范围</w:t>
      </w:r>
      <w:r>
        <w:rPr>
          <w:rFonts w:hint="eastAsia" w:asciiTheme="minorEastAsia" w:hAnsiTheme="minorEastAsia" w:eastAsiaTheme="minorEastAsia" w:cstheme="minorEastAsia"/>
          <w:b w:val="0"/>
          <w:bCs w:val="0"/>
          <w:sz w:val="21"/>
          <w:szCs w:val="21"/>
          <w:lang w:eastAsia="zh-CN"/>
        </w:rPr>
        <w:t>：</w:t>
      </w:r>
      <w:r>
        <w:rPr>
          <w:rFonts w:hint="eastAsia" w:asciiTheme="minorEastAsia" w:hAnsiTheme="minorEastAsia" w:eastAsiaTheme="minorEastAsia" w:cstheme="minorEastAsia"/>
          <w:b w:val="0"/>
          <w:bCs w:val="0"/>
          <w:sz w:val="21"/>
          <w:szCs w:val="21"/>
        </w:rPr>
        <w:t>10</w:t>
      </w:r>
      <w:r>
        <w:rPr>
          <w:rFonts w:hint="eastAsia" w:asciiTheme="minorEastAsia" w:hAnsiTheme="minorEastAsia" w:eastAsiaTheme="minorEastAsia" w:cstheme="minorEastAsia"/>
          <w:b w:val="0"/>
          <w:bCs w:val="0"/>
          <w:sz w:val="21"/>
          <w:szCs w:val="21"/>
          <w:vertAlign w:val="baseline"/>
        </w:rPr>
        <w:t>0</w:t>
      </w:r>
      <w:r>
        <w:rPr>
          <w:rFonts w:hint="eastAsia" w:asciiTheme="minorEastAsia" w:hAnsiTheme="minorEastAsia" w:eastAsiaTheme="minorEastAsia" w:cstheme="minorEastAsia"/>
          <w:b w:val="0"/>
          <w:bCs w:val="0"/>
          <w:sz w:val="21"/>
          <w:szCs w:val="21"/>
          <w:vertAlign w:val="baseline"/>
        </w:rPr>
        <w:softHyphen/>
      </w:r>
      <w:r>
        <w:rPr>
          <w:rFonts w:hint="eastAsia" w:asciiTheme="minorEastAsia" w:hAnsiTheme="minorEastAsia" w:eastAsiaTheme="minorEastAsia" w:cstheme="minorEastAsia"/>
          <w:b w:val="0"/>
          <w:bCs w:val="0"/>
          <w:sz w:val="21"/>
          <w:szCs w:val="21"/>
        </w:rPr>
        <w:t>-10</w:t>
      </w:r>
      <w:r>
        <w:rPr>
          <w:rFonts w:hint="eastAsia" w:asciiTheme="minorEastAsia" w:hAnsiTheme="minorEastAsia" w:eastAsiaTheme="minorEastAsia" w:cstheme="minorEastAsia"/>
          <w:b w:val="0"/>
          <w:bCs w:val="0"/>
          <w:sz w:val="21"/>
          <w:szCs w:val="21"/>
          <w:vertAlign w:val="baseline"/>
        </w:rPr>
        <w:t>10</w:t>
      </w:r>
    </w:p>
    <w:p w14:paraId="095AB356">
      <w:pPr>
        <w:widowControl/>
        <w:numPr>
          <w:ilvl w:val="1"/>
          <w:numId w:val="0"/>
        </w:numPr>
        <w:spacing w:line="400" w:lineRule="exact"/>
        <w:ind w:left="567" w:hanging="567" w:firstLineChars="0"/>
        <w:jc w:val="lef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10、</w:t>
      </w:r>
      <w:r>
        <w:rPr>
          <w:rFonts w:hint="eastAsia" w:asciiTheme="minorEastAsia" w:hAnsiTheme="minorEastAsia" w:eastAsiaTheme="minorEastAsia" w:cstheme="minorEastAsia"/>
          <w:b w:val="0"/>
          <w:bCs w:val="0"/>
          <w:sz w:val="21"/>
          <w:szCs w:val="21"/>
        </w:rPr>
        <w:t>最小检测模板</w:t>
      </w:r>
      <w:r>
        <w:rPr>
          <w:rFonts w:hint="eastAsia" w:asciiTheme="minorEastAsia" w:hAnsiTheme="minorEastAsia" w:eastAsiaTheme="minorEastAsia" w:cstheme="minorEastAsia"/>
          <w:b w:val="0"/>
          <w:bCs w:val="0"/>
          <w:sz w:val="21"/>
          <w:szCs w:val="21"/>
          <w:lang w:eastAsia="zh-CN"/>
        </w:rPr>
        <w:t>：</w:t>
      </w:r>
      <w:r>
        <w:rPr>
          <w:rFonts w:hint="eastAsia" w:asciiTheme="minorEastAsia" w:hAnsiTheme="minorEastAsia" w:eastAsiaTheme="minorEastAsia" w:cstheme="minorEastAsia"/>
          <w:b w:val="0"/>
          <w:bCs w:val="0"/>
          <w:sz w:val="21"/>
          <w:szCs w:val="21"/>
        </w:rPr>
        <w:t>单个拷贝</w:t>
      </w:r>
    </w:p>
    <w:p w14:paraId="34D61F61">
      <w:pPr>
        <w:widowControl/>
        <w:numPr>
          <w:ilvl w:val="1"/>
          <w:numId w:val="0"/>
        </w:numPr>
        <w:spacing w:line="400" w:lineRule="exact"/>
        <w:ind w:left="567" w:hanging="567" w:firstLineChars="0"/>
        <w:jc w:val="lef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11、</w:t>
      </w:r>
      <w:r>
        <w:rPr>
          <w:rFonts w:hint="eastAsia" w:asciiTheme="minorEastAsia" w:hAnsiTheme="minorEastAsia" w:eastAsiaTheme="minorEastAsia" w:cstheme="minorEastAsia"/>
          <w:b w:val="0"/>
          <w:bCs w:val="0"/>
          <w:sz w:val="21"/>
          <w:szCs w:val="21"/>
        </w:rPr>
        <w:t>反应容积</w:t>
      </w:r>
      <w:r>
        <w:rPr>
          <w:rFonts w:hint="eastAsia" w:asciiTheme="minorEastAsia" w:hAnsiTheme="minorEastAsia" w:eastAsiaTheme="minorEastAsia" w:cstheme="minorEastAsia"/>
          <w:b w:val="0"/>
          <w:bCs w:val="0"/>
          <w:sz w:val="21"/>
          <w:szCs w:val="21"/>
          <w:lang w:eastAsia="zh-CN"/>
        </w:rPr>
        <w:t>：</w:t>
      </w:r>
      <w:r>
        <w:rPr>
          <w:rFonts w:hint="eastAsia" w:asciiTheme="minorEastAsia" w:hAnsiTheme="minorEastAsia" w:eastAsiaTheme="minorEastAsia" w:cstheme="minorEastAsia"/>
          <w:b w:val="0"/>
          <w:bCs w:val="0"/>
          <w:sz w:val="21"/>
          <w:szCs w:val="21"/>
        </w:rPr>
        <w:t>15ul-100ul</w:t>
      </w:r>
    </w:p>
    <w:p w14:paraId="7353E8C0">
      <w:pPr>
        <w:widowControl/>
        <w:numPr>
          <w:ilvl w:val="1"/>
          <w:numId w:val="0"/>
        </w:numPr>
        <w:spacing w:line="400" w:lineRule="exact"/>
        <w:ind w:left="567" w:hanging="567" w:firstLineChars="0"/>
        <w:jc w:val="lef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12、</w:t>
      </w:r>
      <w:r>
        <w:rPr>
          <w:rFonts w:hint="eastAsia" w:asciiTheme="minorEastAsia" w:hAnsiTheme="minorEastAsia" w:eastAsiaTheme="minorEastAsia" w:cstheme="minorEastAsia"/>
          <w:b w:val="0"/>
          <w:bCs w:val="0"/>
          <w:sz w:val="21"/>
          <w:szCs w:val="21"/>
        </w:rPr>
        <w:t>控温模式</w:t>
      </w:r>
      <w:r>
        <w:rPr>
          <w:rFonts w:hint="eastAsia" w:asciiTheme="minorEastAsia" w:hAnsiTheme="minorEastAsia" w:eastAsiaTheme="minorEastAsia" w:cstheme="minorEastAsia"/>
          <w:b w:val="0"/>
          <w:bCs w:val="0"/>
          <w:sz w:val="21"/>
          <w:szCs w:val="21"/>
          <w:lang w:eastAsia="zh-CN"/>
        </w:rPr>
        <w:t>：</w:t>
      </w:r>
      <w:r>
        <w:rPr>
          <w:rFonts w:hint="eastAsia" w:asciiTheme="minorEastAsia" w:hAnsiTheme="minorEastAsia" w:eastAsiaTheme="minorEastAsia" w:cstheme="minorEastAsia"/>
          <w:b w:val="0"/>
          <w:bCs w:val="0"/>
          <w:sz w:val="21"/>
          <w:szCs w:val="21"/>
        </w:rPr>
        <w:t>半导体热电模块</w:t>
      </w:r>
    </w:p>
    <w:p w14:paraId="7A06C8D7">
      <w:pPr>
        <w:widowControl/>
        <w:numPr>
          <w:ilvl w:val="1"/>
          <w:numId w:val="0"/>
        </w:numPr>
        <w:spacing w:line="400" w:lineRule="exact"/>
        <w:ind w:left="567" w:hanging="567" w:firstLineChars="0"/>
        <w:jc w:val="lef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13、</w:t>
      </w:r>
      <w:r>
        <w:rPr>
          <w:rFonts w:hint="eastAsia" w:asciiTheme="minorEastAsia" w:hAnsiTheme="minorEastAsia" w:eastAsiaTheme="minorEastAsia" w:cstheme="minorEastAsia"/>
          <w:b w:val="0"/>
          <w:bCs w:val="0"/>
          <w:sz w:val="21"/>
          <w:szCs w:val="21"/>
        </w:rPr>
        <w:t>升降温速率(MAX)</w:t>
      </w:r>
      <w:r>
        <w:rPr>
          <w:rFonts w:hint="eastAsia" w:asciiTheme="minorEastAsia" w:hAnsiTheme="minorEastAsia" w:eastAsiaTheme="minorEastAsia" w:cstheme="minorEastAsia"/>
          <w:b w:val="0"/>
          <w:bCs w:val="0"/>
          <w:sz w:val="21"/>
          <w:szCs w:val="21"/>
          <w:lang w:eastAsia="zh-CN"/>
        </w:rPr>
        <w:t>：≥</w:t>
      </w:r>
      <w:r>
        <w:rPr>
          <w:rFonts w:hint="eastAsia" w:asciiTheme="minorEastAsia" w:hAnsiTheme="minorEastAsia" w:eastAsiaTheme="minorEastAsia" w:cstheme="minorEastAsia"/>
          <w:b w:val="0"/>
          <w:bCs w:val="0"/>
          <w:sz w:val="21"/>
          <w:szCs w:val="21"/>
        </w:rPr>
        <w:t>4℃/S</w:t>
      </w:r>
    </w:p>
    <w:p w14:paraId="7024B6EE">
      <w:pPr>
        <w:widowControl/>
        <w:numPr>
          <w:ilvl w:val="1"/>
          <w:numId w:val="0"/>
        </w:numPr>
        <w:spacing w:line="400" w:lineRule="exact"/>
        <w:ind w:left="567" w:hanging="567"/>
        <w:jc w:val="lef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szCs w:val="21"/>
        </w:rPr>
        <w:t>▲</w:t>
      </w:r>
      <w:r>
        <w:rPr>
          <w:rFonts w:hint="eastAsia" w:asciiTheme="minorEastAsia" w:hAnsiTheme="minorEastAsia" w:eastAsiaTheme="minorEastAsia" w:cstheme="minorEastAsia"/>
          <w:b w:val="0"/>
          <w:bCs w:val="0"/>
          <w:sz w:val="21"/>
          <w:szCs w:val="21"/>
          <w:lang w:val="en-US" w:eastAsia="zh-CN"/>
        </w:rPr>
        <w:t>14、</w:t>
      </w:r>
      <w:r>
        <w:rPr>
          <w:rFonts w:hint="eastAsia" w:asciiTheme="minorEastAsia" w:hAnsiTheme="minorEastAsia" w:eastAsiaTheme="minorEastAsia" w:cstheme="minorEastAsia"/>
          <w:b w:val="0"/>
          <w:bCs w:val="0"/>
          <w:sz w:val="21"/>
          <w:szCs w:val="21"/>
        </w:rPr>
        <w:t>温控精度（HRM高分辨熔解曲线）</w:t>
      </w:r>
      <w:r>
        <w:rPr>
          <w:rFonts w:hint="eastAsia" w:asciiTheme="minorEastAsia" w:hAnsiTheme="minorEastAsia" w:eastAsiaTheme="minorEastAsia" w:cstheme="minorEastAsia"/>
          <w:b w:val="0"/>
          <w:bCs w:val="0"/>
          <w:sz w:val="21"/>
          <w:szCs w:val="21"/>
          <w:lang w:eastAsia="zh-CN"/>
        </w:rPr>
        <w:t>：≤</w:t>
      </w:r>
      <w:r>
        <w:rPr>
          <w:rFonts w:hint="eastAsia" w:asciiTheme="minorEastAsia" w:hAnsiTheme="minorEastAsia" w:eastAsiaTheme="minorEastAsia" w:cstheme="minorEastAsia"/>
          <w:b w:val="0"/>
          <w:bCs w:val="0"/>
          <w:sz w:val="21"/>
          <w:szCs w:val="21"/>
        </w:rPr>
        <w:t>±0.1℃</w:t>
      </w:r>
    </w:p>
    <w:p w14:paraId="300E3F1E">
      <w:pPr>
        <w:widowControl/>
        <w:numPr>
          <w:ilvl w:val="1"/>
          <w:numId w:val="0"/>
        </w:numPr>
        <w:spacing w:line="400" w:lineRule="exact"/>
        <w:ind w:left="567" w:hanging="567" w:firstLineChars="0"/>
        <w:jc w:val="lef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15、</w:t>
      </w:r>
      <w:r>
        <w:rPr>
          <w:rFonts w:hint="eastAsia" w:asciiTheme="minorEastAsia" w:hAnsiTheme="minorEastAsia" w:eastAsiaTheme="minorEastAsia" w:cstheme="minorEastAsia"/>
          <w:b w:val="0"/>
          <w:bCs w:val="0"/>
          <w:sz w:val="21"/>
          <w:szCs w:val="21"/>
        </w:rPr>
        <w:t>样品间温度均匀性</w:t>
      </w:r>
      <w:r>
        <w:rPr>
          <w:rFonts w:hint="eastAsia" w:asciiTheme="minorEastAsia" w:hAnsiTheme="minorEastAsia" w:eastAsiaTheme="minorEastAsia" w:cstheme="minorEastAsia"/>
          <w:b w:val="0"/>
          <w:bCs w:val="0"/>
          <w:sz w:val="21"/>
          <w:szCs w:val="21"/>
          <w:lang w:eastAsia="zh-CN"/>
        </w:rPr>
        <w:t>：≤</w:t>
      </w:r>
      <w:r>
        <w:rPr>
          <w:rFonts w:hint="eastAsia" w:asciiTheme="minorEastAsia" w:hAnsiTheme="minorEastAsia" w:eastAsiaTheme="minorEastAsia" w:cstheme="minorEastAsia"/>
          <w:b w:val="0"/>
          <w:bCs w:val="0"/>
          <w:sz w:val="21"/>
          <w:szCs w:val="21"/>
        </w:rPr>
        <w:t>±0.1℃</w:t>
      </w:r>
    </w:p>
    <w:p w14:paraId="1CF89B7F">
      <w:pPr>
        <w:widowControl/>
        <w:numPr>
          <w:ilvl w:val="1"/>
          <w:numId w:val="0"/>
        </w:numPr>
        <w:spacing w:line="400" w:lineRule="exact"/>
        <w:ind w:left="567" w:hanging="567" w:firstLineChars="0"/>
        <w:jc w:val="lef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16、</w:t>
      </w:r>
      <w:r>
        <w:rPr>
          <w:rFonts w:hint="eastAsia" w:asciiTheme="minorEastAsia" w:hAnsiTheme="minorEastAsia" w:eastAsiaTheme="minorEastAsia" w:cstheme="minorEastAsia"/>
          <w:b w:val="0"/>
          <w:bCs w:val="0"/>
          <w:sz w:val="21"/>
          <w:szCs w:val="21"/>
        </w:rPr>
        <w:t>重量</w:t>
      </w:r>
      <w:r>
        <w:rPr>
          <w:rFonts w:hint="eastAsia" w:asciiTheme="minorEastAsia" w:hAnsiTheme="minorEastAsia" w:eastAsiaTheme="minorEastAsia" w:cstheme="minorEastAsia"/>
          <w:b w:val="0"/>
          <w:bCs w:val="0"/>
          <w:sz w:val="21"/>
          <w:szCs w:val="21"/>
          <w:lang w:eastAsia="zh-CN"/>
        </w:rPr>
        <w:t>：≤</w:t>
      </w:r>
      <w:r>
        <w:rPr>
          <w:rFonts w:hint="eastAsia" w:asciiTheme="minorEastAsia" w:hAnsiTheme="minorEastAsia" w:eastAsiaTheme="minorEastAsia" w:cstheme="minorEastAsia"/>
          <w:b w:val="0"/>
          <w:bCs w:val="0"/>
          <w:sz w:val="21"/>
          <w:szCs w:val="21"/>
        </w:rPr>
        <w:t>18Kg</w:t>
      </w:r>
    </w:p>
    <w:p w14:paraId="64971109">
      <w:pPr>
        <w:widowControl/>
        <w:numPr>
          <w:ilvl w:val="1"/>
          <w:numId w:val="0"/>
        </w:numPr>
        <w:spacing w:line="400" w:lineRule="exact"/>
        <w:ind w:left="567" w:hanging="567" w:firstLineChars="0"/>
        <w:jc w:val="lef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17、</w:t>
      </w:r>
      <w:r>
        <w:rPr>
          <w:rFonts w:hint="eastAsia" w:asciiTheme="minorEastAsia" w:hAnsiTheme="minorEastAsia" w:eastAsiaTheme="minorEastAsia" w:cstheme="minorEastAsia"/>
          <w:b w:val="0"/>
          <w:bCs w:val="0"/>
          <w:sz w:val="21"/>
          <w:szCs w:val="21"/>
        </w:rPr>
        <w:t>断电保护</w:t>
      </w:r>
      <w:r>
        <w:rPr>
          <w:rFonts w:hint="eastAsia" w:asciiTheme="minorEastAsia" w:hAnsiTheme="minorEastAsia" w:eastAsiaTheme="minorEastAsia" w:cstheme="minorEastAsia"/>
          <w:b w:val="0"/>
          <w:bCs w:val="0"/>
          <w:sz w:val="21"/>
          <w:szCs w:val="21"/>
          <w:lang w:eastAsia="zh-CN"/>
        </w:rPr>
        <w:t>：</w:t>
      </w:r>
      <w:r>
        <w:rPr>
          <w:rFonts w:hint="eastAsia" w:asciiTheme="minorEastAsia" w:hAnsiTheme="minorEastAsia" w:eastAsiaTheme="minorEastAsia" w:cstheme="minorEastAsia"/>
          <w:b w:val="0"/>
          <w:bCs w:val="0"/>
          <w:sz w:val="21"/>
          <w:szCs w:val="21"/>
        </w:rPr>
        <w:t>有断电保护功能</w:t>
      </w:r>
    </w:p>
    <w:p w14:paraId="638B4ACE">
      <w:pPr>
        <w:widowControl/>
        <w:numPr>
          <w:ilvl w:val="1"/>
          <w:numId w:val="0"/>
        </w:numPr>
        <w:spacing w:line="400" w:lineRule="exact"/>
        <w:ind w:left="567" w:hanging="567" w:firstLineChars="0"/>
        <w:jc w:val="left"/>
        <w:rPr>
          <w:rFonts w:hint="eastAsia" w:asciiTheme="minorEastAsia" w:hAnsiTheme="minorEastAsia" w:eastAsiaTheme="minorEastAsia" w:cstheme="minorEastAsia"/>
          <w:b w:val="0"/>
          <w:bCs w:val="0"/>
          <w:sz w:val="21"/>
          <w:szCs w:val="21"/>
          <w:lang w:eastAsia="zh-CN"/>
        </w:rPr>
      </w:pPr>
      <w:r>
        <w:rPr>
          <w:rFonts w:hint="eastAsia" w:asciiTheme="minorEastAsia" w:hAnsiTheme="minorEastAsia" w:eastAsiaTheme="minorEastAsia" w:cstheme="minorEastAsia"/>
          <w:b w:val="0"/>
          <w:bCs w:val="0"/>
          <w:sz w:val="21"/>
          <w:szCs w:val="21"/>
          <w:lang w:val="en-US" w:eastAsia="zh-CN"/>
        </w:rPr>
        <w:t>18、</w:t>
      </w:r>
      <w:r>
        <w:rPr>
          <w:rFonts w:hint="eastAsia" w:asciiTheme="minorEastAsia" w:hAnsiTheme="minorEastAsia" w:eastAsiaTheme="minorEastAsia" w:cstheme="minorEastAsia"/>
          <w:b w:val="0"/>
          <w:bCs w:val="0"/>
          <w:sz w:val="21"/>
          <w:szCs w:val="21"/>
        </w:rPr>
        <w:t>操作系统</w:t>
      </w:r>
      <w:r>
        <w:rPr>
          <w:rFonts w:hint="eastAsia" w:asciiTheme="minorEastAsia" w:hAnsiTheme="minorEastAsia" w:eastAsiaTheme="minorEastAsia" w:cstheme="minorEastAsia"/>
          <w:b w:val="0"/>
          <w:bCs w:val="0"/>
          <w:sz w:val="21"/>
          <w:szCs w:val="21"/>
          <w:lang w:eastAsia="zh-CN"/>
        </w:rPr>
        <w:t>：</w:t>
      </w:r>
      <w:r>
        <w:rPr>
          <w:rFonts w:hint="eastAsia" w:asciiTheme="minorEastAsia" w:hAnsiTheme="minorEastAsia" w:eastAsiaTheme="minorEastAsia" w:cstheme="minorEastAsia"/>
          <w:b w:val="0"/>
          <w:bCs w:val="0"/>
          <w:sz w:val="21"/>
          <w:szCs w:val="21"/>
        </w:rPr>
        <w:t>Win 7</w:t>
      </w:r>
      <w:r>
        <w:rPr>
          <w:rFonts w:hint="eastAsia" w:asciiTheme="minorEastAsia" w:hAnsiTheme="minorEastAsia" w:eastAsiaTheme="minorEastAsia" w:cstheme="minorEastAsia"/>
          <w:b w:val="0"/>
          <w:bCs w:val="0"/>
          <w:sz w:val="21"/>
          <w:szCs w:val="21"/>
          <w:lang w:eastAsia="zh-CN"/>
        </w:rPr>
        <w:t>及以上版本</w:t>
      </w:r>
    </w:p>
    <w:p w14:paraId="0E37B549">
      <w:pPr>
        <w:widowControl/>
        <w:numPr>
          <w:ilvl w:val="1"/>
          <w:numId w:val="0"/>
        </w:numPr>
        <w:spacing w:line="400" w:lineRule="exact"/>
        <w:ind w:left="567" w:hanging="567"/>
        <w:jc w:val="lef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szCs w:val="21"/>
        </w:rPr>
        <w:t>▲</w:t>
      </w:r>
      <w:r>
        <w:rPr>
          <w:rFonts w:hint="eastAsia" w:asciiTheme="minorEastAsia" w:hAnsiTheme="minorEastAsia" w:eastAsiaTheme="minorEastAsia" w:cstheme="minorEastAsia"/>
          <w:b w:val="0"/>
          <w:bCs w:val="0"/>
          <w:sz w:val="21"/>
          <w:szCs w:val="21"/>
          <w:lang w:val="en-US" w:eastAsia="zh-CN"/>
        </w:rPr>
        <w:t>19、</w:t>
      </w:r>
      <w:r>
        <w:rPr>
          <w:rFonts w:hint="eastAsia" w:asciiTheme="minorEastAsia" w:hAnsiTheme="minorEastAsia" w:eastAsiaTheme="minorEastAsia" w:cstheme="minorEastAsia"/>
          <w:b w:val="0"/>
          <w:bCs w:val="0"/>
          <w:sz w:val="21"/>
          <w:szCs w:val="21"/>
        </w:rPr>
        <w:t>热盖</w:t>
      </w:r>
      <w:r>
        <w:rPr>
          <w:rFonts w:hint="eastAsia" w:asciiTheme="minorEastAsia" w:hAnsiTheme="minorEastAsia" w:eastAsiaTheme="minorEastAsia" w:cstheme="minorEastAsia"/>
          <w:b w:val="0"/>
          <w:bCs w:val="0"/>
          <w:sz w:val="21"/>
          <w:szCs w:val="21"/>
          <w:lang w:eastAsia="zh-CN"/>
        </w:rPr>
        <w:t>：</w:t>
      </w:r>
      <w:r>
        <w:rPr>
          <w:rFonts w:hint="eastAsia" w:asciiTheme="minorEastAsia" w:hAnsiTheme="minorEastAsia" w:eastAsiaTheme="minorEastAsia" w:cstheme="minorEastAsia"/>
          <w:b w:val="0"/>
          <w:bCs w:val="0"/>
          <w:sz w:val="21"/>
          <w:szCs w:val="21"/>
        </w:rPr>
        <w:t>电子自动锁控热盖</w:t>
      </w:r>
    </w:p>
    <w:p w14:paraId="3E63C2B2">
      <w:pPr>
        <w:widowControl/>
        <w:numPr>
          <w:ilvl w:val="1"/>
          <w:numId w:val="0"/>
        </w:numPr>
        <w:spacing w:line="420" w:lineRule="exact"/>
        <w:rPr>
          <w:rFonts w:hint="default" w:asciiTheme="minorEastAsia" w:hAnsiTheme="minorEastAsia" w:eastAsiaTheme="minorEastAsia" w:cstheme="minorEastAsia"/>
          <w:kern w:val="2"/>
          <w:sz w:val="21"/>
          <w:szCs w:val="21"/>
          <w:lang w:val="en-US" w:eastAsia="zh-CN" w:bidi="ar-SA"/>
        </w:rPr>
      </w:pPr>
    </w:p>
    <w:p w14:paraId="2AAA8492">
      <w:pPr>
        <w:spacing w:line="360" w:lineRule="auto"/>
        <w:rPr>
          <w:rFonts w:hint="eastAsia" w:ascii="Arial" w:hAnsi="Arial" w:eastAsia="宋体" w:cs="Tahoma"/>
          <w:color w:val="000000"/>
          <w:kern w:val="28"/>
          <w:sz w:val="21"/>
          <w:szCs w:val="21"/>
          <w:highlight w:val="none"/>
          <w:lang w:val="en-US" w:eastAsia="zh-CN" w:bidi="ar-SA"/>
        </w:rPr>
      </w:pPr>
      <w:r>
        <w:rPr>
          <w:rFonts w:hint="eastAsia" w:ascii="Arial" w:hAnsi="Arial" w:eastAsia="宋体" w:cs="Tahoma"/>
          <w:color w:val="000000"/>
          <w:kern w:val="28"/>
          <w:sz w:val="21"/>
          <w:szCs w:val="21"/>
          <w:highlight w:val="none"/>
          <w:lang w:val="en-US" w:eastAsia="zh-CN" w:bidi="ar-SA"/>
        </w:rPr>
        <w:t>（二）</w:t>
      </w:r>
      <w:r>
        <w:rPr>
          <w:rFonts w:hint="eastAsia" w:ascii="Arial" w:hAnsi="Arial" w:cs="Tahoma"/>
          <w:color w:val="000000"/>
          <w:kern w:val="28"/>
          <w:sz w:val="21"/>
          <w:szCs w:val="21"/>
          <w:highlight w:val="none"/>
          <w:lang w:val="en-US" w:eastAsia="zh-CN" w:bidi="ar-SA"/>
        </w:rPr>
        <w:t>设备</w:t>
      </w:r>
      <w:r>
        <w:rPr>
          <w:rFonts w:hint="eastAsia" w:ascii="Arial" w:hAnsi="Arial" w:eastAsia="宋体" w:cs="Tahoma"/>
          <w:color w:val="000000"/>
          <w:kern w:val="28"/>
          <w:sz w:val="21"/>
          <w:szCs w:val="21"/>
          <w:highlight w:val="none"/>
          <w:lang w:val="en-US" w:eastAsia="zh-CN" w:bidi="ar-SA"/>
        </w:rPr>
        <w:t>配置要求</w:t>
      </w:r>
      <w:r>
        <w:rPr>
          <w:rFonts w:hint="eastAsia" w:ascii="Arial" w:hAnsi="Arial" w:cs="Tahoma"/>
          <w:color w:val="000000"/>
          <w:kern w:val="28"/>
          <w:sz w:val="21"/>
          <w:szCs w:val="21"/>
          <w:highlight w:val="none"/>
          <w:lang w:val="en-US" w:eastAsia="zh-CN" w:bidi="ar-SA"/>
        </w:rPr>
        <w:t>（单台）</w:t>
      </w:r>
    </w:p>
    <w:p w14:paraId="68EC76E5">
      <w:pPr>
        <w:spacing w:line="360" w:lineRule="auto"/>
        <w:rPr>
          <w:rFonts w:hint="eastAsia" w:ascii="Arial" w:hAnsi="Arial" w:eastAsia="宋体" w:cs="Tahoma"/>
          <w:color w:val="000000"/>
          <w:kern w:val="28"/>
          <w:sz w:val="21"/>
          <w:szCs w:val="21"/>
          <w:highlight w:val="none"/>
          <w:lang w:val="en-US" w:eastAsia="zh-CN" w:bidi="ar-SA"/>
        </w:rPr>
      </w:pPr>
      <w:r>
        <w:rPr>
          <w:rFonts w:hint="eastAsia" w:ascii="Times New Roman" w:hAnsi="Times New Roman" w:eastAsia="宋体" w:cs="Times New Roman"/>
          <w:b/>
          <w:kern w:val="2"/>
          <w:sz w:val="21"/>
          <w:szCs w:val="21"/>
          <w:lang w:val="en-US" w:eastAsia="zh-CN" w:bidi="ar-SA"/>
        </w:rPr>
        <w:t>核酸提取仪</w:t>
      </w:r>
    </w:p>
    <w:tbl>
      <w:tblPr>
        <w:tblStyle w:val="9"/>
        <w:tblW w:w="70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98"/>
        <w:gridCol w:w="1111"/>
        <w:gridCol w:w="1605"/>
      </w:tblGrid>
      <w:tr w14:paraId="2FC23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4298" w:type="dxa"/>
            <w:vAlign w:val="center"/>
          </w:tcPr>
          <w:p w14:paraId="1717A064">
            <w:pPr>
              <w:jc w:val="center"/>
              <w:rPr>
                <w:rFonts w:ascii="宋体" w:hAnsi="宋体" w:cs="宋体"/>
                <w:b/>
                <w:bCs/>
              </w:rPr>
            </w:pPr>
            <w:r>
              <w:rPr>
                <w:rFonts w:hint="eastAsia" w:ascii="宋体" w:hAnsi="宋体" w:cs="宋体"/>
                <w:b/>
                <w:bCs/>
              </w:rPr>
              <w:t>名称</w:t>
            </w:r>
          </w:p>
        </w:tc>
        <w:tc>
          <w:tcPr>
            <w:tcW w:w="1111" w:type="dxa"/>
            <w:vAlign w:val="center"/>
          </w:tcPr>
          <w:p w14:paraId="49F772EA">
            <w:pPr>
              <w:jc w:val="center"/>
              <w:rPr>
                <w:rFonts w:ascii="宋体" w:hAnsi="宋体" w:cs="宋体"/>
                <w:b/>
                <w:bCs/>
              </w:rPr>
            </w:pPr>
            <w:r>
              <w:rPr>
                <w:rFonts w:hint="eastAsia" w:ascii="宋体" w:hAnsi="宋体" w:cs="宋体"/>
                <w:b/>
                <w:bCs/>
              </w:rPr>
              <w:t>单位</w:t>
            </w:r>
          </w:p>
        </w:tc>
        <w:tc>
          <w:tcPr>
            <w:tcW w:w="1605" w:type="dxa"/>
            <w:vAlign w:val="center"/>
          </w:tcPr>
          <w:p w14:paraId="320849CF">
            <w:pPr>
              <w:jc w:val="center"/>
              <w:rPr>
                <w:rFonts w:ascii="宋体" w:hAnsi="宋体" w:cs="宋体"/>
                <w:b/>
                <w:bCs/>
              </w:rPr>
            </w:pPr>
            <w:r>
              <w:rPr>
                <w:rFonts w:hint="eastAsia" w:ascii="宋体" w:hAnsi="宋体" w:cs="宋体"/>
                <w:b/>
                <w:bCs/>
              </w:rPr>
              <w:t>数量</w:t>
            </w:r>
          </w:p>
        </w:tc>
      </w:tr>
      <w:tr w14:paraId="014A8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298" w:type="dxa"/>
            <w:vAlign w:val="center"/>
          </w:tcPr>
          <w:p w14:paraId="4E9F0C03">
            <w:pPr>
              <w:pStyle w:val="15"/>
              <w:spacing w:line="360" w:lineRule="auto"/>
              <w:ind w:firstLine="0" w:firstLineChars="0"/>
              <w:jc w:val="center"/>
              <w:rPr>
                <w:rFonts w:hint="eastAsia" w:ascii="宋体" w:hAnsi="宋体" w:eastAsia="宋体" w:cs="宋体"/>
                <w:color w:val="000000"/>
                <w:kern w:val="0"/>
                <w:sz w:val="21"/>
                <w:szCs w:val="21"/>
                <w:lang w:eastAsia="zh-CN"/>
              </w:rPr>
            </w:pPr>
            <w:r>
              <w:rPr>
                <w:rFonts w:hint="eastAsia" w:ascii="Times New Roman" w:hAnsi="Times New Roman" w:eastAsia="宋体" w:cs="Times New Roman"/>
                <w:b/>
                <w:kern w:val="2"/>
                <w:sz w:val="21"/>
                <w:szCs w:val="21"/>
                <w:lang w:val="en-US" w:eastAsia="zh-CN" w:bidi="ar-SA"/>
              </w:rPr>
              <w:t>核</w:t>
            </w:r>
            <w:bookmarkStart w:id="12" w:name="OLE_LINK6"/>
            <w:r>
              <w:rPr>
                <w:rFonts w:hint="eastAsia" w:ascii="Times New Roman" w:hAnsi="Times New Roman" w:eastAsia="宋体" w:cs="Times New Roman"/>
                <w:b/>
                <w:kern w:val="2"/>
                <w:sz w:val="21"/>
                <w:szCs w:val="21"/>
                <w:lang w:val="en-US" w:eastAsia="zh-CN" w:bidi="ar-SA"/>
              </w:rPr>
              <w:t>酸提取仪</w:t>
            </w:r>
            <w:bookmarkEnd w:id="12"/>
          </w:p>
        </w:tc>
        <w:tc>
          <w:tcPr>
            <w:tcW w:w="1111" w:type="dxa"/>
          </w:tcPr>
          <w:p w14:paraId="3267D4C6">
            <w:pPr>
              <w:pStyle w:val="15"/>
              <w:spacing w:line="360" w:lineRule="auto"/>
              <w:ind w:firstLine="0" w:firstLineChars="0"/>
              <w:jc w:val="center"/>
              <w:rPr>
                <w:rFonts w:hint="eastAsia" w:ascii="宋体" w:hAnsi="宋体" w:eastAsia="宋体" w:cs="宋体"/>
                <w:color w:val="000000"/>
                <w:kern w:val="0"/>
                <w:sz w:val="21"/>
                <w:szCs w:val="21"/>
                <w:lang w:eastAsia="zh-CN"/>
              </w:rPr>
            </w:pPr>
            <w:r>
              <w:rPr>
                <w:rFonts w:hint="eastAsia" w:ascii="宋体" w:hAnsi="宋体" w:cs="宋体"/>
                <w:kern w:val="0"/>
                <w:sz w:val="21"/>
                <w:szCs w:val="21"/>
                <w:lang w:eastAsia="zh-CN"/>
              </w:rPr>
              <w:t>台</w:t>
            </w:r>
          </w:p>
        </w:tc>
        <w:tc>
          <w:tcPr>
            <w:tcW w:w="1605" w:type="dxa"/>
            <w:vAlign w:val="center"/>
          </w:tcPr>
          <w:p w14:paraId="6D82DA50">
            <w:pPr>
              <w:widowControl/>
              <w:ind w:left="15" w:hanging="14" w:hangingChars="7"/>
              <w:jc w:val="center"/>
              <w:rPr>
                <w:rFonts w:ascii="宋体" w:hAnsi="宋体" w:cs="宋体"/>
                <w:color w:val="000000"/>
                <w:kern w:val="0"/>
                <w:szCs w:val="21"/>
              </w:rPr>
            </w:pPr>
            <w:r>
              <w:rPr>
                <w:rFonts w:hint="eastAsia" w:ascii="宋体" w:hAnsi="宋体" w:cs="宋体"/>
                <w:color w:val="000000"/>
                <w:kern w:val="0"/>
                <w:szCs w:val="21"/>
              </w:rPr>
              <w:t>1</w:t>
            </w:r>
          </w:p>
        </w:tc>
      </w:tr>
      <w:tr w14:paraId="775E0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298" w:type="dxa"/>
            <w:vAlign w:val="center"/>
          </w:tcPr>
          <w:p w14:paraId="037A322C">
            <w:pPr>
              <w:pStyle w:val="15"/>
              <w:spacing w:line="360" w:lineRule="auto"/>
              <w:ind w:firstLine="0" w:firstLineChars="0"/>
              <w:jc w:val="center"/>
              <w:rPr>
                <w:rFonts w:hint="eastAsia" w:ascii="Times New Roman" w:hAnsi="Times New Roman" w:eastAsia="宋体" w:cs="Times New Roman"/>
                <w:b/>
                <w:kern w:val="2"/>
                <w:sz w:val="21"/>
                <w:szCs w:val="21"/>
                <w:lang w:val="en-US" w:eastAsia="zh-CN"/>
              </w:rPr>
            </w:pPr>
            <w:r>
              <w:rPr>
                <w:rFonts w:hint="eastAsia" w:ascii="Times New Roman" w:hAnsi="Times New Roman" w:eastAsia="宋体" w:cs="Times New Roman"/>
                <w:b/>
                <w:sz w:val="21"/>
                <w:szCs w:val="21"/>
                <w:lang w:val="en-US" w:eastAsia="zh-CN"/>
              </w:rPr>
              <w:t>数据处理工作站</w:t>
            </w:r>
          </w:p>
        </w:tc>
        <w:tc>
          <w:tcPr>
            <w:tcW w:w="1111" w:type="dxa"/>
            <w:vAlign w:val="center"/>
          </w:tcPr>
          <w:p w14:paraId="0C1D2350">
            <w:pPr>
              <w:pStyle w:val="15"/>
              <w:spacing w:line="360" w:lineRule="auto"/>
              <w:ind w:firstLine="0" w:firstLineChars="0"/>
              <w:jc w:val="center"/>
              <w:rPr>
                <w:rFonts w:hint="eastAsia" w:ascii="宋体" w:hAnsi="宋体" w:eastAsia="宋体" w:cs="宋体"/>
                <w:sz w:val="21"/>
                <w:szCs w:val="21"/>
                <w:lang w:eastAsia="zh-CN"/>
              </w:rPr>
            </w:pPr>
            <w:r>
              <w:rPr>
                <w:rFonts w:hint="eastAsia" w:ascii="宋体" w:hAnsi="宋体" w:cs="宋体"/>
                <w:kern w:val="0"/>
                <w:sz w:val="21"/>
                <w:szCs w:val="21"/>
                <w:lang w:eastAsia="zh-CN"/>
              </w:rPr>
              <w:t>套</w:t>
            </w:r>
          </w:p>
        </w:tc>
        <w:tc>
          <w:tcPr>
            <w:tcW w:w="1605" w:type="dxa"/>
            <w:vAlign w:val="center"/>
          </w:tcPr>
          <w:p w14:paraId="1E3D4F26">
            <w:pPr>
              <w:widowControl/>
              <w:ind w:left="15" w:hanging="14" w:hangingChars="7"/>
              <w:jc w:val="center"/>
              <w:rPr>
                <w:rFonts w:ascii="宋体" w:hAnsi="宋体" w:cs="宋体"/>
                <w:szCs w:val="21"/>
              </w:rPr>
            </w:pPr>
            <w:r>
              <w:rPr>
                <w:rFonts w:hint="eastAsia" w:ascii="宋体" w:hAnsi="宋体" w:cs="宋体"/>
                <w:szCs w:val="21"/>
              </w:rPr>
              <w:t>1</w:t>
            </w:r>
          </w:p>
        </w:tc>
      </w:tr>
      <w:tr w14:paraId="5A709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298" w:type="dxa"/>
            <w:vAlign w:val="center"/>
          </w:tcPr>
          <w:p w14:paraId="4EA39662">
            <w:pPr>
              <w:pStyle w:val="15"/>
              <w:spacing w:line="360" w:lineRule="auto"/>
              <w:ind w:firstLine="0" w:firstLineChars="0"/>
              <w:jc w:val="center"/>
              <w:rPr>
                <w:rFonts w:hint="eastAsia" w:ascii="Times New Roman" w:hAnsi="Times New Roman" w:eastAsia="宋体" w:cs="Times New Roman"/>
                <w:b/>
                <w:kern w:val="2"/>
                <w:sz w:val="21"/>
                <w:szCs w:val="21"/>
                <w:lang w:val="en-US" w:eastAsia="zh-CN"/>
              </w:rPr>
            </w:pPr>
            <w:r>
              <w:rPr>
                <w:rFonts w:hint="eastAsia" w:ascii="Times New Roman" w:hAnsi="Times New Roman" w:eastAsia="宋体" w:cs="Times New Roman"/>
                <w:b/>
                <w:sz w:val="21"/>
                <w:szCs w:val="21"/>
                <w:lang w:eastAsia="zh-CN"/>
              </w:rPr>
              <w:t>使用说明书</w:t>
            </w:r>
          </w:p>
        </w:tc>
        <w:tc>
          <w:tcPr>
            <w:tcW w:w="1111" w:type="dxa"/>
          </w:tcPr>
          <w:p w14:paraId="719E52D1">
            <w:pPr>
              <w:pStyle w:val="15"/>
              <w:spacing w:line="360" w:lineRule="auto"/>
              <w:ind w:firstLine="0" w:firstLineChars="0"/>
              <w:jc w:val="center"/>
              <w:rPr>
                <w:rFonts w:hint="eastAsia" w:ascii="宋体" w:hAnsi="宋体" w:eastAsia="宋体" w:cs="宋体"/>
                <w:sz w:val="21"/>
                <w:szCs w:val="21"/>
                <w:lang w:eastAsia="zh-CN"/>
              </w:rPr>
            </w:pPr>
            <w:r>
              <w:rPr>
                <w:rFonts w:hint="eastAsia" w:ascii="宋体" w:hAnsi="宋体" w:cs="宋体"/>
                <w:kern w:val="0"/>
                <w:sz w:val="21"/>
                <w:szCs w:val="21"/>
                <w:lang w:eastAsia="zh-CN"/>
              </w:rPr>
              <w:t>本</w:t>
            </w:r>
          </w:p>
        </w:tc>
        <w:tc>
          <w:tcPr>
            <w:tcW w:w="1605" w:type="dxa"/>
            <w:vAlign w:val="center"/>
          </w:tcPr>
          <w:p w14:paraId="3D6CA8A9">
            <w:pPr>
              <w:widowControl/>
              <w:ind w:left="15" w:hanging="14" w:hangingChars="7"/>
              <w:jc w:val="center"/>
              <w:rPr>
                <w:rFonts w:ascii="宋体" w:hAnsi="宋体" w:cs="宋体"/>
                <w:szCs w:val="21"/>
              </w:rPr>
            </w:pPr>
            <w:r>
              <w:rPr>
                <w:rFonts w:hint="eastAsia" w:ascii="宋体" w:hAnsi="宋体" w:cs="宋体"/>
                <w:szCs w:val="21"/>
              </w:rPr>
              <w:t>1</w:t>
            </w:r>
          </w:p>
        </w:tc>
      </w:tr>
      <w:tr w14:paraId="72917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298" w:type="dxa"/>
            <w:vAlign w:val="center"/>
          </w:tcPr>
          <w:p w14:paraId="7A3025EE">
            <w:pPr>
              <w:pStyle w:val="15"/>
              <w:spacing w:line="360" w:lineRule="auto"/>
              <w:ind w:firstLine="0" w:firstLineChars="0"/>
              <w:jc w:val="center"/>
              <w:rPr>
                <w:rFonts w:hint="eastAsia" w:ascii="Times New Roman" w:hAnsi="Times New Roman" w:eastAsia="宋体" w:cs="Times New Roman"/>
                <w:b/>
                <w:kern w:val="2"/>
                <w:sz w:val="21"/>
                <w:szCs w:val="21"/>
                <w:lang w:eastAsia="zh-CN"/>
              </w:rPr>
            </w:pPr>
            <w:r>
              <w:rPr>
                <w:rFonts w:hint="eastAsia" w:ascii="Times New Roman" w:hAnsi="Times New Roman" w:eastAsia="宋体" w:cs="Times New Roman"/>
                <w:b/>
                <w:sz w:val="21"/>
                <w:szCs w:val="21"/>
                <w:lang w:eastAsia="zh-CN"/>
              </w:rPr>
              <w:t>合格证</w:t>
            </w:r>
          </w:p>
        </w:tc>
        <w:tc>
          <w:tcPr>
            <w:tcW w:w="1111" w:type="dxa"/>
          </w:tcPr>
          <w:p w14:paraId="5C4E144A">
            <w:pPr>
              <w:pStyle w:val="15"/>
              <w:spacing w:line="360" w:lineRule="auto"/>
              <w:ind w:firstLine="0" w:firstLineChars="0"/>
              <w:jc w:val="center"/>
              <w:rPr>
                <w:rFonts w:hint="eastAsia" w:ascii="宋体" w:hAnsi="宋体" w:eastAsia="宋体" w:cs="宋体"/>
                <w:sz w:val="21"/>
                <w:szCs w:val="21"/>
                <w:lang w:eastAsia="zh-CN"/>
              </w:rPr>
            </w:pPr>
            <w:r>
              <w:rPr>
                <w:rFonts w:hint="eastAsia" w:ascii="宋体" w:hAnsi="宋体" w:cs="宋体"/>
                <w:kern w:val="0"/>
                <w:sz w:val="21"/>
                <w:szCs w:val="21"/>
                <w:lang w:eastAsia="zh-CN"/>
              </w:rPr>
              <w:t>张</w:t>
            </w:r>
          </w:p>
        </w:tc>
        <w:tc>
          <w:tcPr>
            <w:tcW w:w="1605" w:type="dxa"/>
            <w:vAlign w:val="center"/>
          </w:tcPr>
          <w:p w14:paraId="5CDAB2F5">
            <w:pPr>
              <w:widowControl/>
              <w:ind w:left="15" w:hanging="14" w:hangingChars="7"/>
              <w:jc w:val="center"/>
              <w:rPr>
                <w:rFonts w:ascii="宋体" w:hAnsi="宋体" w:cs="宋体"/>
                <w:szCs w:val="21"/>
              </w:rPr>
            </w:pPr>
            <w:r>
              <w:rPr>
                <w:rFonts w:hint="eastAsia" w:ascii="宋体" w:hAnsi="宋体" w:cs="宋体"/>
                <w:szCs w:val="21"/>
              </w:rPr>
              <w:t>1</w:t>
            </w:r>
          </w:p>
        </w:tc>
      </w:tr>
      <w:tr w14:paraId="4E758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298" w:type="dxa"/>
            <w:vAlign w:val="center"/>
          </w:tcPr>
          <w:p w14:paraId="57D6949B">
            <w:pPr>
              <w:pStyle w:val="15"/>
              <w:spacing w:line="360" w:lineRule="auto"/>
              <w:ind w:firstLine="0" w:firstLineChars="0"/>
              <w:jc w:val="center"/>
              <w:rPr>
                <w:rFonts w:hint="eastAsia" w:ascii="Times New Roman" w:hAnsi="Times New Roman" w:eastAsia="宋体" w:cs="Times New Roman"/>
                <w:b/>
                <w:kern w:val="2"/>
                <w:sz w:val="21"/>
                <w:szCs w:val="21"/>
                <w:lang w:eastAsia="zh-CN"/>
              </w:rPr>
            </w:pPr>
            <w:r>
              <w:rPr>
                <w:rFonts w:hint="eastAsia" w:ascii="Times New Roman" w:hAnsi="Times New Roman" w:eastAsia="宋体" w:cs="Times New Roman"/>
                <w:b/>
                <w:sz w:val="21"/>
                <w:szCs w:val="21"/>
                <w:lang w:eastAsia="zh-CN"/>
              </w:rPr>
              <w:t>试机耗材</w:t>
            </w:r>
          </w:p>
        </w:tc>
        <w:tc>
          <w:tcPr>
            <w:tcW w:w="1111" w:type="dxa"/>
          </w:tcPr>
          <w:p w14:paraId="2FD2517D">
            <w:pPr>
              <w:pStyle w:val="15"/>
              <w:spacing w:line="360" w:lineRule="auto"/>
              <w:ind w:firstLine="0" w:firstLineChars="0"/>
              <w:jc w:val="center"/>
              <w:rPr>
                <w:rFonts w:hint="eastAsia" w:ascii="宋体" w:hAnsi="宋体" w:eastAsia="宋体" w:cs="宋体"/>
                <w:sz w:val="21"/>
                <w:szCs w:val="21"/>
                <w:lang w:eastAsia="zh-CN"/>
              </w:rPr>
            </w:pPr>
            <w:r>
              <w:rPr>
                <w:rFonts w:hint="eastAsia" w:ascii="宋体" w:hAnsi="宋体" w:cs="宋体"/>
                <w:kern w:val="0"/>
                <w:sz w:val="21"/>
                <w:szCs w:val="21"/>
                <w:lang w:eastAsia="zh-CN"/>
              </w:rPr>
              <w:t>份</w:t>
            </w:r>
          </w:p>
        </w:tc>
        <w:tc>
          <w:tcPr>
            <w:tcW w:w="1605" w:type="dxa"/>
            <w:vAlign w:val="center"/>
          </w:tcPr>
          <w:p w14:paraId="6676156F">
            <w:pPr>
              <w:widowControl/>
              <w:ind w:left="15" w:hanging="14" w:hangingChars="7"/>
              <w:jc w:val="center"/>
              <w:rPr>
                <w:rFonts w:hint="eastAsia" w:ascii="宋体" w:hAnsi="宋体" w:eastAsia="宋体" w:cs="宋体"/>
                <w:szCs w:val="21"/>
                <w:lang w:eastAsia="zh-CN"/>
              </w:rPr>
            </w:pPr>
            <w:r>
              <w:rPr>
                <w:rFonts w:hint="eastAsia" w:ascii="宋体" w:hAnsi="宋体" w:cs="宋体"/>
                <w:szCs w:val="21"/>
                <w:lang w:val="en-US" w:eastAsia="zh-CN"/>
              </w:rPr>
              <w:t>2</w:t>
            </w:r>
          </w:p>
        </w:tc>
      </w:tr>
    </w:tbl>
    <w:p w14:paraId="4FBAEDA3">
      <w:pPr>
        <w:spacing w:line="360" w:lineRule="auto"/>
        <w:rPr>
          <w:rFonts w:hint="eastAsia" w:ascii="Times New Roman" w:hAnsi="Times New Roman" w:eastAsia="宋体" w:cs="Times New Roman"/>
          <w:b/>
          <w:kern w:val="2"/>
          <w:sz w:val="21"/>
          <w:szCs w:val="21"/>
          <w:lang w:val="en-US" w:eastAsia="zh-CN" w:bidi="ar-SA"/>
        </w:rPr>
      </w:pPr>
    </w:p>
    <w:p w14:paraId="2BDD0FFB">
      <w:pPr>
        <w:spacing w:line="360" w:lineRule="auto"/>
        <w:rPr>
          <w:rFonts w:hint="eastAsia" w:ascii="Times New Roman" w:hAnsi="Times New Roman" w:cs="Times New Roman"/>
          <w:b/>
          <w:kern w:val="2"/>
          <w:sz w:val="21"/>
          <w:szCs w:val="21"/>
          <w:lang w:val="en-US" w:eastAsia="zh-CN" w:bidi="ar-SA"/>
        </w:rPr>
      </w:pPr>
    </w:p>
    <w:p w14:paraId="7F990764">
      <w:pPr>
        <w:spacing w:line="360" w:lineRule="auto"/>
        <w:rPr>
          <w:rFonts w:hint="eastAsia" w:ascii="Times New Roman" w:hAnsi="Times New Roman" w:cs="Times New Roman"/>
          <w:b/>
          <w:kern w:val="2"/>
          <w:sz w:val="21"/>
          <w:szCs w:val="21"/>
          <w:lang w:val="en-US" w:eastAsia="zh-CN" w:bidi="ar-SA"/>
        </w:rPr>
      </w:pPr>
    </w:p>
    <w:p w14:paraId="26439929">
      <w:pPr>
        <w:spacing w:line="360" w:lineRule="auto"/>
        <w:rPr>
          <w:rFonts w:hint="eastAsia" w:ascii="Times New Roman" w:hAnsi="Times New Roman" w:cs="Times New Roman"/>
          <w:b/>
          <w:kern w:val="2"/>
          <w:sz w:val="21"/>
          <w:szCs w:val="21"/>
          <w:lang w:val="en-US" w:eastAsia="zh-CN" w:bidi="ar-SA"/>
        </w:rPr>
      </w:pPr>
    </w:p>
    <w:p w14:paraId="4328D4C4">
      <w:pPr>
        <w:spacing w:line="360" w:lineRule="auto"/>
        <w:rPr>
          <w:rFonts w:hint="eastAsia" w:ascii="Times New Roman" w:hAnsi="Times New Roman" w:eastAsia="宋体" w:cs="Times New Roman"/>
          <w:b/>
          <w:kern w:val="2"/>
          <w:sz w:val="21"/>
          <w:szCs w:val="21"/>
          <w:lang w:val="en-US" w:eastAsia="zh-CN" w:bidi="ar-SA"/>
        </w:rPr>
      </w:pPr>
      <w:r>
        <w:rPr>
          <w:rFonts w:hint="eastAsia" w:ascii="Times New Roman" w:hAnsi="Times New Roman" w:cs="Times New Roman"/>
          <w:b/>
          <w:kern w:val="2"/>
          <w:sz w:val="21"/>
          <w:szCs w:val="21"/>
          <w:lang w:val="en-US" w:eastAsia="zh-CN" w:bidi="ar-SA"/>
        </w:rPr>
        <w:t>荧光定量PCR仪</w:t>
      </w:r>
    </w:p>
    <w:tbl>
      <w:tblPr>
        <w:tblStyle w:val="9"/>
        <w:tblW w:w="70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98"/>
        <w:gridCol w:w="1111"/>
        <w:gridCol w:w="1605"/>
      </w:tblGrid>
      <w:tr w14:paraId="5BE2F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4298" w:type="dxa"/>
            <w:vAlign w:val="center"/>
          </w:tcPr>
          <w:p w14:paraId="5420FF72">
            <w:pPr>
              <w:jc w:val="center"/>
              <w:rPr>
                <w:rFonts w:ascii="宋体" w:hAnsi="宋体" w:cs="宋体"/>
                <w:b/>
                <w:bCs/>
              </w:rPr>
            </w:pPr>
            <w:r>
              <w:rPr>
                <w:rFonts w:hint="eastAsia" w:ascii="宋体" w:hAnsi="宋体" w:cs="宋体"/>
                <w:b/>
                <w:bCs/>
              </w:rPr>
              <w:t>名称</w:t>
            </w:r>
          </w:p>
        </w:tc>
        <w:tc>
          <w:tcPr>
            <w:tcW w:w="1111" w:type="dxa"/>
            <w:vAlign w:val="center"/>
          </w:tcPr>
          <w:p w14:paraId="10B09818">
            <w:pPr>
              <w:jc w:val="center"/>
              <w:rPr>
                <w:rFonts w:ascii="宋体" w:hAnsi="宋体" w:cs="宋体"/>
                <w:b/>
                <w:bCs/>
              </w:rPr>
            </w:pPr>
            <w:r>
              <w:rPr>
                <w:rFonts w:hint="eastAsia" w:ascii="宋体" w:hAnsi="宋体" w:cs="宋体"/>
                <w:b/>
                <w:bCs/>
              </w:rPr>
              <w:t>单位</w:t>
            </w:r>
          </w:p>
        </w:tc>
        <w:tc>
          <w:tcPr>
            <w:tcW w:w="1605" w:type="dxa"/>
            <w:vAlign w:val="center"/>
          </w:tcPr>
          <w:p w14:paraId="0A729D35">
            <w:pPr>
              <w:jc w:val="center"/>
              <w:rPr>
                <w:rFonts w:ascii="宋体" w:hAnsi="宋体" w:cs="宋体"/>
                <w:b/>
                <w:bCs/>
              </w:rPr>
            </w:pPr>
            <w:r>
              <w:rPr>
                <w:rFonts w:hint="eastAsia" w:ascii="宋体" w:hAnsi="宋体" w:cs="宋体"/>
                <w:b/>
                <w:bCs/>
              </w:rPr>
              <w:t>数量</w:t>
            </w:r>
          </w:p>
        </w:tc>
      </w:tr>
      <w:tr w14:paraId="7DDF8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298" w:type="dxa"/>
            <w:vAlign w:val="center"/>
          </w:tcPr>
          <w:p w14:paraId="08D62F99">
            <w:pPr>
              <w:pStyle w:val="15"/>
              <w:spacing w:line="360" w:lineRule="auto"/>
              <w:ind w:firstLine="0" w:firstLineChars="0"/>
              <w:jc w:val="center"/>
              <w:rPr>
                <w:rFonts w:hint="default" w:ascii="宋体" w:hAnsi="宋体" w:eastAsia="宋体" w:cs="宋体"/>
                <w:color w:val="000000"/>
                <w:kern w:val="0"/>
                <w:sz w:val="21"/>
                <w:szCs w:val="21"/>
                <w:lang w:val="en-US" w:eastAsia="zh-CN"/>
              </w:rPr>
            </w:pPr>
            <w:r>
              <w:rPr>
                <w:rFonts w:hint="eastAsia" w:ascii="Times New Roman" w:hAnsi="Times New Roman" w:cs="Times New Roman"/>
                <w:b/>
                <w:kern w:val="2"/>
                <w:sz w:val="21"/>
                <w:szCs w:val="21"/>
                <w:lang w:val="en-US" w:eastAsia="zh-CN" w:bidi="ar-SA"/>
              </w:rPr>
              <w:t>荧光定量PCR仪</w:t>
            </w:r>
          </w:p>
        </w:tc>
        <w:tc>
          <w:tcPr>
            <w:tcW w:w="1111" w:type="dxa"/>
          </w:tcPr>
          <w:p w14:paraId="72A5A445">
            <w:pPr>
              <w:pStyle w:val="15"/>
              <w:spacing w:line="360" w:lineRule="auto"/>
              <w:ind w:firstLine="0" w:firstLineChars="0"/>
              <w:jc w:val="center"/>
              <w:rPr>
                <w:rFonts w:hint="eastAsia" w:ascii="宋体" w:hAnsi="宋体" w:eastAsia="宋体" w:cs="宋体"/>
                <w:color w:val="000000"/>
                <w:kern w:val="0"/>
                <w:sz w:val="21"/>
                <w:szCs w:val="21"/>
                <w:lang w:eastAsia="zh-CN"/>
              </w:rPr>
            </w:pPr>
            <w:r>
              <w:rPr>
                <w:rFonts w:hint="eastAsia" w:ascii="宋体" w:hAnsi="宋体" w:cs="宋体"/>
                <w:kern w:val="0"/>
                <w:sz w:val="21"/>
                <w:szCs w:val="21"/>
                <w:lang w:eastAsia="zh-CN"/>
              </w:rPr>
              <w:t>台</w:t>
            </w:r>
          </w:p>
        </w:tc>
        <w:tc>
          <w:tcPr>
            <w:tcW w:w="1605" w:type="dxa"/>
            <w:vAlign w:val="center"/>
          </w:tcPr>
          <w:p w14:paraId="18B43B21">
            <w:pPr>
              <w:widowControl/>
              <w:ind w:left="15" w:hanging="14" w:hangingChars="7"/>
              <w:jc w:val="center"/>
              <w:rPr>
                <w:rFonts w:ascii="宋体" w:hAnsi="宋体" w:cs="宋体"/>
                <w:color w:val="000000"/>
                <w:kern w:val="0"/>
                <w:szCs w:val="21"/>
              </w:rPr>
            </w:pPr>
            <w:r>
              <w:rPr>
                <w:rFonts w:hint="eastAsia" w:ascii="宋体" w:hAnsi="宋体" w:cs="宋体"/>
                <w:color w:val="000000"/>
                <w:kern w:val="0"/>
                <w:szCs w:val="21"/>
              </w:rPr>
              <w:t>1</w:t>
            </w:r>
          </w:p>
        </w:tc>
      </w:tr>
      <w:tr w14:paraId="42513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298" w:type="dxa"/>
            <w:vAlign w:val="center"/>
          </w:tcPr>
          <w:p w14:paraId="3B8B4E20">
            <w:pPr>
              <w:pStyle w:val="15"/>
              <w:spacing w:line="360" w:lineRule="auto"/>
              <w:ind w:firstLine="0" w:firstLineChars="0"/>
              <w:jc w:val="center"/>
              <w:rPr>
                <w:rFonts w:hint="eastAsia" w:ascii="Times New Roman" w:hAnsi="Times New Roman" w:eastAsia="宋体" w:cs="Times New Roman"/>
                <w:b/>
                <w:kern w:val="2"/>
                <w:sz w:val="21"/>
                <w:szCs w:val="21"/>
                <w:lang w:val="en-US" w:eastAsia="zh-CN"/>
              </w:rPr>
            </w:pPr>
            <w:r>
              <w:rPr>
                <w:rFonts w:hint="eastAsia" w:ascii="Times New Roman" w:hAnsi="Times New Roman" w:eastAsia="宋体" w:cs="Times New Roman"/>
                <w:b/>
                <w:sz w:val="21"/>
                <w:szCs w:val="21"/>
                <w:lang w:val="en-US" w:eastAsia="zh-CN"/>
              </w:rPr>
              <w:t>数据处理工作站</w:t>
            </w:r>
          </w:p>
        </w:tc>
        <w:tc>
          <w:tcPr>
            <w:tcW w:w="1111" w:type="dxa"/>
            <w:vAlign w:val="center"/>
          </w:tcPr>
          <w:p w14:paraId="307F1FBD">
            <w:pPr>
              <w:pStyle w:val="15"/>
              <w:spacing w:line="360" w:lineRule="auto"/>
              <w:ind w:firstLine="0" w:firstLineChars="0"/>
              <w:jc w:val="center"/>
              <w:rPr>
                <w:rFonts w:hint="eastAsia" w:ascii="宋体" w:hAnsi="宋体" w:eastAsia="宋体" w:cs="宋体"/>
                <w:sz w:val="21"/>
                <w:szCs w:val="21"/>
                <w:lang w:eastAsia="zh-CN"/>
              </w:rPr>
            </w:pPr>
            <w:r>
              <w:rPr>
                <w:rFonts w:hint="eastAsia" w:ascii="宋体" w:hAnsi="宋体" w:cs="宋体"/>
                <w:kern w:val="0"/>
                <w:sz w:val="21"/>
                <w:szCs w:val="21"/>
                <w:lang w:eastAsia="zh-CN"/>
              </w:rPr>
              <w:t>套</w:t>
            </w:r>
          </w:p>
        </w:tc>
        <w:tc>
          <w:tcPr>
            <w:tcW w:w="1605" w:type="dxa"/>
            <w:vAlign w:val="center"/>
          </w:tcPr>
          <w:p w14:paraId="023F8F71">
            <w:pPr>
              <w:widowControl/>
              <w:ind w:left="15" w:hanging="14" w:hangingChars="7"/>
              <w:jc w:val="center"/>
              <w:rPr>
                <w:rFonts w:ascii="宋体" w:hAnsi="宋体" w:cs="宋体"/>
                <w:szCs w:val="21"/>
              </w:rPr>
            </w:pPr>
            <w:r>
              <w:rPr>
                <w:rFonts w:hint="eastAsia" w:ascii="宋体" w:hAnsi="宋体" w:cs="宋体"/>
                <w:szCs w:val="21"/>
              </w:rPr>
              <w:t>1</w:t>
            </w:r>
          </w:p>
        </w:tc>
      </w:tr>
      <w:tr w14:paraId="6483A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298" w:type="dxa"/>
            <w:vAlign w:val="center"/>
          </w:tcPr>
          <w:p w14:paraId="13F17B1A">
            <w:pPr>
              <w:pStyle w:val="15"/>
              <w:spacing w:line="360" w:lineRule="auto"/>
              <w:ind w:firstLine="0" w:firstLineChars="0"/>
              <w:jc w:val="center"/>
              <w:rPr>
                <w:rFonts w:hint="eastAsia" w:ascii="Times New Roman" w:hAnsi="Times New Roman" w:eastAsia="宋体" w:cs="Times New Roman"/>
                <w:b/>
                <w:kern w:val="2"/>
                <w:sz w:val="21"/>
                <w:szCs w:val="21"/>
                <w:lang w:val="en-US" w:eastAsia="zh-CN"/>
              </w:rPr>
            </w:pPr>
            <w:r>
              <w:rPr>
                <w:rFonts w:hint="eastAsia" w:ascii="Times New Roman" w:hAnsi="Times New Roman" w:eastAsia="宋体" w:cs="Times New Roman"/>
                <w:b/>
                <w:sz w:val="21"/>
                <w:szCs w:val="21"/>
                <w:lang w:eastAsia="zh-CN"/>
              </w:rPr>
              <w:t>使用说明书</w:t>
            </w:r>
          </w:p>
        </w:tc>
        <w:tc>
          <w:tcPr>
            <w:tcW w:w="1111" w:type="dxa"/>
          </w:tcPr>
          <w:p w14:paraId="18F3AF38">
            <w:pPr>
              <w:pStyle w:val="15"/>
              <w:spacing w:line="360" w:lineRule="auto"/>
              <w:ind w:firstLine="0" w:firstLineChars="0"/>
              <w:jc w:val="center"/>
              <w:rPr>
                <w:rFonts w:hint="eastAsia" w:ascii="宋体" w:hAnsi="宋体" w:eastAsia="宋体" w:cs="宋体"/>
                <w:sz w:val="21"/>
                <w:szCs w:val="21"/>
                <w:lang w:eastAsia="zh-CN"/>
              </w:rPr>
            </w:pPr>
            <w:r>
              <w:rPr>
                <w:rFonts w:hint="eastAsia" w:ascii="宋体" w:hAnsi="宋体" w:cs="宋体"/>
                <w:kern w:val="0"/>
                <w:sz w:val="21"/>
                <w:szCs w:val="21"/>
                <w:lang w:eastAsia="zh-CN"/>
              </w:rPr>
              <w:t>本</w:t>
            </w:r>
          </w:p>
        </w:tc>
        <w:tc>
          <w:tcPr>
            <w:tcW w:w="1605" w:type="dxa"/>
            <w:vAlign w:val="center"/>
          </w:tcPr>
          <w:p w14:paraId="13A1AB79">
            <w:pPr>
              <w:widowControl/>
              <w:ind w:left="15" w:hanging="14" w:hangingChars="7"/>
              <w:jc w:val="center"/>
              <w:rPr>
                <w:rFonts w:ascii="宋体" w:hAnsi="宋体" w:cs="宋体"/>
                <w:szCs w:val="21"/>
              </w:rPr>
            </w:pPr>
            <w:r>
              <w:rPr>
                <w:rFonts w:hint="eastAsia" w:ascii="宋体" w:hAnsi="宋体" w:cs="宋体"/>
                <w:szCs w:val="21"/>
              </w:rPr>
              <w:t>1</w:t>
            </w:r>
          </w:p>
        </w:tc>
      </w:tr>
      <w:tr w14:paraId="4BE18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298" w:type="dxa"/>
            <w:vAlign w:val="center"/>
          </w:tcPr>
          <w:p w14:paraId="40754A3F">
            <w:pPr>
              <w:pStyle w:val="15"/>
              <w:spacing w:line="360" w:lineRule="auto"/>
              <w:ind w:firstLine="0" w:firstLineChars="0"/>
              <w:jc w:val="center"/>
              <w:rPr>
                <w:rFonts w:hint="eastAsia" w:ascii="Times New Roman" w:hAnsi="Times New Roman" w:eastAsia="宋体" w:cs="Times New Roman"/>
                <w:b/>
                <w:kern w:val="2"/>
                <w:sz w:val="21"/>
                <w:szCs w:val="21"/>
                <w:lang w:eastAsia="zh-CN"/>
              </w:rPr>
            </w:pPr>
            <w:r>
              <w:rPr>
                <w:rFonts w:hint="eastAsia" w:ascii="Times New Roman" w:hAnsi="Times New Roman" w:eastAsia="宋体" w:cs="Times New Roman"/>
                <w:b/>
                <w:sz w:val="21"/>
                <w:szCs w:val="21"/>
                <w:lang w:eastAsia="zh-CN"/>
              </w:rPr>
              <w:t>合格证</w:t>
            </w:r>
          </w:p>
        </w:tc>
        <w:tc>
          <w:tcPr>
            <w:tcW w:w="1111" w:type="dxa"/>
          </w:tcPr>
          <w:p w14:paraId="79FC4D43">
            <w:pPr>
              <w:pStyle w:val="15"/>
              <w:spacing w:line="360" w:lineRule="auto"/>
              <w:ind w:firstLine="0" w:firstLineChars="0"/>
              <w:jc w:val="center"/>
              <w:rPr>
                <w:rFonts w:hint="eastAsia" w:ascii="宋体" w:hAnsi="宋体" w:eastAsia="宋体" w:cs="宋体"/>
                <w:sz w:val="21"/>
                <w:szCs w:val="21"/>
                <w:lang w:eastAsia="zh-CN"/>
              </w:rPr>
            </w:pPr>
            <w:r>
              <w:rPr>
                <w:rFonts w:hint="eastAsia" w:ascii="宋体" w:hAnsi="宋体" w:cs="宋体"/>
                <w:kern w:val="0"/>
                <w:sz w:val="21"/>
                <w:szCs w:val="21"/>
                <w:lang w:eastAsia="zh-CN"/>
              </w:rPr>
              <w:t>张</w:t>
            </w:r>
          </w:p>
        </w:tc>
        <w:tc>
          <w:tcPr>
            <w:tcW w:w="1605" w:type="dxa"/>
            <w:vAlign w:val="center"/>
          </w:tcPr>
          <w:p w14:paraId="6726DAC3">
            <w:pPr>
              <w:widowControl/>
              <w:ind w:left="15" w:hanging="14" w:hangingChars="7"/>
              <w:jc w:val="center"/>
              <w:rPr>
                <w:rFonts w:ascii="宋体" w:hAnsi="宋体" w:cs="宋体"/>
                <w:szCs w:val="21"/>
              </w:rPr>
            </w:pPr>
            <w:r>
              <w:rPr>
                <w:rFonts w:hint="eastAsia" w:ascii="宋体" w:hAnsi="宋体" w:cs="宋体"/>
                <w:szCs w:val="21"/>
              </w:rPr>
              <w:t>1</w:t>
            </w:r>
          </w:p>
        </w:tc>
      </w:tr>
      <w:tr w14:paraId="3CBED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298" w:type="dxa"/>
            <w:vAlign w:val="center"/>
          </w:tcPr>
          <w:p w14:paraId="3382E701">
            <w:pPr>
              <w:pStyle w:val="15"/>
              <w:spacing w:line="360" w:lineRule="auto"/>
              <w:ind w:firstLine="0" w:firstLineChars="0"/>
              <w:jc w:val="center"/>
              <w:rPr>
                <w:rFonts w:hint="eastAsia" w:ascii="Times New Roman" w:hAnsi="Times New Roman" w:eastAsia="宋体" w:cs="Times New Roman"/>
                <w:b/>
                <w:kern w:val="2"/>
                <w:sz w:val="21"/>
                <w:szCs w:val="21"/>
                <w:lang w:eastAsia="zh-CN"/>
              </w:rPr>
            </w:pPr>
            <w:r>
              <w:rPr>
                <w:rFonts w:hint="eastAsia" w:ascii="Times New Roman" w:hAnsi="Times New Roman" w:eastAsia="宋体" w:cs="Times New Roman"/>
                <w:b/>
                <w:sz w:val="21"/>
                <w:szCs w:val="21"/>
                <w:lang w:eastAsia="zh-CN"/>
              </w:rPr>
              <w:t>试机耗材</w:t>
            </w:r>
          </w:p>
        </w:tc>
        <w:tc>
          <w:tcPr>
            <w:tcW w:w="1111" w:type="dxa"/>
          </w:tcPr>
          <w:p w14:paraId="68C80697">
            <w:pPr>
              <w:pStyle w:val="15"/>
              <w:spacing w:line="360" w:lineRule="auto"/>
              <w:ind w:firstLine="0" w:firstLineChars="0"/>
              <w:jc w:val="center"/>
              <w:rPr>
                <w:rFonts w:hint="eastAsia" w:ascii="宋体" w:hAnsi="宋体" w:eastAsia="宋体" w:cs="宋体"/>
                <w:sz w:val="21"/>
                <w:szCs w:val="21"/>
                <w:lang w:eastAsia="zh-CN"/>
              </w:rPr>
            </w:pPr>
            <w:r>
              <w:rPr>
                <w:rFonts w:hint="eastAsia" w:ascii="宋体" w:hAnsi="宋体" w:cs="宋体"/>
                <w:kern w:val="0"/>
                <w:sz w:val="21"/>
                <w:szCs w:val="21"/>
                <w:lang w:eastAsia="zh-CN"/>
              </w:rPr>
              <w:t>份</w:t>
            </w:r>
          </w:p>
        </w:tc>
        <w:tc>
          <w:tcPr>
            <w:tcW w:w="1605" w:type="dxa"/>
            <w:vAlign w:val="center"/>
          </w:tcPr>
          <w:p w14:paraId="2E1A2829">
            <w:pPr>
              <w:widowControl/>
              <w:ind w:left="15" w:hanging="14" w:hangingChars="7"/>
              <w:jc w:val="center"/>
              <w:rPr>
                <w:rFonts w:hint="eastAsia" w:ascii="宋体" w:hAnsi="宋体" w:eastAsia="宋体" w:cs="宋体"/>
                <w:szCs w:val="21"/>
                <w:lang w:eastAsia="zh-CN"/>
              </w:rPr>
            </w:pPr>
            <w:r>
              <w:rPr>
                <w:rFonts w:hint="eastAsia" w:ascii="宋体" w:hAnsi="宋体" w:cs="宋体"/>
                <w:szCs w:val="21"/>
                <w:lang w:val="en-US" w:eastAsia="zh-CN"/>
              </w:rPr>
              <w:t>2</w:t>
            </w:r>
          </w:p>
        </w:tc>
      </w:tr>
    </w:tbl>
    <w:p w14:paraId="0953DDFC">
      <w:pPr>
        <w:rPr>
          <w:rFonts w:ascii="宋体" w:hAnsi="宋体" w:cs="Arial Unicode MS"/>
          <w:b/>
          <w:szCs w:val="21"/>
        </w:rPr>
      </w:pPr>
    </w:p>
    <w:p w14:paraId="337B49AC">
      <w:pPr>
        <w:rPr>
          <w:rFonts w:ascii="宋体" w:hAnsi="宋体" w:cs="Arial Unicode MS"/>
          <w:b/>
          <w:szCs w:val="21"/>
        </w:rPr>
      </w:pPr>
    </w:p>
    <w:p w14:paraId="6739F978">
      <w:pPr>
        <w:rPr>
          <w:rFonts w:hint="eastAsia" w:ascii="Times New Roman" w:hAnsi="Times New Roman" w:eastAsia="宋体" w:cs="Times New Roman"/>
          <w:b/>
          <w:color w:val="000000"/>
          <w:sz w:val="28"/>
          <w:szCs w:val="36"/>
          <w:highlight w:val="none"/>
          <w:lang w:val="en-US" w:eastAsia="zh-CN"/>
        </w:rPr>
      </w:pPr>
      <w:r>
        <w:rPr>
          <w:rFonts w:hint="eastAsia" w:cs="Times New Roman"/>
          <w:b/>
          <w:color w:val="000000"/>
          <w:sz w:val="28"/>
          <w:szCs w:val="36"/>
          <w:highlight w:val="none"/>
          <w:lang w:val="en-US" w:eastAsia="zh-CN"/>
        </w:rPr>
        <w:t>四、</w:t>
      </w:r>
      <w:r>
        <w:rPr>
          <w:rFonts w:hint="eastAsia" w:ascii="Times New Roman" w:hAnsi="Times New Roman" w:eastAsia="宋体" w:cs="Times New Roman"/>
          <w:b/>
          <w:color w:val="000000"/>
          <w:sz w:val="28"/>
          <w:szCs w:val="36"/>
          <w:highlight w:val="none"/>
          <w:lang w:val="en-US" w:eastAsia="zh-CN"/>
        </w:rPr>
        <w:t>商务要求</w:t>
      </w:r>
    </w:p>
    <w:p w14:paraId="0FB6F67A">
      <w:pPr>
        <w:rPr>
          <w:rFonts w:hint="eastAsia" w:ascii="Times New Roman" w:hAnsi="Times New Roman" w:eastAsia="宋体" w:cs="Times New Roman"/>
          <w:b/>
          <w:bCs/>
          <w:sz w:val="22"/>
          <w:szCs w:val="22"/>
          <w:lang w:val="en-US" w:eastAsia="zh-CN"/>
        </w:rPr>
      </w:pPr>
      <w:r>
        <w:rPr>
          <w:rFonts w:hint="eastAsia" w:cs="Times New Roman"/>
          <w:b/>
          <w:bCs/>
          <w:sz w:val="22"/>
          <w:szCs w:val="22"/>
          <w:lang w:val="en-US" w:eastAsia="zh-CN"/>
        </w:rPr>
        <w:t>1.</w:t>
      </w:r>
      <w:r>
        <w:rPr>
          <w:rFonts w:hint="eastAsia" w:ascii="Times New Roman" w:hAnsi="Times New Roman" w:eastAsia="宋体" w:cs="Times New Roman"/>
          <w:b/>
          <w:bCs/>
          <w:sz w:val="22"/>
          <w:szCs w:val="22"/>
          <w:lang w:val="en-US" w:eastAsia="zh-CN"/>
        </w:rPr>
        <w:t>主要商务要求</w:t>
      </w:r>
    </w:p>
    <w:tbl>
      <w:tblPr>
        <w:tblStyle w:val="9"/>
        <w:tblW w:w="8395"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661"/>
        <w:gridCol w:w="6734"/>
      </w:tblGrid>
      <w:tr w14:paraId="799850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9" w:hRule="atLeast"/>
        </w:trPr>
        <w:tc>
          <w:tcPr>
            <w:tcW w:w="1661" w:type="dxa"/>
            <w:vAlign w:val="center"/>
          </w:tcPr>
          <w:p w14:paraId="49CAA400">
            <w:pPr>
              <w:pStyle w:val="15"/>
              <w:spacing w:line="360" w:lineRule="auto"/>
              <w:jc w:val="both"/>
              <w:rPr>
                <w:rFonts w:hint="eastAsia" w:eastAsia="宋体" w:cs="Tahoma"/>
                <w:b/>
                <w:bCs/>
                <w:color w:val="000000"/>
                <w:kern w:val="28"/>
                <w:sz w:val="21"/>
                <w:szCs w:val="21"/>
                <w:highlight w:val="none"/>
                <w:lang w:eastAsia="zh-CN"/>
              </w:rPr>
            </w:pPr>
            <w:r>
              <w:rPr>
                <w:rFonts w:hint="eastAsia" w:cs="Tahoma"/>
                <w:b/>
                <w:bCs/>
                <w:color w:val="000000"/>
                <w:kern w:val="28"/>
                <w:sz w:val="21"/>
                <w:szCs w:val="21"/>
                <w:highlight w:val="none"/>
                <w:lang w:val="en-US" w:eastAsia="zh-CN"/>
              </w:rPr>
              <w:t>交货期</w:t>
            </w:r>
          </w:p>
        </w:tc>
        <w:tc>
          <w:tcPr>
            <w:tcW w:w="6734" w:type="dxa"/>
            <w:vAlign w:val="top"/>
          </w:tcPr>
          <w:p w14:paraId="35DA9148">
            <w:pPr>
              <w:pStyle w:val="15"/>
              <w:spacing w:line="360" w:lineRule="auto"/>
              <w:ind w:left="0" w:leftChars="0" w:firstLine="0" w:firstLineChars="0"/>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自合同生效之日起30日内</w:t>
            </w:r>
            <w:r>
              <w:rPr>
                <w:rFonts w:hint="eastAsia" w:cs="Tahoma"/>
                <w:color w:val="000000"/>
                <w:kern w:val="28"/>
                <w:sz w:val="21"/>
                <w:szCs w:val="21"/>
                <w:highlight w:val="none"/>
                <w:lang w:val="en-US" w:eastAsia="zh-CN"/>
              </w:rPr>
              <w:t>完成安装调试</w:t>
            </w:r>
            <w:r>
              <w:rPr>
                <w:rFonts w:hint="eastAsia" w:cs="Tahoma"/>
                <w:color w:val="000000"/>
                <w:kern w:val="28"/>
                <w:sz w:val="21"/>
                <w:szCs w:val="21"/>
                <w:highlight w:val="none"/>
                <w:lang w:eastAsia="zh-CN"/>
              </w:rPr>
              <w:t>。</w:t>
            </w:r>
          </w:p>
        </w:tc>
      </w:tr>
      <w:tr w14:paraId="539315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661" w:type="dxa"/>
            <w:vAlign w:val="center"/>
          </w:tcPr>
          <w:p w14:paraId="2E971347">
            <w:pPr>
              <w:pStyle w:val="15"/>
              <w:spacing w:line="360" w:lineRule="auto"/>
              <w:jc w:val="both"/>
              <w:rPr>
                <w:rFonts w:hint="default" w:eastAsia="宋体" w:cs="Tahoma"/>
                <w:b/>
                <w:bCs/>
                <w:color w:val="000000"/>
                <w:kern w:val="28"/>
                <w:sz w:val="21"/>
                <w:szCs w:val="21"/>
                <w:highlight w:val="none"/>
                <w:lang w:val="en-US" w:eastAsia="zh-CN"/>
              </w:rPr>
            </w:pPr>
            <w:r>
              <w:rPr>
                <w:rFonts w:hint="eastAsia" w:cs="Tahoma"/>
                <w:b/>
                <w:bCs/>
                <w:color w:val="000000"/>
                <w:kern w:val="28"/>
                <w:sz w:val="21"/>
                <w:szCs w:val="21"/>
                <w:highlight w:val="none"/>
                <w:lang w:val="en-US" w:eastAsia="zh-CN"/>
              </w:rPr>
              <w:t>交货地点</w:t>
            </w:r>
          </w:p>
        </w:tc>
        <w:tc>
          <w:tcPr>
            <w:tcW w:w="6734" w:type="dxa"/>
            <w:vAlign w:val="top"/>
          </w:tcPr>
          <w:p w14:paraId="780866CC">
            <w:pPr>
              <w:pStyle w:val="15"/>
              <w:spacing w:line="360" w:lineRule="auto"/>
              <w:ind w:left="0" w:leftChars="0" w:firstLine="0" w:firstLineChars="0"/>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采购人指定地点。</w:t>
            </w:r>
          </w:p>
        </w:tc>
      </w:tr>
      <w:tr w14:paraId="73FA61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661" w:type="dxa"/>
            <w:vAlign w:val="center"/>
          </w:tcPr>
          <w:p w14:paraId="7DE3E625">
            <w:pPr>
              <w:pStyle w:val="15"/>
              <w:spacing w:line="360" w:lineRule="auto"/>
              <w:jc w:val="both"/>
              <w:rPr>
                <w:rFonts w:hint="eastAsia" w:cs="Tahoma"/>
                <w:b/>
                <w:bCs/>
                <w:color w:val="000000"/>
                <w:kern w:val="28"/>
                <w:sz w:val="21"/>
                <w:szCs w:val="21"/>
                <w:highlight w:val="none"/>
              </w:rPr>
            </w:pPr>
            <w:r>
              <w:rPr>
                <w:rFonts w:hint="eastAsia" w:cs="Tahoma"/>
                <w:b/>
                <w:bCs/>
                <w:color w:val="000000"/>
                <w:kern w:val="28"/>
                <w:sz w:val="21"/>
                <w:szCs w:val="21"/>
                <w:highlight w:val="none"/>
                <w:lang w:val="en-US" w:eastAsia="zh-CN"/>
              </w:rPr>
              <w:t>响应</w:t>
            </w:r>
            <w:r>
              <w:rPr>
                <w:rFonts w:hint="eastAsia" w:cs="Tahoma"/>
                <w:b/>
                <w:bCs/>
                <w:color w:val="000000"/>
                <w:kern w:val="28"/>
                <w:sz w:val="21"/>
                <w:szCs w:val="21"/>
                <w:highlight w:val="none"/>
              </w:rPr>
              <w:t>有效期</w:t>
            </w:r>
          </w:p>
        </w:tc>
        <w:tc>
          <w:tcPr>
            <w:tcW w:w="6734" w:type="dxa"/>
            <w:vAlign w:val="top"/>
          </w:tcPr>
          <w:p w14:paraId="4D03ED4B">
            <w:pPr>
              <w:pStyle w:val="15"/>
              <w:spacing w:line="360" w:lineRule="auto"/>
              <w:ind w:left="0" w:leftChars="0" w:firstLine="0" w:firstLineChars="0"/>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从提交响应文件的截止之日起90日历天。</w:t>
            </w:r>
          </w:p>
        </w:tc>
      </w:tr>
      <w:tr w14:paraId="6700ED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1" w:hRule="atLeast"/>
        </w:trPr>
        <w:tc>
          <w:tcPr>
            <w:tcW w:w="1661" w:type="dxa"/>
            <w:vAlign w:val="center"/>
          </w:tcPr>
          <w:p w14:paraId="7D7C3A2A">
            <w:pPr>
              <w:pStyle w:val="15"/>
              <w:spacing w:line="360" w:lineRule="auto"/>
              <w:jc w:val="both"/>
              <w:rPr>
                <w:rFonts w:hint="eastAsia" w:cs="Tahoma"/>
                <w:b/>
                <w:bCs/>
                <w:color w:val="000000"/>
                <w:kern w:val="28"/>
                <w:sz w:val="21"/>
                <w:szCs w:val="21"/>
                <w:highlight w:val="none"/>
              </w:rPr>
            </w:pPr>
            <w:r>
              <w:rPr>
                <w:rFonts w:hint="eastAsia" w:cs="Tahoma"/>
                <w:b/>
                <w:bCs/>
                <w:color w:val="000000"/>
                <w:kern w:val="28"/>
                <w:sz w:val="21"/>
                <w:szCs w:val="21"/>
                <w:highlight w:val="none"/>
              </w:rPr>
              <w:t>付款方式</w:t>
            </w:r>
          </w:p>
        </w:tc>
        <w:tc>
          <w:tcPr>
            <w:tcW w:w="6734" w:type="dxa"/>
            <w:vAlign w:val="top"/>
          </w:tcPr>
          <w:p w14:paraId="2F7B5051">
            <w:pPr>
              <w:pStyle w:val="20"/>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（1）采购人的款项以银行转账方式支付。签订合同后，合同医疗器械到采购人指定地点交付并完成安装、验收合格后，成交供应商凭以下资料支付：</w:t>
            </w:r>
          </w:p>
          <w:p w14:paraId="31DCF4F6">
            <w:pPr>
              <w:pStyle w:val="20"/>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①合同；②成交通知书；③验收表；④成交供应商开具的正式发票。</w:t>
            </w:r>
          </w:p>
          <w:p w14:paraId="36E658DD">
            <w:pPr>
              <w:pStyle w:val="20"/>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2）成交供应商全部安装完毕经采购人验收合格且收到全额发票后60日内采购人支付合同款的100%给成交供应商。因采购人使用的是财政资金，采购人申请汇款审批之日视为付款之日，若审批延迟则相应货款到账延迟，且不视为采购人违约。</w:t>
            </w:r>
          </w:p>
          <w:p w14:paraId="388ADB26">
            <w:pPr>
              <w:spacing w:line="360" w:lineRule="auto"/>
              <w:rPr>
                <w:rFonts w:hint="eastAsia" w:cs="Tahoma"/>
                <w:color w:val="000000"/>
                <w:kern w:val="28"/>
                <w:sz w:val="21"/>
                <w:szCs w:val="21"/>
                <w:highlight w:val="none"/>
                <w:lang w:eastAsia="zh-CN"/>
              </w:rPr>
            </w:pPr>
            <w:r>
              <w:rPr>
                <w:rFonts w:hint="eastAsia" w:ascii="Calibri" w:hAnsi="Calibri" w:cs="Tahoma"/>
                <w:color w:val="auto"/>
                <w:kern w:val="28"/>
                <w:sz w:val="21"/>
                <w:szCs w:val="21"/>
                <w:highlight w:val="none"/>
                <w:lang w:val="en-US" w:eastAsia="zh-CN" w:bidi="ar-SA"/>
              </w:rPr>
              <w:t>（</w:t>
            </w:r>
            <w:r>
              <w:rPr>
                <w:rFonts w:hint="eastAsia" w:ascii="Calibri" w:hAnsi="Calibri" w:eastAsia="宋体" w:cs="Tahoma"/>
                <w:color w:val="auto"/>
                <w:kern w:val="28"/>
                <w:sz w:val="21"/>
                <w:szCs w:val="21"/>
                <w:highlight w:val="none"/>
                <w:lang w:val="en-US" w:eastAsia="zh-CN" w:bidi="ar-SA"/>
              </w:rPr>
              <w:t>3</w:t>
            </w:r>
            <w:r>
              <w:rPr>
                <w:rFonts w:hint="eastAsia" w:ascii="Calibri" w:hAnsi="Calibri" w:cs="Tahoma"/>
                <w:color w:val="auto"/>
                <w:kern w:val="28"/>
                <w:sz w:val="21"/>
                <w:szCs w:val="21"/>
                <w:highlight w:val="none"/>
                <w:lang w:val="en-US" w:eastAsia="zh-CN" w:bidi="ar-SA"/>
              </w:rPr>
              <w:t>）</w:t>
            </w:r>
            <w:r>
              <w:rPr>
                <w:rFonts w:hint="eastAsia" w:ascii="Calibri" w:hAnsi="Calibri" w:eastAsia="宋体" w:cs="Tahoma"/>
                <w:color w:val="auto"/>
                <w:kern w:val="28"/>
                <w:sz w:val="21"/>
                <w:szCs w:val="21"/>
                <w:highlight w:val="none"/>
                <w:lang w:val="en-US" w:eastAsia="zh-CN" w:bidi="ar-SA"/>
              </w:rPr>
              <w:t>如成交供应商收款信息有变更，应提前十日通知采购人。否则采购人按照未变更的付款信息进行付款的，视为采购人已完成付款，产生的损失由成交供应商自行承担。</w:t>
            </w:r>
          </w:p>
        </w:tc>
      </w:tr>
      <w:tr w14:paraId="78E4E8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661" w:type="dxa"/>
            <w:vAlign w:val="center"/>
          </w:tcPr>
          <w:p w14:paraId="45231348">
            <w:pPr>
              <w:pStyle w:val="15"/>
              <w:spacing w:line="360" w:lineRule="auto"/>
              <w:jc w:val="both"/>
              <w:rPr>
                <w:rFonts w:hint="eastAsia" w:cs="Tahoma"/>
                <w:b/>
                <w:bCs/>
                <w:color w:val="000000"/>
                <w:kern w:val="28"/>
                <w:sz w:val="21"/>
                <w:szCs w:val="21"/>
                <w:highlight w:val="none"/>
              </w:rPr>
            </w:pPr>
            <w:r>
              <w:rPr>
                <w:rFonts w:hint="eastAsia" w:cs="Tahoma"/>
                <w:b/>
                <w:bCs/>
                <w:color w:val="000000"/>
                <w:kern w:val="28"/>
                <w:sz w:val="21"/>
                <w:szCs w:val="21"/>
                <w:highlight w:val="none"/>
              </w:rPr>
              <w:t>履约保证金</w:t>
            </w:r>
          </w:p>
        </w:tc>
        <w:tc>
          <w:tcPr>
            <w:tcW w:w="6734" w:type="dxa"/>
            <w:vAlign w:val="top"/>
          </w:tcPr>
          <w:p w14:paraId="3F465FAA">
            <w:pPr>
              <w:pStyle w:val="15"/>
              <w:spacing w:line="360" w:lineRule="auto"/>
              <w:ind w:left="0" w:leftChars="0" w:firstLine="0" w:firstLineChars="0"/>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不收取。</w:t>
            </w:r>
          </w:p>
        </w:tc>
      </w:tr>
      <w:tr w14:paraId="7D23D8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1661" w:type="dxa"/>
            <w:vAlign w:val="center"/>
          </w:tcPr>
          <w:p w14:paraId="10E05193">
            <w:pPr>
              <w:widowControl/>
              <w:numPr>
                <w:ilvl w:val="0"/>
                <w:numId w:val="0"/>
              </w:numPr>
              <w:tabs>
                <w:tab w:val="left" w:pos="636"/>
              </w:tabs>
              <w:autoSpaceDE w:val="0"/>
              <w:autoSpaceDN w:val="0"/>
              <w:spacing w:line="360" w:lineRule="auto"/>
              <w:jc w:val="left"/>
              <w:textAlignment w:val="bottom"/>
              <w:rPr>
                <w:rFonts w:hint="eastAsia" w:ascii="宋体" w:hAnsi="宋体" w:cs="宋体"/>
                <w:b w:val="0"/>
                <w:bCs w:val="0"/>
                <w:color w:val="000000"/>
                <w:kern w:val="2"/>
                <w:sz w:val="21"/>
                <w:szCs w:val="21"/>
                <w:highlight w:val="none"/>
              </w:rPr>
            </w:pPr>
            <w:r>
              <w:rPr>
                <w:rFonts w:hint="eastAsia" w:ascii="宋体" w:hAnsi="宋体" w:eastAsia="宋体" w:cs="宋体"/>
                <w:b w:val="0"/>
                <w:bCs w:val="0"/>
                <w:color w:val="auto"/>
                <w:sz w:val="21"/>
                <w:szCs w:val="21"/>
                <w:lang w:val="en-US" w:eastAsia="zh-CN"/>
              </w:rPr>
              <w:t>报价说明</w:t>
            </w:r>
          </w:p>
        </w:tc>
        <w:tc>
          <w:tcPr>
            <w:tcW w:w="6734" w:type="dxa"/>
            <w:vAlign w:val="top"/>
          </w:tcPr>
          <w:p w14:paraId="2F21215E">
            <w:pPr>
              <w:widowControl/>
              <w:numPr>
                <w:ilvl w:val="0"/>
                <w:numId w:val="0"/>
              </w:numPr>
              <w:tabs>
                <w:tab w:val="left" w:pos="636"/>
              </w:tabs>
              <w:autoSpaceDE w:val="0"/>
              <w:autoSpaceDN w:val="0"/>
              <w:spacing w:line="360" w:lineRule="auto"/>
              <w:jc w:val="left"/>
              <w:textAlignment w:val="bottom"/>
              <w:rPr>
                <w:rFonts w:hint="eastAsia" w:ascii="宋体" w:hAnsi="宋体" w:cs="宋体"/>
                <w:b w:val="0"/>
                <w:color w:val="auto"/>
                <w:szCs w:val="21"/>
                <w:lang w:val="en-US" w:eastAsia="zh-CN"/>
              </w:rPr>
            </w:pPr>
            <w:bookmarkStart w:id="13" w:name="OLE_LINK8"/>
            <w:bookmarkStart w:id="14" w:name="OLE_LINK2"/>
            <w:r>
              <w:rPr>
                <w:rFonts w:hint="eastAsia" w:ascii="宋体" w:hAnsi="宋体" w:cs="宋体"/>
                <w:b w:val="0"/>
                <w:color w:val="auto"/>
                <w:szCs w:val="21"/>
                <w:lang w:val="en-US" w:eastAsia="zh-CN"/>
              </w:rPr>
              <w:t>1.供应商应在《报价单》中需清晰列明主要标的的“设备名称、品牌、规格、型号、数量、单价及总价等。”</w:t>
            </w:r>
          </w:p>
          <w:p w14:paraId="319E0F34">
            <w:pPr>
              <w:widowControl/>
              <w:numPr>
                <w:ilvl w:val="0"/>
                <w:numId w:val="0"/>
              </w:numPr>
              <w:tabs>
                <w:tab w:val="left" w:pos="636"/>
              </w:tabs>
              <w:autoSpaceDE w:val="0"/>
              <w:autoSpaceDN w:val="0"/>
              <w:spacing w:line="360" w:lineRule="auto"/>
              <w:jc w:val="left"/>
              <w:textAlignment w:val="bottom"/>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w:t>
            </w:r>
            <w:r>
              <w:rPr>
                <w:rFonts w:hint="eastAsia" w:ascii="宋体" w:hAnsi="宋体" w:eastAsia="宋体" w:cs="宋体"/>
                <w:color w:val="auto"/>
                <w:sz w:val="21"/>
                <w:szCs w:val="21"/>
                <w:lang w:val="en-US" w:eastAsia="zh-CN"/>
              </w:rPr>
              <w:t>供应商</w:t>
            </w:r>
            <w:r>
              <w:rPr>
                <w:rFonts w:hint="eastAsia" w:ascii="宋体" w:hAnsi="宋体" w:eastAsia="宋体" w:cs="宋体"/>
                <w:color w:val="auto"/>
                <w:sz w:val="21"/>
                <w:szCs w:val="21"/>
                <w:lang w:eastAsia="zh-CN"/>
              </w:rPr>
              <w:t>的报价包括但不限于设计、</w:t>
            </w:r>
            <w:r>
              <w:rPr>
                <w:rFonts w:hint="eastAsia" w:ascii="宋体" w:hAnsi="宋体" w:cs="宋体"/>
                <w:color w:val="auto"/>
                <w:sz w:val="21"/>
                <w:szCs w:val="21"/>
                <w:lang w:eastAsia="zh-CN"/>
              </w:rPr>
              <w:t>医疗器械</w:t>
            </w:r>
            <w:r>
              <w:rPr>
                <w:rFonts w:hint="eastAsia" w:ascii="宋体" w:hAnsi="宋体" w:eastAsia="宋体" w:cs="宋体"/>
                <w:color w:val="auto"/>
                <w:sz w:val="21"/>
                <w:szCs w:val="21"/>
                <w:lang w:eastAsia="zh-CN"/>
              </w:rPr>
              <w:t>制造、包装、仓储、运输、装卸、安装及验收合格之前及保修期与备品备件发生的所有含税费用</w:t>
            </w:r>
            <w:r>
              <w:rPr>
                <w:rFonts w:hint="eastAsia" w:ascii="宋体" w:hAnsi="宋体" w:eastAsia="宋体" w:cs="宋体"/>
                <w:color w:val="000000"/>
                <w:kern w:val="2"/>
                <w:sz w:val="21"/>
                <w:szCs w:val="21"/>
                <w:lang w:val="en-US" w:eastAsia="zh-CN" w:bidi="ar-SA"/>
              </w:rPr>
              <w:t>及合同实施过程中可预见和不可预见的一切费用，采购人不再额外支付任何费用</w:t>
            </w:r>
            <w:r>
              <w:rPr>
                <w:rFonts w:hint="eastAsia" w:ascii="宋体" w:hAnsi="宋体" w:cs="宋体"/>
                <w:color w:val="000000"/>
                <w:kern w:val="2"/>
                <w:sz w:val="21"/>
                <w:szCs w:val="21"/>
                <w:lang w:val="en-US" w:eastAsia="zh-CN" w:bidi="ar-SA"/>
              </w:rPr>
              <w:t>，</w:t>
            </w:r>
            <w:r>
              <w:rPr>
                <w:rFonts w:hint="eastAsia" w:ascii="宋体" w:hAnsi="宋体" w:eastAsia="宋体" w:cs="宋体"/>
                <w:color w:val="auto"/>
                <w:sz w:val="21"/>
                <w:szCs w:val="21"/>
                <w:lang w:val="en-US" w:eastAsia="zh-CN"/>
              </w:rPr>
              <w:t>并</w:t>
            </w:r>
            <w:r>
              <w:rPr>
                <w:rFonts w:hint="eastAsia" w:ascii="宋体" w:hAnsi="宋体" w:eastAsia="宋体" w:cs="宋体"/>
                <w:color w:val="auto"/>
                <w:sz w:val="21"/>
                <w:szCs w:val="21"/>
                <w:lang w:eastAsia="zh-CN"/>
              </w:rPr>
              <w:t>对所有内容进行</w:t>
            </w:r>
            <w:r>
              <w:rPr>
                <w:rFonts w:hint="eastAsia" w:ascii="宋体" w:hAnsi="宋体" w:eastAsia="宋体" w:cs="宋体"/>
                <w:b w:val="0"/>
                <w:bCs w:val="0"/>
                <w:color w:val="auto"/>
                <w:sz w:val="21"/>
                <w:szCs w:val="21"/>
                <w:lang w:val="en-US" w:eastAsia="zh-CN"/>
              </w:rPr>
              <w:t>一次性</w:t>
            </w:r>
            <w:r>
              <w:rPr>
                <w:rFonts w:hint="eastAsia" w:ascii="宋体" w:hAnsi="宋体" w:eastAsia="宋体" w:cs="宋体"/>
                <w:b w:val="0"/>
                <w:bCs w:val="0"/>
                <w:color w:val="auto"/>
                <w:sz w:val="21"/>
                <w:szCs w:val="21"/>
                <w:lang w:eastAsia="zh-CN"/>
              </w:rPr>
              <w:t>报价</w:t>
            </w:r>
            <w:r>
              <w:rPr>
                <w:rFonts w:hint="eastAsia" w:ascii="宋体" w:hAnsi="宋体" w:eastAsia="宋体" w:cs="宋体"/>
                <w:color w:val="auto"/>
                <w:sz w:val="21"/>
                <w:szCs w:val="21"/>
                <w:lang w:eastAsia="zh-CN"/>
              </w:rPr>
              <w:t>。报价不能超出</w:t>
            </w:r>
            <w:r>
              <w:rPr>
                <w:rFonts w:hint="eastAsia" w:ascii="宋体" w:hAnsi="宋体" w:cs="宋体"/>
                <w:color w:val="auto"/>
                <w:sz w:val="21"/>
                <w:szCs w:val="21"/>
                <w:lang w:eastAsia="zh-CN"/>
              </w:rPr>
              <w:t>本采购包</w:t>
            </w:r>
            <w:r>
              <w:rPr>
                <w:rFonts w:hint="eastAsia" w:ascii="宋体" w:hAnsi="宋体" w:eastAsia="宋体" w:cs="宋体"/>
                <w:color w:val="auto"/>
                <w:sz w:val="21"/>
                <w:szCs w:val="21"/>
                <w:lang w:eastAsia="zh-CN"/>
              </w:rPr>
              <w:t>预算单价及总价，超出</w:t>
            </w:r>
            <w:r>
              <w:rPr>
                <w:rFonts w:hint="eastAsia" w:ascii="宋体" w:hAnsi="宋体" w:cs="宋体"/>
                <w:color w:val="auto"/>
                <w:sz w:val="21"/>
                <w:szCs w:val="21"/>
                <w:lang w:eastAsia="zh-CN"/>
              </w:rPr>
              <w:t>本采购包</w:t>
            </w:r>
            <w:r>
              <w:rPr>
                <w:rFonts w:hint="eastAsia" w:ascii="宋体" w:hAnsi="宋体" w:eastAsia="宋体" w:cs="宋体"/>
                <w:color w:val="auto"/>
                <w:sz w:val="21"/>
                <w:szCs w:val="21"/>
                <w:lang w:eastAsia="zh-CN"/>
              </w:rPr>
              <w:t>预算单价及总价的为无效响应。</w:t>
            </w:r>
            <w:bookmarkEnd w:id="13"/>
            <w:bookmarkEnd w:id="14"/>
          </w:p>
        </w:tc>
      </w:tr>
    </w:tbl>
    <w:p w14:paraId="026837C0">
      <w:pPr>
        <w:rPr>
          <w:highlight w:val="none"/>
          <w:lang w:eastAsia="zh-CN"/>
        </w:rPr>
      </w:pPr>
    </w:p>
    <w:p w14:paraId="0D639066">
      <w:pPr>
        <w:rPr>
          <w:rFonts w:hint="eastAsia" w:ascii="Times New Roman" w:hAnsi="Times New Roman" w:eastAsia="宋体" w:cs="Times New Roman"/>
          <w:b/>
          <w:bCs/>
          <w:sz w:val="22"/>
          <w:szCs w:val="22"/>
          <w:lang w:val="en-US" w:eastAsia="zh-CN"/>
        </w:rPr>
      </w:pPr>
      <w:r>
        <w:rPr>
          <w:rFonts w:hint="eastAsia" w:cs="Times New Roman"/>
          <w:b/>
          <w:bCs/>
          <w:sz w:val="22"/>
          <w:szCs w:val="22"/>
          <w:lang w:val="en-US" w:eastAsia="zh-CN"/>
        </w:rPr>
        <w:t>2.</w:t>
      </w:r>
      <w:r>
        <w:rPr>
          <w:rFonts w:hint="eastAsia" w:ascii="Times New Roman" w:hAnsi="Times New Roman" w:eastAsia="宋体" w:cs="Times New Roman"/>
          <w:b/>
          <w:bCs/>
          <w:sz w:val="22"/>
          <w:szCs w:val="22"/>
          <w:lang w:val="en-US" w:eastAsia="zh-CN"/>
        </w:rPr>
        <w:t>其他商务要求</w:t>
      </w:r>
    </w:p>
    <w:tbl>
      <w:tblPr>
        <w:tblStyle w:val="10"/>
        <w:tblW w:w="84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4"/>
        <w:gridCol w:w="6736"/>
      </w:tblGrid>
      <w:tr w14:paraId="1C5DB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674" w:type="dxa"/>
            <w:vAlign w:val="center"/>
          </w:tcPr>
          <w:p w14:paraId="5CDD8455">
            <w:pPr>
              <w:widowControl/>
              <w:tabs>
                <w:tab w:val="left" w:pos="636"/>
              </w:tabs>
              <w:autoSpaceDE w:val="0"/>
              <w:autoSpaceDN w:val="0"/>
              <w:spacing w:line="360" w:lineRule="auto"/>
              <w:jc w:val="center"/>
              <w:textAlignment w:val="bottom"/>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内容明细</w:t>
            </w:r>
          </w:p>
        </w:tc>
        <w:tc>
          <w:tcPr>
            <w:tcW w:w="6736" w:type="dxa"/>
            <w:vAlign w:val="center"/>
          </w:tcPr>
          <w:p w14:paraId="2419E3DC">
            <w:pPr>
              <w:widowControl/>
              <w:tabs>
                <w:tab w:val="left" w:pos="636"/>
              </w:tabs>
              <w:autoSpaceDE w:val="0"/>
              <w:autoSpaceDN w:val="0"/>
              <w:spacing w:line="360" w:lineRule="auto"/>
              <w:jc w:val="center"/>
              <w:textAlignment w:val="bottom"/>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内容说明</w:t>
            </w:r>
          </w:p>
        </w:tc>
      </w:tr>
      <w:tr w14:paraId="60451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4" w:type="dxa"/>
            <w:vAlign w:val="top"/>
          </w:tcPr>
          <w:p w14:paraId="5F1E2704">
            <w:pPr>
              <w:tabs>
                <w:tab w:val="decimal" w:pos="315"/>
                <w:tab w:val="left" w:pos="630"/>
              </w:tabs>
              <w:spacing w:line="360" w:lineRule="auto"/>
              <w:jc w:val="center"/>
              <w:rPr>
                <w:rFonts w:hint="eastAsia" w:ascii="宋体" w:hAnsi="宋体" w:eastAsia="宋体" w:cs="宋体"/>
                <w:b/>
                <w:bCs/>
                <w:sz w:val="21"/>
                <w:szCs w:val="21"/>
              </w:rPr>
            </w:pPr>
          </w:p>
          <w:p w14:paraId="1C44B168">
            <w:pPr>
              <w:tabs>
                <w:tab w:val="decimal" w:pos="315"/>
                <w:tab w:val="left" w:pos="630"/>
              </w:tabs>
              <w:spacing w:line="360" w:lineRule="auto"/>
              <w:jc w:val="center"/>
              <w:rPr>
                <w:rFonts w:hint="eastAsia" w:ascii="宋体" w:hAnsi="宋体" w:eastAsia="宋体" w:cs="宋体"/>
                <w:b/>
                <w:bCs/>
                <w:sz w:val="21"/>
                <w:szCs w:val="21"/>
              </w:rPr>
            </w:pPr>
          </w:p>
          <w:p w14:paraId="4810A21A">
            <w:pPr>
              <w:tabs>
                <w:tab w:val="decimal" w:pos="315"/>
                <w:tab w:val="left" w:pos="630"/>
              </w:tabs>
              <w:spacing w:line="360" w:lineRule="auto"/>
              <w:jc w:val="center"/>
              <w:rPr>
                <w:rFonts w:hint="eastAsia" w:ascii="宋体" w:hAnsi="宋体" w:eastAsia="宋体" w:cs="宋体"/>
                <w:b/>
                <w:bCs/>
                <w:sz w:val="21"/>
                <w:szCs w:val="21"/>
              </w:rPr>
            </w:pPr>
          </w:p>
          <w:p w14:paraId="7BC243B1">
            <w:pPr>
              <w:tabs>
                <w:tab w:val="decimal" w:pos="315"/>
                <w:tab w:val="left" w:pos="630"/>
              </w:tabs>
              <w:spacing w:line="360" w:lineRule="auto"/>
              <w:jc w:val="center"/>
              <w:rPr>
                <w:rFonts w:hint="eastAsia" w:ascii="宋体" w:hAnsi="宋体" w:eastAsia="宋体" w:cs="宋体"/>
                <w:b/>
                <w:bCs/>
                <w:sz w:val="21"/>
                <w:szCs w:val="21"/>
              </w:rPr>
            </w:pPr>
          </w:p>
          <w:p w14:paraId="3B4B872F">
            <w:pPr>
              <w:tabs>
                <w:tab w:val="decimal" w:pos="315"/>
                <w:tab w:val="left" w:pos="630"/>
              </w:tabs>
              <w:spacing w:line="360" w:lineRule="auto"/>
              <w:jc w:val="center"/>
              <w:rPr>
                <w:rFonts w:hint="eastAsia" w:ascii="宋体" w:hAnsi="宋体" w:eastAsia="宋体" w:cs="宋体"/>
                <w:b/>
                <w:bCs/>
                <w:sz w:val="21"/>
                <w:szCs w:val="21"/>
              </w:rPr>
            </w:pPr>
          </w:p>
          <w:p w14:paraId="426CB15C">
            <w:pPr>
              <w:tabs>
                <w:tab w:val="decimal" w:pos="315"/>
                <w:tab w:val="left" w:pos="630"/>
              </w:tabs>
              <w:spacing w:line="360" w:lineRule="auto"/>
              <w:jc w:val="center"/>
              <w:rPr>
                <w:rFonts w:hint="eastAsia" w:ascii="宋体" w:hAnsi="宋体" w:eastAsia="宋体" w:cs="宋体"/>
                <w:b/>
                <w:bCs/>
                <w:sz w:val="21"/>
                <w:szCs w:val="21"/>
              </w:rPr>
            </w:pPr>
          </w:p>
          <w:p w14:paraId="2F5E3358">
            <w:pPr>
              <w:tabs>
                <w:tab w:val="decimal" w:pos="315"/>
                <w:tab w:val="left" w:pos="630"/>
              </w:tabs>
              <w:spacing w:line="360" w:lineRule="auto"/>
              <w:jc w:val="center"/>
              <w:rPr>
                <w:rFonts w:hint="eastAsia" w:ascii="宋体" w:hAnsi="宋体" w:eastAsia="宋体" w:cs="宋体"/>
                <w:b/>
                <w:bCs/>
                <w:sz w:val="21"/>
                <w:szCs w:val="21"/>
              </w:rPr>
            </w:pPr>
          </w:p>
          <w:p w14:paraId="3479C568">
            <w:pPr>
              <w:tabs>
                <w:tab w:val="decimal" w:pos="315"/>
                <w:tab w:val="left" w:pos="630"/>
              </w:tabs>
              <w:spacing w:line="360" w:lineRule="auto"/>
              <w:jc w:val="center"/>
              <w:rPr>
                <w:rFonts w:hint="eastAsia" w:ascii="宋体" w:hAnsi="宋体" w:eastAsia="宋体" w:cs="宋体"/>
                <w:b/>
                <w:bCs/>
                <w:sz w:val="21"/>
                <w:szCs w:val="21"/>
              </w:rPr>
            </w:pPr>
          </w:p>
          <w:p w14:paraId="693C87B2">
            <w:pPr>
              <w:tabs>
                <w:tab w:val="decimal" w:pos="315"/>
                <w:tab w:val="left" w:pos="630"/>
              </w:tabs>
              <w:spacing w:line="360" w:lineRule="auto"/>
              <w:jc w:val="center"/>
              <w:rPr>
                <w:rFonts w:hint="eastAsia" w:ascii="宋体" w:hAnsi="宋体" w:eastAsia="宋体" w:cs="宋体"/>
                <w:color w:val="000000"/>
                <w:sz w:val="21"/>
                <w:szCs w:val="21"/>
              </w:rPr>
            </w:pPr>
            <w:r>
              <w:rPr>
                <w:rFonts w:hint="eastAsia" w:ascii="宋体" w:hAnsi="宋体" w:cs="宋体"/>
                <w:b/>
                <w:bCs/>
                <w:sz w:val="21"/>
                <w:szCs w:val="21"/>
                <w:lang w:eastAsia="zh-CN"/>
              </w:rPr>
              <w:t>医疗器械</w:t>
            </w:r>
            <w:r>
              <w:rPr>
                <w:rFonts w:hint="eastAsia" w:ascii="宋体" w:hAnsi="宋体" w:eastAsia="宋体" w:cs="宋体"/>
                <w:b/>
                <w:bCs/>
                <w:sz w:val="21"/>
                <w:szCs w:val="21"/>
              </w:rPr>
              <w:t>包装、安装、调试及验收</w:t>
            </w:r>
          </w:p>
        </w:tc>
        <w:tc>
          <w:tcPr>
            <w:tcW w:w="6736" w:type="dxa"/>
            <w:vAlign w:val="top"/>
          </w:tcPr>
          <w:p w14:paraId="05946F76">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w:t>
            </w:r>
            <w:r>
              <w:rPr>
                <w:rFonts w:hint="eastAsia" w:ascii="宋体" w:hAnsi="宋体" w:eastAsia="宋体" w:cs="宋体"/>
                <w:sz w:val="21"/>
                <w:szCs w:val="21"/>
              </w:rPr>
              <w:t>包装要求：</w:t>
            </w:r>
            <w:r>
              <w:rPr>
                <w:rFonts w:hint="eastAsia" w:ascii="宋体" w:hAnsi="宋体" w:cs="宋体"/>
                <w:sz w:val="21"/>
                <w:szCs w:val="21"/>
                <w:lang w:eastAsia="zh-CN"/>
              </w:rPr>
              <w:t>医疗器械</w:t>
            </w:r>
            <w:r>
              <w:rPr>
                <w:rFonts w:hint="eastAsia" w:ascii="宋体" w:hAnsi="宋体" w:eastAsia="宋体" w:cs="宋体"/>
                <w:sz w:val="21"/>
                <w:szCs w:val="21"/>
              </w:rPr>
              <w:t>的包装均应有良好的防湿、防锈、防潮、防雨、防腐及防碰撞的等保证</w:t>
            </w:r>
            <w:r>
              <w:rPr>
                <w:rFonts w:hint="eastAsia" w:ascii="宋体" w:hAnsi="宋体" w:cs="宋体"/>
                <w:sz w:val="21"/>
                <w:szCs w:val="21"/>
                <w:lang w:eastAsia="zh-CN"/>
              </w:rPr>
              <w:t>医疗器械</w:t>
            </w:r>
            <w:r>
              <w:rPr>
                <w:rFonts w:hint="eastAsia" w:ascii="宋体" w:hAnsi="宋体" w:eastAsia="宋体" w:cs="宋体"/>
                <w:sz w:val="21"/>
                <w:szCs w:val="21"/>
              </w:rPr>
              <w:t>外观完整及功能正常等措施。凡由于包装不良造成的损失和由此产生的费用均由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4DD467A6">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w:t>
            </w:r>
            <w:r>
              <w:rPr>
                <w:rFonts w:hint="eastAsia" w:ascii="宋体" w:hAnsi="宋体" w:eastAsia="宋体" w:cs="宋体"/>
                <w:sz w:val="21"/>
                <w:szCs w:val="21"/>
              </w:rPr>
              <w:t>安装调试：</w:t>
            </w:r>
          </w:p>
          <w:p w14:paraId="26002EC8">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①成交供应商</w:t>
            </w:r>
            <w:r>
              <w:rPr>
                <w:rFonts w:hint="eastAsia" w:ascii="宋体" w:hAnsi="宋体" w:eastAsia="宋体" w:cs="宋体"/>
                <w:sz w:val="21"/>
                <w:szCs w:val="21"/>
              </w:rPr>
              <w:t>负责合同项下的安装调试，一切费用由</w:t>
            </w:r>
            <w:r>
              <w:rPr>
                <w:rFonts w:hint="eastAsia" w:ascii="宋体" w:hAnsi="宋体" w:cs="宋体"/>
                <w:sz w:val="21"/>
                <w:szCs w:val="21"/>
                <w:lang w:eastAsia="zh-CN"/>
              </w:rPr>
              <w:t>成交供应商</w:t>
            </w:r>
            <w:r>
              <w:rPr>
                <w:rFonts w:hint="eastAsia" w:ascii="宋体" w:hAnsi="宋体" w:eastAsia="宋体" w:cs="宋体"/>
                <w:sz w:val="21"/>
                <w:szCs w:val="21"/>
              </w:rPr>
              <w:t>负责；</w:t>
            </w:r>
          </w:p>
          <w:p w14:paraId="0D484486">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②医疗器械</w:t>
            </w:r>
            <w:r>
              <w:rPr>
                <w:rFonts w:hint="eastAsia" w:ascii="宋体" w:hAnsi="宋体" w:eastAsia="宋体" w:cs="宋体"/>
                <w:sz w:val="21"/>
                <w:szCs w:val="21"/>
              </w:rPr>
              <w:t>安装时须对各安装场地内的其它</w:t>
            </w:r>
            <w:r>
              <w:rPr>
                <w:rFonts w:hint="eastAsia" w:ascii="宋体" w:hAnsi="宋体" w:cs="宋体"/>
                <w:sz w:val="21"/>
                <w:szCs w:val="21"/>
                <w:lang w:eastAsia="zh-CN"/>
              </w:rPr>
              <w:t>设备</w:t>
            </w:r>
            <w:r>
              <w:rPr>
                <w:rFonts w:hint="eastAsia" w:ascii="宋体" w:hAnsi="宋体" w:eastAsia="宋体" w:cs="宋体"/>
                <w:sz w:val="21"/>
                <w:szCs w:val="21"/>
              </w:rPr>
              <w:t>、设施有良好保护措施；</w:t>
            </w:r>
          </w:p>
          <w:p w14:paraId="51CCC85C">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③成交供应商</w:t>
            </w:r>
            <w:r>
              <w:rPr>
                <w:rFonts w:hint="eastAsia" w:ascii="宋体" w:hAnsi="宋体" w:eastAsia="宋体" w:cs="宋体"/>
                <w:sz w:val="21"/>
                <w:szCs w:val="21"/>
              </w:rPr>
              <w:t>对安装现场承担安全管理责任，安装过程中由于</w:t>
            </w:r>
            <w:r>
              <w:rPr>
                <w:rFonts w:hint="eastAsia" w:ascii="宋体" w:hAnsi="宋体" w:cs="宋体"/>
                <w:sz w:val="21"/>
                <w:szCs w:val="21"/>
                <w:lang w:eastAsia="zh-CN"/>
              </w:rPr>
              <w:t>成交供应商</w:t>
            </w:r>
            <w:r>
              <w:rPr>
                <w:rFonts w:hint="eastAsia" w:ascii="宋体" w:hAnsi="宋体" w:eastAsia="宋体" w:cs="宋体"/>
                <w:sz w:val="21"/>
                <w:szCs w:val="21"/>
              </w:rPr>
              <w:t>原因所造成的一切安全责任事故由</w:t>
            </w:r>
            <w:r>
              <w:rPr>
                <w:rFonts w:hint="eastAsia" w:ascii="宋体" w:hAnsi="宋体" w:cs="宋体"/>
                <w:sz w:val="21"/>
                <w:szCs w:val="21"/>
                <w:lang w:eastAsia="zh-CN"/>
              </w:rPr>
              <w:t>成交供应商</w:t>
            </w:r>
            <w:r>
              <w:rPr>
                <w:rFonts w:hint="eastAsia" w:ascii="宋体" w:hAnsi="宋体" w:eastAsia="宋体" w:cs="宋体"/>
                <w:sz w:val="21"/>
                <w:szCs w:val="21"/>
              </w:rPr>
              <w:t>承担。</w:t>
            </w:r>
            <w:r>
              <w:rPr>
                <w:rFonts w:hint="eastAsia" w:ascii="宋体" w:hAnsi="宋体" w:cs="宋体"/>
                <w:sz w:val="21"/>
                <w:szCs w:val="21"/>
                <w:lang w:eastAsia="zh-CN"/>
              </w:rPr>
              <w:t>成交供应商</w:t>
            </w:r>
            <w:r>
              <w:rPr>
                <w:rFonts w:hint="eastAsia" w:ascii="宋体" w:hAnsi="宋体" w:eastAsia="宋体" w:cs="宋体"/>
                <w:sz w:val="21"/>
                <w:szCs w:val="21"/>
              </w:rPr>
              <w:t>因安装造成采购人人员等他人人身、财产损害的，</w:t>
            </w:r>
            <w:r>
              <w:rPr>
                <w:rFonts w:hint="eastAsia" w:ascii="宋体" w:hAnsi="宋体" w:cs="宋体"/>
                <w:sz w:val="21"/>
                <w:szCs w:val="21"/>
                <w:lang w:eastAsia="zh-CN"/>
              </w:rPr>
              <w:t>成交供应商</w:t>
            </w:r>
            <w:r>
              <w:rPr>
                <w:rFonts w:hint="eastAsia" w:ascii="宋体" w:hAnsi="宋体" w:eastAsia="宋体" w:cs="宋体"/>
                <w:sz w:val="21"/>
                <w:szCs w:val="21"/>
              </w:rPr>
              <w:t>承担全部赔偿责任。因此造成采购人被相关权利人索赔的，采购人有权全额向</w:t>
            </w:r>
            <w:r>
              <w:rPr>
                <w:rFonts w:hint="eastAsia" w:ascii="宋体" w:hAnsi="宋体" w:cs="宋体"/>
                <w:sz w:val="21"/>
                <w:szCs w:val="21"/>
                <w:lang w:eastAsia="zh-CN"/>
              </w:rPr>
              <w:t>成交供应商</w:t>
            </w:r>
            <w:r>
              <w:rPr>
                <w:rFonts w:hint="eastAsia" w:ascii="宋体" w:hAnsi="宋体" w:eastAsia="宋体" w:cs="宋体"/>
                <w:sz w:val="21"/>
                <w:szCs w:val="21"/>
              </w:rPr>
              <w:t>追偿；</w:t>
            </w:r>
          </w:p>
          <w:p w14:paraId="4803271F">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④</w:t>
            </w:r>
            <w:r>
              <w:rPr>
                <w:rFonts w:hint="eastAsia" w:ascii="宋体" w:hAnsi="宋体" w:eastAsia="宋体" w:cs="宋体"/>
                <w:sz w:val="21"/>
                <w:szCs w:val="21"/>
              </w:rPr>
              <w:t>安装完毕后</w:t>
            </w:r>
            <w:r>
              <w:rPr>
                <w:rFonts w:hint="eastAsia" w:ascii="宋体" w:hAnsi="宋体" w:cs="宋体"/>
                <w:sz w:val="21"/>
                <w:szCs w:val="21"/>
                <w:lang w:eastAsia="zh-CN"/>
              </w:rPr>
              <w:t>成交供应商</w:t>
            </w:r>
            <w:r>
              <w:rPr>
                <w:rFonts w:hint="eastAsia" w:ascii="宋体" w:hAnsi="宋体" w:eastAsia="宋体" w:cs="宋体"/>
                <w:sz w:val="21"/>
                <w:szCs w:val="21"/>
              </w:rPr>
              <w:t>应负责对场所进行清场，否则采购人有权自主采取措施并要求</w:t>
            </w:r>
            <w:r>
              <w:rPr>
                <w:rFonts w:hint="eastAsia" w:ascii="宋体" w:hAnsi="宋体" w:cs="宋体"/>
                <w:sz w:val="21"/>
                <w:szCs w:val="21"/>
                <w:lang w:eastAsia="zh-CN"/>
              </w:rPr>
              <w:t>成交供应商</w:t>
            </w:r>
            <w:r>
              <w:rPr>
                <w:rFonts w:hint="eastAsia" w:ascii="宋体" w:hAnsi="宋体" w:eastAsia="宋体" w:cs="宋体"/>
                <w:sz w:val="21"/>
                <w:szCs w:val="21"/>
              </w:rPr>
              <w:t>承担相应费用；</w:t>
            </w:r>
          </w:p>
          <w:p w14:paraId="63C30C46">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⑤成交供应商</w:t>
            </w:r>
            <w:r>
              <w:rPr>
                <w:rFonts w:hint="eastAsia" w:ascii="宋体" w:hAnsi="宋体" w:eastAsia="宋体" w:cs="宋体"/>
                <w:sz w:val="21"/>
                <w:szCs w:val="21"/>
              </w:rPr>
              <w:t>现场安装施工人员的安全由</w:t>
            </w:r>
            <w:r>
              <w:rPr>
                <w:rFonts w:hint="eastAsia" w:ascii="宋体" w:hAnsi="宋体" w:cs="宋体"/>
                <w:sz w:val="21"/>
                <w:szCs w:val="21"/>
                <w:lang w:eastAsia="zh-CN"/>
              </w:rPr>
              <w:t>成交供应商</w:t>
            </w:r>
            <w:r>
              <w:rPr>
                <w:rFonts w:hint="eastAsia" w:ascii="宋体" w:hAnsi="宋体" w:eastAsia="宋体" w:cs="宋体"/>
                <w:sz w:val="21"/>
                <w:szCs w:val="21"/>
              </w:rPr>
              <w:t>自行负责，安装期间所发生的安全事故及财产损失、人身伤亡由</w:t>
            </w:r>
            <w:r>
              <w:rPr>
                <w:rFonts w:hint="eastAsia" w:ascii="宋体" w:hAnsi="宋体" w:cs="宋体"/>
                <w:sz w:val="21"/>
                <w:szCs w:val="21"/>
                <w:lang w:eastAsia="zh-CN"/>
              </w:rPr>
              <w:t>成交供应商</w:t>
            </w:r>
            <w:r>
              <w:rPr>
                <w:rFonts w:hint="eastAsia" w:ascii="宋体" w:hAnsi="宋体" w:eastAsia="宋体" w:cs="宋体"/>
                <w:sz w:val="21"/>
                <w:szCs w:val="21"/>
              </w:rPr>
              <w:t>负责，采购人无需承担任何赔偿责任。</w:t>
            </w:r>
          </w:p>
          <w:p w14:paraId="58085F03">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w:t>
            </w:r>
            <w:r>
              <w:rPr>
                <w:rFonts w:hint="eastAsia" w:ascii="宋体" w:hAnsi="宋体" w:eastAsia="宋体" w:cs="宋体"/>
                <w:sz w:val="21"/>
                <w:szCs w:val="21"/>
              </w:rPr>
              <w:t>验收方式：</w:t>
            </w:r>
          </w:p>
          <w:p w14:paraId="3BD38BFC">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①</w:t>
            </w:r>
            <w:r>
              <w:rPr>
                <w:rFonts w:hint="eastAsia" w:ascii="宋体" w:hAnsi="宋体" w:eastAsia="宋体" w:cs="宋体"/>
                <w:sz w:val="21"/>
                <w:szCs w:val="21"/>
              </w:rPr>
              <w:t>合同</w:t>
            </w:r>
            <w:r>
              <w:rPr>
                <w:rFonts w:hint="eastAsia" w:ascii="宋体" w:hAnsi="宋体" w:cs="宋体"/>
                <w:sz w:val="21"/>
                <w:szCs w:val="21"/>
                <w:lang w:eastAsia="zh-CN"/>
              </w:rPr>
              <w:t>医疗器械</w:t>
            </w:r>
            <w:r>
              <w:rPr>
                <w:rFonts w:hint="eastAsia" w:ascii="宋体" w:hAnsi="宋体" w:eastAsia="宋体" w:cs="宋体"/>
                <w:sz w:val="21"/>
                <w:szCs w:val="21"/>
              </w:rPr>
              <w:t>安装调试完成并移交所有资料文档后5个工作日内验收，验收应在采购人、</w:t>
            </w:r>
            <w:r>
              <w:rPr>
                <w:rFonts w:hint="eastAsia" w:ascii="宋体" w:hAnsi="宋体" w:cs="宋体"/>
                <w:sz w:val="21"/>
                <w:szCs w:val="21"/>
                <w:lang w:eastAsia="zh-CN"/>
              </w:rPr>
              <w:t>成交供应商</w:t>
            </w:r>
            <w:r>
              <w:rPr>
                <w:rFonts w:hint="eastAsia" w:ascii="宋体" w:hAnsi="宋体" w:eastAsia="宋体" w:cs="宋体"/>
                <w:sz w:val="21"/>
                <w:szCs w:val="21"/>
              </w:rPr>
              <w:t>双方共同参加下进行，验收标准按照国家有关标准；</w:t>
            </w:r>
          </w:p>
          <w:p w14:paraId="68B25350">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②</w:t>
            </w:r>
            <w:r>
              <w:rPr>
                <w:rFonts w:hint="eastAsia" w:ascii="宋体" w:hAnsi="宋体" w:eastAsia="宋体" w:cs="宋体"/>
                <w:sz w:val="21"/>
                <w:szCs w:val="21"/>
              </w:rPr>
              <w:t>验收按国家有关的规定、规范进行。验收时如发现所交付的</w:t>
            </w:r>
            <w:r>
              <w:rPr>
                <w:rFonts w:hint="eastAsia" w:ascii="宋体" w:hAnsi="宋体" w:cs="宋体"/>
                <w:sz w:val="21"/>
                <w:szCs w:val="21"/>
                <w:lang w:eastAsia="zh-CN"/>
              </w:rPr>
              <w:t>医疗器械</w:t>
            </w:r>
            <w:r>
              <w:rPr>
                <w:rFonts w:hint="eastAsia" w:ascii="宋体" w:hAnsi="宋体" w:eastAsia="宋体" w:cs="宋体"/>
                <w:sz w:val="21"/>
                <w:szCs w:val="21"/>
              </w:rPr>
              <w:t>有短装、次品、损坏或其它不符合合同规定之情形者，采购人应做出详尽的现场记录，或由采购人、</w:t>
            </w:r>
            <w:r>
              <w:rPr>
                <w:rFonts w:hint="eastAsia" w:ascii="宋体" w:hAnsi="宋体" w:cs="宋体"/>
                <w:sz w:val="21"/>
                <w:szCs w:val="21"/>
                <w:lang w:eastAsia="zh-CN"/>
              </w:rPr>
              <w:t>成交供应商</w:t>
            </w:r>
            <w:r>
              <w:rPr>
                <w:rFonts w:hint="eastAsia" w:ascii="宋体" w:hAnsi="宋体" w:eastAsia="宋体" w:cs="宋体"/>
                <w:sz w:val="21"/>
                <w:szCs w:val="21"/>
              </w:rPr>
              <w:t>双方签署备忘录。现场记录或备忘录可用作补充、缺失和更换损坏部件的有效证据。若发生上述情形，采购人有权要求退货或换货，由此产生的有关费用由</w:t>
            </w:r>
            <w:r>
              <w:rPr>
                <w:rFonts w:hint="eastAsia" w:ascii="宋体" w:hAnsi="宋体" w:cs="宋体"/>
                <w:sz w:val="21"/>
                <w:szCs w:val="21"/>
                <w:lang w:eastAsia="zh-CN"/>
              </w:rPr>
              <w:t>成交供应商</w:t>
            </w:r>
            <w:r>
              <w:rPr>
                <w:rFonts w:hint="eastAsia" w:ascii="宋体" w:hAnsi="宋体" w:eastAsia="宋体" w:cs="宋体"/>
                <w:sz w:val="21"/>
                <w:szCs w:val="21"/>
              </w:rPr>
              <w:t>承担，验收期限相应后延；</w:t>
            </w:r>
          </w:p>
          <w:p w14:paraId="2E8A688F">
            <w:pPr>
              <w:tabs>
                <w:tab w:val="decimal" w:pos="315"/>
                <w:tab w:val="left" w:pos="630"/>
              </w:tabs>
              <w:spacing w:line="360" w:lineRule="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 xml:space="preserve"> </w:t>
            </w:r>
            <w:r>
              <w:rPr>
                <w:rFonts w:hint="eastAsia" w:ascii="宋体" w:hAnsi="宋体" w:cs="宋体"/>
                <w:sz w:val="21"/>
                <w:szCs w:val="21"/>
                <w:lang w:val="en-US" w:eastAsia="zh-CN"/>
              </w:rPr>
              <w:t xml:space="preserve"> ③</w:t>
            </w:r>
            <w:r>
              <w:rPr>
                <w:rFonts w:hint="eastAsia" w:ascii="宋体" w:hAnsi="宋体" w:eastAsia="宋体" w:cs="宋体"/>
                <w:sz w:val="21"/>
                <w:szCs w:val="21"/>
              </w:rPr>
              <w:t>如果</w:t>
            </w:r>
            <w:r>
              <w:rPr>
                <w:rFonts w:hint="eastAsia" w:ascii="宋体" w:hAnsi="宋体" w:cs="宋体"/>
                <w:sz w:val="21"/>
                <w:szCs w:val="21"/>
                <w:lang w:eastAsia="zh-CN"/>
              </w:rPr>
              <w:t>医疗器械</w:t>
            </w:r>
            <w:r>
              <w:rPr>
                <w:rFonts w:hint="eastAsia" w:ascii="宋体" w:hAnsi="宋体" w:eastAsia="宋体" w:cs="宋体"/>
                <w:sz w:val="21"/>
                <w:szCs w:val="21"/>
              </w:rPr>
              <w:t>运输和安装调试过程中因事故造成货物短缺、损坏，</w:t>
            </w:r>
            <w:r>
              <w:rPr>
                <w:rFonts w:hint="eastAsia" w:ascii="宋体" w:hAnsi="宋体" w:cs="宋体"/>
                <w:sz w:val="21"/>
                <w:szCs w:val="21"/>
                <w:lang w:eastAsia="zh-CN"/>
              </w:rPr>
              <w:t>成交供应商</w:t>
            </w:r>
            <w:r>
              <w:rPr>
                <w:rFonts w:hint="eastAsia" w:ascii="宋体" w:hAnsi="宋体" w:eastAsia="宋体" w:cs="宋体"/>
                <w:sz w:val="21"/>
                <w:szCs w:val="21"/>
              </w:rPr>
              <w:t>应及时安排换装，以保证</w:t>
            </w:r>
            <w:r>
              <w:rPr>
                <w:rFonts w:hint="eastAsia" w:ascii="宋体" w:hAnsi="宋体" w:cs="宋体"/>
                <w:sz w:val="21"/>
                <w:szCs w:val="21"/>
                <w:lang w:eastAsia="zh-CN"/>
              </w:rPr>
              <w:t>医疗器械</w:t>
            </w:r>
            <w:r>
              <w:rPr>
                <w:rFonts w:hint="eastAsia" w:ascii="宋体" w:hAnsi="宋体" w:eastAsia="宋体" w:cs="宋体"/>
                <w:sz w:val="21"/>
                <w:szCs w:val="21"/>
              </w:rPr>
              <w:t>安装调试的成功完成。换货的相关费用由</w:t>
            </w:r>
            <w:r>
              <w:rPr>
                <w:rFonts w:hint="eastAsia" w:ascii="宋体" w:hAnsi="宋体" w:cs="宋体"/>
                <w:sz w:val="21"/>
                <w:szCs w:val="21"/>
                <w:lang w:eastAsia="zh-CN"/>
              </w:rPr>
              <w:t>成交供应商</w:t>
            </w:r>
            <w:r>
              <w:rPr>
                <w:rFonts w:hint="eastAsia" w:ascii="宋体" w:hAnsi="宋体" w:eastAsia="宋体" w:cs="宋体"/>
                <w:sz w:val="21"/>
                <w:szCs w:val="21"/>
              </w:rPr>
              <w:t>承担</w:t>
            </w:r>
            <w:r>
              <w:rPr>
                <w:rFonts w:hint="eastAsia" w:ascii="宋体" w:hAnsi="宋体" w:eastAsia="宋体" w:cs="宋体"/>
                <w:sz w:val="21"/>
                <w:szCs w:val="21"/>
                <w:lang w:eastAsia="zh-CN"/>
              </w:rPr>
              <w:t>；</w:t>
            </w:r>
          </w:p>
          <w:p w14:paraId="6C578233">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④</w:t>
            </w:r>
            <w:r>
              <w:rPr>
                <w:rFonts w:hint="eastAsia" w:ascii="宋体" w:hAnsi="宋体" w:eastAsia="宋体" w:cs="宋体"/>
                <w:sz w:val="21"/>
                <w:szCs w:val="21"/>
              </w:rPr>
              <w:t>国内产品或合资厂的产品必须具备出厂合格证；</w:t>
            </w:r>
          </w:p>
          <w:p w14:paraId="4F24576B">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val="en-US" w:eastAsia="zh-CN"/>
              </w:rPr>
              <w:t>（</w:t>
            </w:r>
            <w:r>
              <w:rPr>
                <w:rFonts w:hint="eastAsia" w:ascii="宋体" w:hAnsi="宋体" w:eastAsia="宋体" w:cs="宋体"/>
                <w:sz w:val="21"/>
                <w:szCs w:val="21"/>
                <w:lang w:val="en-US" w:eastAsia="zh-CN"/>
              </w:rPr>
              <w:t>4</w:t>
            </w:r>
            <w:r>
              <w:rPr>
                <w:rFonts w:hint="eastAsia" w:ascii="宋体" w:hAnsi="宋体" w:cs="宋体"/>
                <w:sz w:val="21"/>
                <w:szCs w:val="21"/>
                <w:lang w:val="en-US" w:eastAsia="zh-CN"/>
              </w:rPr>
              <w:t>）</w:t>
            </w:r>
            <w:r>
              <w:rPr>
                <w:rFonts w:hint="eastAsia" w:ascii="宋体" w:hAnsi="宋体" w:cs="宋体"/>
                <w:sz w:val="21"/>
                <w:szCs w:val="21"/>
                <w:lang w:eastAsia="zh-CN"/>
              </w:rPr>
              <w:t>成交供应商</w:t>
            </w:r>
            <w:r>
              <w:rPr>
                <w:rFonts w:hint="eastAsia" w:ascii="宋体" w:hAnsi="宋体" w:eastAsia="宋体" w:cs="宋体"/>
                <w:sz w:val="21"/>
                <w:szCs w:val="21"/>
              </w:rPr>
              <w:t>保证所提供的</w:t>
            </w:r>
            <w:r>
              <w:rPr>
                <w:rFonts w:hint="eastAsia" w:ascii="宋体" w:hAnsi="宋体" w:cs="宋体"/>
                <w:sz w:val="21"/>
                <w:szCs w:val="21"/>
                <w:lang w:eastAsia="zh-CN"/>
              </w:rPr>
              <w:t>医疗器械</w:t>
            </w:r>
            <w:r>
              <w:rPr>
                <w:rFonts w:hint="eastAsia" w:ascii="宋体" w:hAnsi="宋体" w:eastAsia="宋体" w:cs="宋体"/>
                <w:sz w:val="21"/>
                <w:szCs w:val="21"/>
              </w:rPr>
              <w:t>不侵犯任何第三方的专利、商标或版权。否则，</w:t>
            </w:r>
            <w:r>
              <w:rPr>
                <w:rFonts w:hint="eastAsia" w:ascii="宋体" w:hAnsi="宋体" w:cs="宋体"/>
                <w:sz w:val="21"/>
                <w:szCs w:val="21"/>
                <w:lang w:eastAsia="zh-CN"/>
              </w:rPr>
              <w:t>成交供应商</w:t>
            </w:r>
            <w:r>
              <w:rPr>
                <w:rFonts w:hint="eastAsia" w:ascii="宋体" w:hAnsi="宋体" w:eastAsia="宋体" w:cs="宋体"/>
                <w:sz w:val="21"/>
                <w:szCs w:val="21"/>
              </w:rPr>
              <w:t>须承担对第三方的专利或版权的侵权责任并承担因此而发生的所有费用。</w:t>
            </w:r>
          </w:p>
        </w:tc>
      </w:tr>
      <w:tr w14:paraId="2E8AD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4" w:type="dxa"/>
            <w:vAlign w:val="top"/>
          </w:tcPr>
          <w:p w14:paraId="33EADCD6">
            <w:pPr>
              <w:tabs>
                <w:tab w:val="decimal" w:pos="315"/>
                <w:tab w:val="left" w:pos="630"/>
              </w:tabs>
              <w:spacing w:line="360" w:lineRule="auto"/>
              <w:rPr>
                <w:rFonts w:hint="eastAsia" w:ascii="宋体" w:hAnsi="宋体" w:eastAsia="宋体" w:cs="宋体"/>
                <w:b/>
                <w:bCs/>
                <w:sz w:val="21"/>
                <w:szCs w:val="21"/>
              </w:rPr>
            </w:pPr>
            <w:r>
              <w:rPr>
                <w:rFonts w:hint="eastAsia" w:ascii="宋体" w:hAnsi="宋体" w:eastAsia="宋体" w:cs="宋体"/>
                <w:b/>
                <w:bCs/>
                <w:sz w:val="21"/>
                <w:szCs w:val="21"/>
              </w:rPr>
              <w:t>质量保证及售后服务（1）</w:t>
            </w:r>
          </w:p>
        </w:tc>
        <w:tc>
          <w:tcPr>
            <w:tcW w:w="6736" w:type="dxa"/>
            <w:vAlign w:val="top"/>
          </w:tcPr>
          <w:p w14:paraId="01CF465B">
            <w:pPr>
              <w:tabs>
                <w:tab w:val="decimal" w:pos="315"/>
                <w:tab w:val="left" w:pos="630"/>
              </w:tabs>
              <w:spacing w:line="360" w:lineRule="auto"/>
              <w:rPr>
                <w:rFonts w:hint="default" w:ascii="宋体" w:hAnsi="宋体" w:eastAsia="宋体" w:cs="宋体"/>
                <w:b/>
                <w:bCs/>
                <w:sz w:val="21"/>
                <w:szCs w:val="21"/>
                <w:lang w:val="en-US" w:eastAsia="zh-CN"/>
              </w:rPr>
            </w:pPr>
            <w:r>
              <w:rPr>
                <w:rFonts w:hint="eastAsia" w:ascii="宋体" w:hAnsi="宋体"/>
                <w:b/>
                <w:bCs w:val="0"/>
                <w:szCs w:val="21"/>
                <w:highlight w:val="none"/>
              </w:rPr>
              <w:t>★</w:t>
            </w:r>
            <w:r>
              <w:rPr>
                <w:rFonts w:hint="eastAsia" w:ascii="宋体" w:hAnsi="宋体" w:cs="宋体"/>
                <w:b/>
                <w:bCs/>
                <w:sz w:val="21"/>
                <w:szCs w:val="21"/>
                <w:lang w:eastAsia="zh-CN"/>
              </w:rPr>
              <w:t>供应商</w:t>
            </w:r>
            <w:r>
              <w:rPr>
                <w:rFonts w:hint="eastAsia" w:ascii="宋体" w:hAnsi="宋体" w:eastAsia="宋体" w:cs="宋体"/>
                <w:b/>
                <w:bCs/>
                <w:sz w:val="21"/>
                <w:szCs w:val="21"/>
              </w:rPr>
              <w:t>需保证</w:t>
            </w:r>
            <w:r>
              <w:rPr>
                <w:rFonts w:hint="eastAsia" w:ascii="宋体" w:hAnsi="宋体" w:cs="宋体"/>
                <w:b/>
                <w:bCs/>
                <w:sz w:val="21"/>
                <w:szCs w:val="21"/>
                <w:lang w:eastAsia="zh-CN"/>
              </w:rPr>
              <w:t>医疗器械</w:t>
            </w:r>
            <w:r>
              <w:rPr>
                <w:rFonts w:hint="eastAsia" w:ascii="宋体" w:hAnsi="宋体" w:eastAsia="宋体" w:cs="宋体"/>
                <w:b/>
                <w:bCs/>
                <w:sz w:val="21"/>
                <w:szCs w:val="21"/>
              </w:rPr>
              <w:t>是全新、未曾使用过的，</w:t>
            </w:r>
            <w:r>
              <w:rPr>
                <w:rFonts w:hint="eastAsia" w:ascii="宋体" w:hAnsi="宋体" w:cs="宋体"/>
                <w:b/>
                <w:bCs/>
                <w:sz w:val="21"/>
                <w:szCs w:val="21"/>
                <w:lang w:eastAsia="zh-CN"/>
              </w:rPr>
              <w:t>医疗器械</w:t>
            </w:r>
            <w:r>
              <w:rPr>
                <w:rFonts w:hint="eastAsia" w:ascii="宋体" w:hAnsi="宋体" w:eastAsia="宋体" w:cs="宋体"/>
                <w:b/>
                <w:bCs/>
                <w:sz w:val="21"/>
                <w:szCs w:val="21"/>
              </w:rPr>
              <w:t>的质量、规格及技术特征符合国家相关标准、行业标准，且与</w:t>
            </w:r>
            <w:r>
              <w:rPr>
                <w:rFonts w:hint="eastAsia" w:ascii="宋体" w:hAnsi="宋体" w:eastAsia="宋体" w:cs="宋体"/>
                <w:b/>
                <w:bCs/>
                <w:sz w:val="21"/>
                <w:szCs w:val="21"/>
                <w:lang w:eastAsia="zh-CN"/>
              </w:rPr>
              <w:t>响应文件</w:t>
            </w:r>
            <w:r>
              <w:rPr>
                <w:rFonts w:hint="eastAsia" w:ascii="宋体" w:hAnsi="宋体" w:eastAsia="宋体" w:cs="宋体"/>
                <w:b/>
                <w:bCs/>
                <w:sz w:val="21"/>
                <w:szCs w:val="21"/>
              </w:rPr>
              <w:t>所提供的参数内容一致。</w:t>
            </w:r>
            <w:r>
              <w:rPr>
                <w:rFonts w:hint="eastAsia" w:ascii="宋体" w:hAnsi="宋体" w:eastAsia="宋体" w:cs="宋体"/>
                <w:b/>
                <w:bCs/>
                <w:sz w:val="21"/>
                <w:szCs w:val="21"/>
                <w:lang w:eastAsia="zh-CN"/>
              </w:rPr>
              <w:t>（提供承诺函并加盖供应商公章，格式见附件4）</w:t>
            </w:r>
          </w:p>
        </w:tc>
      </w:tr>
      <w:tr w14:paraId="52E17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4" w:type="dxa"/>
            <w:vAlign w:val="top"/>
          </w:tcPr>
          <w:p w14:paraId="0ABC68F8">
            <w:pPr>
              <w:tabs>
                <w:tab w:val="decimal" w:pos="315"/>
                <w:tab w:val="left" w:pos="630"/>
              </w:tabs>
              <w:spacing w:line="360" w:lineRule="auto"/>
              <w:rPr>
                <w:rFonts w:hint="eastAsia" w:ascii="宋体" w:hAnsi="宋体" w:eastAsia="宋体" w:cs="宋体"/>
                <w:b/>
                <w:bCs/>
                <w:sz w:val="21"/>
                <w:szCs w:val="21"/>
              </w:rPr>
            </w:pPr>
            <w:r>
              <w:rPr>
                <w:rFonts w:hint="eastAsia" w:ascii="宋体" w:hAnsi="宋体" w:eastAsia="宋体" w:cs="宋体"/>
                <w:b/>
                <w:bCs/>
                <w:sz w:val="21"/>
                <w:szCs w:val="21"/>
              </w:rPr>
              <w:t>质量保证及售后服务（2）</w:t>
            </w:r>
          </w:p>
        </w:tc>
        <w:tc>
          <w:tcPr>
            <w:tcW w:w="6736" w:type="dxa"/>
            <w:vAlign w:val="top"/>
          </w:tcPr>
          <w:p w14:paraId="2966D2AA">
            <w:pPr>
              <w:tabs>
                <w:tab w:val="decimal" w:pos="315"/>
                <w:tab w:val="left" w:pos="630"/>
              </w:tabs>
              <w:spacing w:line="360" w:lineRule="auto"/>
              <w:rPr>
                <w:rFonts w:hint="eastAsia" w:ascii="宋体" w:hAnsi="宋体" w:eastAsia="宋体" w:cs="宋体"/>
                <w:sz w:val="21"/>
                <w:szCs w:val="21"/>
                <w:lang w:val="en-US" w:eastAsia="zh-CN"/>
              </w:rPr>
            </w:pPr>
            <w:bookmarkStart w:id="15" w:name="OLE_LINK1"/>
            <w:r>
              <w:rPr>
                <w:rFonts w:hint="eastAsia" w:ascii="宋体" w:hAnsi="宋体" w:cs="宋体"/>
                <w:color w:val="auto"/>
                <w:sz w:val="21"/>
                <w:szCs w:val="21"/>
                <w:highlight w:val="none"/>
                <w:lang w:eastAsia="zh-CN"/>
              </w:rPr>
              <w:t>医疗器械整机</w:t>
            </w:r>
            <w:r>
              <w:rPr>
                <w:rFonts w:hint="eastAsia" w:ascii="宋体" w:hAnsi="宋体" w:eastAsia="宋体" w:cs="宋体"/>
                <w:color w:val="auto"/>
                <w:sz w:val="21"/>
                <w:szCs w:val="21"/>
              </w:rPr>
              <w:t>保修期</w:t>
            </w:r>
            <w:bookmarkEnd w:id="15"/>
            <w:r>
              <w:rPr>
                <w:rFonts w:hint="eastAsia" w:ascii="宋体" w:hAnsi="宋体" w:cs="宋体"/>
                <w:color w:val="auto"/>
                <w:sz w:val="21"/>
                <w:szCs w:val="21"/>
                <w:lang w:eastAsia="zh-CN"/>
              </w:rPr>
              <w:t>不少于</w:t>
            </w:r>
            <w:r>
              <w:rPr>
                <w:rFonts w:hint="eastAsia" w:ascii="宋体" w:hAnsi="宋体" w:cs="宋体"/>
                <w:color w:val="auto"/>
                <w:sz w:val="21"/>
                <w:szCs w:val="21"/>
                <w:lang w:val="en-US" w:eastAsia="zh-CN"/>
              </w:rPr>
              <w:t>2年</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采购人</w:t>
            </w:r>
            <w:r>
              <w:rPr>
                <w:rFonts w:hint="eastAsia" w:ascii="宋体" w:hAnsi="宋体" w:eastAsia="宋体" w:cs="宋体"/>
                <w:color w:val="auto"/>
                <w:sz w:val="21"/>
                <w:szCs w:val="21"/>
              </w:rPr>
              <w:t>验收合格之日起计算）。保质保用期内非采购人的人为原因而出现产品质量及问题，由</w:t>
            </w:r>
            <w:r>
              <w:rPr>
                <w:rFonts w:hint="eastAsia" w:ascii="宋体" w:hAnsi="宋体" w:eastAsia="宋体" w:cs="宋体"/>
                <w:color w:val="auto"/>
                <w:sz w:val="21"/>
                <w:szCs w:val="21"/>
                <w:lang w:eastAsia="zh-CN"/>
              </w:rPr>
              <w:t>成交供应商</w:t>
            </w:r>
            <w:r>
              <w:rPr>
                <w:rFonts w:hint="eastAsia" w:ascii="宋体" w:hAnsi="宋体" w:eastAsia="宋体" w:cs="宋体"/>
                <w:color w:val="auto"/>
                <w:sz w:val="21"/>
                <w:szCs w:val="21"/>
              </w:rPr>
              <w:t>负责包修、包换或包退，并承担因此而产生的一切费用。</w:t>
            </w:r>
          </w:p>
        </w:tc>
      </w:tr>
      <w:tr w14:paraId="4992A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4" w:type="dxa"/>
            <w:vAlign w:val="top"/>
          </w:tcPr>
          <w:p w14:paraId="76843EF4">
            <w:pPr>
              <w:tabs>
                <w:tab w:val="decimal" w:pos="315"/>
                <w:tab w:val="left" w:pos="630"/>
              </w:tabs>
              <w:spacing w:line="360" w:lineRule="auto"/>
              <w:jc w:val="left"/>
              <w:rPr>
                <w:rFonts w:hint="eastAsia" w:ascii="宋体" w:hAnsi="宋体" w:eastAsia="宋体" w:cs="宋体"/>
                <w:b/>
                <w:bCs/>
                <w:color w:val="000000"/>
                <w:sz w:val="21"/>
                <w:szCs w:val="21"/>
              </w:rPr>
            </w:pPr>
            <w:r>
              <w:rPr>
                <w:rFonts w:hint="eastAsia" w:ascii="宋体" w:hAnsi="宋体" w:eastAsia="宋体" w:cs="宋体"/>
                <w:b/>
                <w:bCs/>
                <w:sz w:val="21"/>
                <w:szCs w:val="21"/>
              </w:rPr>
              <w:t>质量保证及售后服务（3）</w:t>
            </w:r>
          </w:p>
        </w:tc>
        <w:tc>
          <w:tcPr>
            <w:tcW w:w="6736" w:type="dxa"/>
            <w:vAlign w:val="top"/>
          </w:tcPr>
          <w:p w14:paraId="2D997CFA">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w:t>
            </w:r>
            <w:r>
              <w:rPr>
                <w:rFonts w:hint="eastAsia" w:ascii="宋体" w:hAnsi="宋体" w:eastAsia="宋体" w:cs="宋体"/>
                <w:sz w:val="21"/>
                <w:szCs w:val="21"/>
              </w:rPr>
              <w:t>保修期内厂家每年免费回访</w:t>
            </w:r>
            <w:r>
              <w:rPr>
                <w:rFonts w:hint="eastAsia" w:ascii="宋体" w:hAnsi="宋体" w:cs="宋体"/>
                <w:sz w:val="21"/>
                <w:szCs w:val="21"/>
                <w:lang w:eastAsia="zh-CN"/>
              </w:rPr>
              <w:t>医疗器械</w:t>
            </w:r>
            <w:r>
              <w:rPr>
                <w:rFonts w:hint="eastAsia" w:ascii="宋体" w:hAnsi="宋体" w:eastAsia="宋体" w:cs="宋体"/>
                <w:sz w:val="21"/>
                <w:szCs w:val="21"/>
              </w:rPr>
              <w:t>至少</w:t>
            </w:r>
            <w:r>
              <w:rPr>
                <w:rFonts w:hint="eastAsia" w:ascii="宋体" w:hAnsi="宋体" w:eastAsia="宋体" w:cs="宋体"/>
                <w:sz w:val="21"/>
                <w:szCs w:val="21"/>
                <w:lang w:eastAsia="zh-CN"/>
              </w:rPr>
              <w:t>四</w:t>
            </w:r>
            <w:r>
              <w:rPr>
                <w:rFonts w:hint="eastAsia" w:ascii="宋体" w:hAnsi="宋体" w:eastAsia="宋体" w:cs="宋体"/>
                <w:sz w:val="21"/>
                <w:szCs w:val="21"/>
              </w:rPr>
              <w:t>次。</w:t>
            </w:r>
          </w:p>
          <w:p w14:paraId="1530E78F">
            <w:pPr>
              <w:tabs>
                <w:tab w:val="decimal" w:pos="315"/>
                <w:tab w:val="left" w:pos="630"/>
              </w:tabs>
              <w:spacing w:line="360" w:lineRule="auto"/>
              <w:rPr>
                <w:rFonts w:hint="eastAsia" w:ascii="宋体" w:hAnsi="宋体" w:eastAsia="宋体" w:cs="宋体"/>
                <w:strike/>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）成交供应商</w:t>
            </w:r>
            <w:r>
              <w:rPr>
                <w:rFonts w:hint="eastAsia" w:ascii="宋体" w:hAnsi="宋体" w:eastAsia="宋体" w:cs="宋体"/>
                <w:sz w:val="21"/>
                <w:szCs w:val="21"/>
              </w:rPr>
              <w:t>接到报修电话后，厂家工程师</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小时内响应，</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24</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小时到达现场，</w:t>
            </w:r>
            <w:r>
              <w:rPr>
                <w:rFonts w:hint="eastAsia" w:ascii="宋体" w:hAnsi="宋体" w:eastAsia="宋体" w:cs="宋体"/>
                <w:sz w:val="21"/>
                <w:szCs w:val="21"/>
                <w:u w:val="single"/>
              </w:rPr>
              <w:t>72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小时内解决问题。如不能在规定时间内维修好，</w:t>
            </w:r>
            <w:r>
              <w:rPr>
                <w:rFonts w:hint="eastAsia" w:ascii="宋体" w:hAnsi="宋体" w:cs="宋体"/>
                <w:sz w:val="21"/>
                <w:szCs w:val="21"/>
                <w:lang w:eastAsia="zh-CN"/>
              </w:rPr>
              <w:t>成交供应商</w:t>
            </w:r>
            <w:r>
              <w:rPr>
                <w:rFonts w:hint="eastAsia" w:ascii="宋体" w:hAnsi="宋体" w:eastAsia="宋体" w:cs="宋体"/>
                <w:sz w:val="21"/>
                <w:szCs w:val="21"/>
              </w:rPr>
              <w:t>须在</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72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小时内无偿提供配置参数相同的原</w:t>
            </w:r>
            <w:r>
              <w:rPr>
                <w:rFonts w:hint="eastAsia" w:ascii="宋体" w:hAnsi="宋体" w:cs="宋体"/>
                <w:sz w:val="21"/>
                <w:szCs w:val="21"/>
                <w:lang w:eastAsia="zh-CN"/>
              </w:rPr>
              <w:t>医疗器械</w:t>
            </w:r>
            <w:r>
              <w:rPr>
                <w:rFonts w:hint="eastAsia" w:ascii="宋体" w:hAnsi="宋体" w:eastAsia="宋体" w:cs="宋体"/>
                <w:sz w:val="21"/>
                <w:szCs w:val="21"/>
              </w:rPr>
              <w:t>代用</w:t>
            </w:r>
            <w:r>
              <w:rPr>
                <w:rFonts w:hint="eastAsia" w:ascii="宋体" w:hAnsi="宋体" w:cs="宋体"/>
                <w:sz w:val="21"/>
                <w:szCs w:val="21"/>
                <w:lang w:eastAsia="zh-CN"/>
              </w:rPr>
              <w:t>医疗器械</w:t>
            </w:r>
            <w:r>
              <w:rPr>
                <w:rFonts w:hint="eastAsia" w:ascii="宋体" w:hAnsi="宋体" w:eastAsia="宋体" w:cs="宋体"/>
                <w:sz w:val="21"/>
                <w:szCs w:val="21"/>
              </w:rPr>
              <w:t>给采购人使用直至故障修复。</w:t>
            </w:r>
          </w:p>
          <w:p w14:paraId="0ABCDB16">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w:t>
            </w:r>
            <w:r>
              <w:rPr>
                <w:rFonts w:hint="eastAsia" w:ascii="宋体" w:hAnsi="宋体" w:eastAsia="宋体" w:cs="宋体"/>
                <w:sz w:val="21"/>
                <w:szCs w:val="21"/>
              </w:rPr>
              <w:t>货物交付使用后以书面形式承诺维修服务，实行终身维护。</w:t>
            </w:r>
          </w:p>
          <w:p w14:paraId="15D936E8">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4</w:t>
            </w:r>
            <w:r>
              <w:rPr>
                <w:rFonts w:hint="eastAsia" w:ascii="宋体" w:hAnsi="宋体" w:cs="宋体"/>
                <w:sz w:val="21"/>
                <w:szCs w:val="21"/>
                <w:lang w:eastAsia="zh-CN"/>
              </w:rPr>
              <w:t>）</w:t>
            </w:r>
            <w:r>
              <w:rPr>
                <w:rFonts w:hint="eastAsia" w:ascii="宋体" w:hAnsi="宋体" w:eastAsia="宋体" w:cs="宋体"/>
                <w:sz w:val="21"/>
                <w:szCs w:val="21"/>
              </w:rPr>
              <w:t>所有保修服务方式均为</w:t>
            </w:r>
            <w:r>
              <w:rPr>
                <w:rFonts w:hint="eastAsia" w:ascii="宋体" w:hAnsi="宋体" w:cs="宋体"/>
                <w:sz w:val="21"/>
                <w:szCs w:val="21"/>
                <w:lang w:eastAsia="zh-CN"/>
              </w:rPr>
              <w:t>成交供应商</w:t>
            </w:r>
            <w:r>
              <w:rPr>
                <w:rFonts w:hint="eastAsia" w:ascii="宋体" w:hAnsi="宋体" w:eastAsia="宋体" w:cs="宋体"/>
                <w:sz w:val="21"/>
                <w:szCs w:val="21"/>
              </w:rPr>
              <w:t>上门保修或免费更换，即由</w:t>
            </w:r>
            <w:r>
              <w:rPr>
                <w:rFonts w:hint="eastAsia" w:ascii="宋体" w:hAnsi="宋体" w:cs="宋体"/>
                <w:sz w:val="21"/>
                <w:szCs w:val="21"/>
                <w:lang w:eastAsia="zh-CN"/>
              </w:rPr>
              <w:t>成交供应商</w:t>
            </w:r>
            <w:r>
              <w:rPr>
                <w:rFonts w:hint="eastAsia" w:ascii="宋体" w:hAnsi="宋体" w:eastAsia="宋体" w:cs="宋体"/>
                <w:sz w:val="21"/>
                <w:szCs w:val="21"/>
              </w:rPr>
              <w:t>派员到采购人</w:t>
            </w:r>
            <w:r>
              <w:rPr>
                <w:rFonts w:hint="eastAsia" w:ascii="宋体" w:hAnsi="宋体" w:cs="宋体"/>
                <w:sz w:val="21"/>
                <w:szCs w:val="21"/>
                <w:lang w:eastAsia="zh-CN"/>
              </w:rPr>
              <w:t>医疗器械</w:t>
            </w:r>
            <w:r>
              <w:rPr>
                <w:rFonts w:hint="eastAsia" w:ascii="宋体" w:hAnsi="宋体" w:eastAsia="宋体" w:cs="宋体"/>
                <w:sz w:val="21"/>
                <w:szCs w:val="21"/>
              </w:rPr>
              <w:t>使用现场维修更换，由此产生的一切费用均由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25EA3065">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5</w:t>
            </w:r>
            <w:r>
              <w:rPr>
                <w:rFonts w:hint="eastAsia" w:ascii="宋体" w:hAnsi="宋体" w:cs="宋体"/>
                <w:sz w:val="21"/>
                <w:szCs w:val="21"/>
                <w:lang w:eastAsia="zh-CN"/>
              </w:rPr>
              <w:t>）</w:t>
            </w:r>
            <w:r>
              <w:rPr>
                <w:rFonts w:hint="eastAsia" w:ascii="宋体" w:hAnsi="宋体" w:eastAsia="宋体" w:cs="宋体"/>
                <w:sz w:val="21"/>
                <w:szCs w:val="21"/>
              </w:rPr>
              <w:t>因</w:t>
            </w:r>
            <w:r>
              <w:rPr>
                <w:rFonts w:hint="eastAsia" w:ascii="宋体" w:hAnsi="宋体" w:cs="宋体"/>
                <w:sz w:val="21"/>
                <w:szCs w:val="21"/>
                <w:lang w:eastAsia="zh-CN"/>
              </w:rPr>
              <w:t>医疗器械</w:t>
            </w:r>
            <w:r>
              <w:rPr>
                <w:rFonts w:hint="eastAsia" w:ascii="宋体" w:hAnsi="宋体" w:eastAsia="宋体" w:cs="宋体"/>
                <w:sz w:val="21"/>
                <w:szCs w:val="21"/>
              </w:rPr>
              <w:t>的质量问题而发生争议，由广东省或中山市质检部门进行质量鉴定。</w:t>
            </w:r>
            <w:r>
              <w:rPr>
                <w:rFonts w:hint="eastAsia" w:ascii="宋体" w:hAnsi="宋体" w:cs="宋体"/>
                <w:sz w:val="21"/>
                <w:szCs w:val="21"/>
                <w:lang w:eastAsia="zh-CN"/>
              </w:rPr>
              <w:t>医疗器械</w:t>
            </w:r>
            <w:r>
              <w:rPr>
                <w:rFonts w:hint="eastAsia" w:ascii="宋体" w:hAnsi="宋体" w:eastAsia="宋体" w:cs="宋体"/>
                <w:sz w:val="21"/>
                <w:szCs w:val="21"/>
              </w:rPr>
              <w:t>符合质量标准的，鉴定费用由采购人承担；</w:t>
            </w:r>
            <w:r>
              <w:rPr>
                <w:rFonts w:hint="eastAsia" w:ascii="宋体" w:hAnsi="宋体" w:cs="宋体"/>
                <w:sz w:val="21"/>
                <w:szCs w:val="21"/>
                <w:lang w:eastAsia="zh-CN"/>
              </w:rPr>
              <w:t>医疗器械</w:t>
            </w:r>
            <w:r>
              <w:rPr>
                <w:rFonts w:hint="eastAsia" w:ascii="宋体" w:hAnsi="宋体" w:eastAsia="宋体" w:cs="宋体"/>
                <w:sz w:val="21"/>
                <w:szCs w:val="21"/>
              </w:rPr>
              <w:t>不符合质量标准的，鉴定费用由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68B4ECFE">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eastAsia="zh-CN"/>
              </w:rPr>
              <w:t>（</w:t>
            </w:r>
            <w:r>
              <w:rPr>
                <w:rFonts w:hint="eastAsia" w:ascii="宋体" w:hAnsi="宋体" w:eastAsia="宋体" w:cs="宋体"/>
                <w:sz w:val="21"/>
                <w:szCs w:val="21"/>
              </w:rPr>
              <w:t>6</w:t>
            </w:r>
            <w:r>
              <w:rPr>
                <w:rFonts w:hint="eastAsia" w:ascii="宋体" w:hAnsi="宋体" w:cs="宋体"/>
                <w:sz w:val="21"/>
                <w:szCs w:val="21"/>
                <w:lang w:eastAsia="zh-CN"/>
              </w:rPr>
              <w:t>）成交供应商</w:t>
            </w:r>
            <w:r>
              <w:rPr>
                <w:rFonts w:hint="eastAsia" w:ascii="宋体" w:hAnsi="宋体" w:eastAsia="宋体" w:cs="宋体"/>
                <w:sz w:val="21"/>
                <w:szCs w:val="21"/>
              </w:rPr>
              <w:t>为采购人提供操作及维护培训，主要内容为</w:t>
            </w:r>
            <w:r>
              <w:rPr>
                <w:rFonts w:hint="eastAsia" w:ascii="宋体" w:hAnsi="宋体" w:cs="宋体"/>
                <w:sz w:val="21"/>
                <w:szCs w:val="21"/>
                <w:lang w:eastAsia="zh-CN"/>
              </w:rPr>
              <w:t>医疗器械</w:t>
            </w:r>
            <w:r>
              <w:rPr>
                <w:rFonts w:hint="eastAsia" w:ascii="宋体" w:hAnsi="宋体" w:eastAsia="宋体" w:cs="宋体"/>
                <w:sz w:val="21"/>
                <w:szCs w:val="21"/>
              </w:rPr>
              <w:t>的基本结构、性能、主要部件的构造及原理，日常使用操作、保养与管理，常见故障的排除，紧急情况的处理等，</w:t>
            </w:r>
            <w:r>
              <w:rPr>
                <w:rFonts w:hint="eastAsia" w:ascii="宋体" w:hAnsi="宋体" w:eastAsia="宋体" w:cs="宋体"/>
                <w:sz w:val="21"/>
                <w:szCs w:val="21"/>
                <w:lang w:val="en-US" w:eastAsia="zh-CN"/>
              </w:rPr>
              <w:t>至少</w:t>
            </w:r>
            <w:r>
              <w:rPr>
                <w:rFonts w:hint="eastAsia" w:ascii="宋体" w:hAnsi="宋体" w:eastAsia="宋体" w:cs="宋体"/>
                <w:sz w:val="21"/>
                <w:szCs w:val="21"/>
                <w:u w:val="single"/>
                <w:lang w:val="en-US" w:eastAsia="zh-CN"/>
              </w:rPr>
              <w:t xml:space="preserve"> 3 </w:t>
            </w:r>
            <w:r>
              <w:rPr>
                <w:rFonts w:hint="eastAsia" w:ascii="宋体" w:hAnsi="宋体" w:eastAsia="宋体" w:cs="宋体"/>
                <w:sz w:val="21"/>
                <w:szCs w:val="21"/>
                <w:lang w:val="en-US" w:eastAsia="zh-CN"/>
              </w:rPr>
              <w:t>名以上医护人员熟练掌握使用</w:t>
            </w:r>
            <w:r>
              <w:rPr>
                <w:rFonts w:hint="eastAsia" w:ascii="宋体" w:hAnsi="宋体" w:cs="宋体"/>
                <w:sz w:val="21"/>
                <w:szCs w:val="21"/>
                <w:lang w:val="en-US" w:eastAsia="zh-CN"/>
              </w:rPr>
              <w:t>医疗器械</w:t>
            </w:r>
            <w:r>
              <w:rPr>
                <w:rFonts w:hint="eastAsia" w:ascii="宋体" w:hAnsi="宋体" w:eastAsia="宋体" w:cs="宋体"/>
                <w:sz w:val="21"/>
                <w:szCs w:val="21"/>
                <w:lang w:val="en-US" w:eastAsia="zh-CN"/>
              </w:rPr>
              <w:t>为止，</w:t>
            </w:r>
            <w:r>
              <w:rPr>
                <w:rFonts w:hint="eastAsia" w:ascii="宋体" w:hAnsi="宋体" w:eastAsia="宋体" w:cs="宋体"/>
                <w:sz w:val="21"/>
                <w:szCs w:val="21"/>
              </w:rPr>
              <w:t>培训地点主要在</w:t>
            </w:r>
            <w:r>
              <w:rPr>
                <w:rFonts w:hint="eastAsia" w:ascii="宋体" w:hAnsi="宋体" w:cs="宋体"/>
                <w:sz w:val="21"/>
                <w:szCs w:val="21"/>
                <w:lang w:eastAsia="zh-CN"/>
              </w:rPr>
              <w:t>医疗器械</w:t>
            </w:r>
            <w:r>
              <w:rPr>
                <w:rFonts w:hint="eastAsia" w:ascii="宋体" w:hAnsi="宋体" w:eastAsia="宋体" w:cs="宋体"/>
                <w:sz w:val="21"/>
                <w:szCs w:val="21"/>
              </w:rPr>
              <w:t>安装现场或按双方协商安排。</w:t>
            </w:r>
          </w:p>
        </w:tc>
      </w:tr>
      <w:tr w14:paraId="547B2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4" w:type="dxa"/>
            <w:vAlign w:val="top"/>
          </w:tcPr>
          <w:p w14:paraId="668BD448">
            <w:pPr>
              <w:tabs>
                <w:tab w:val="decimal" w:pos="315"/>
                <w:tab w:val="left" w:pos="630"/>
              </w:tabs>
              <w:spacing w:line="360" w:lineRule="auto"/>
              <w:jc w:val="left"/>
              <w:rPr>
                <w:rFonts w:hint="eastAsia" w:ascii="宋体" w:hAnsi="宋体" w:eastAsia="宋体" w:cs="宋体"/>
                <w:b/>
                <w:bCs/>
                <w:color w:val="000000"/>
                <w:sz w:val="21"/>
                <w:szCs w:val="21"/>
              </w:rPr>
            </w:pPr>
            <w:r>
              <w:rPr>
                <w:rFonts w:hint="eastAsia" w:ascii="宋体" w:hAnsi="宋体" w:eastAsia="宋体" w:cs="宋体"/>
                <w:b/>
                <w:bCs/>
                <w:sz w:val="21"/>
                <w:szCs w:val="21"/>
              </w:rPr>
              <w:t>违约与处罚</w:t>
            </w:r>
          </w:p>
        </w:tc>
        <w:tc>
          <w:tcPr>
            <w:tcW w:w="6736" w:type="dxa"/>
            <w:vAlign w:val="top"/>
          </w:tcPr>
          <w:p w14:paraId="4204FA51">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）成交供应商</w:t>
            </w:r>
            <w:r>
              <w:rPr>
                <w:rFonts w:hint="eastAsia" w:ascii="宋体" w:hAnsi="宋体" w:eastAsia="宋体" w:cs="宋体"/>
                <w:sz w:val="21"/>
                <w:szCs w:val="21"/>
              </w:rPr>
              <w:t>未能按时交货，每拖延一天，须向采购人支付合同金额的5‰的违约金，违约金总金额不超过合同总价20%。</w:t>
            </w:r>
          </w:p>
          <w:p w14:paraId="4C3E5AD2">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）成交供应商</w:t>
            </w:r>
            <w:r>
              <w:rPr>
                <w:rFonts w:hint="eastAsia" w:ascii="宋体" w:hAnsi="宋体" w:eastAsia="宋体" w:cs="宋体"/>
                <w:sz w:val="21"/>
                <w:szCs w:val="21"/>
              </w:rPr>
              <w:t>交付的货物不符合项目规定的，采购人有权拒收，</w:t>
            </w:r>
            <w:r>
              <w:rPr>
                <w:rFonts w:hint="eastAsia" w:ascii="宋体" w:hAnsi="宋体" w:cs="宋体"/>
                <w:sz w:val="21"/>
                <w:szCs w:val="21"/>
                <w:lang w:eastAsia="zh-CN"/>
              </w:rPr>
              <w:t>成交供应商</w:t>
            </w:r>
            <w:r>
              <w:rPr>
                <w:rFonts w:hint="eastAsia" w:ascii="宋体" w:hAnsi="宋体" w:eastAsia="宋体" w:cs="宋体"/>
                <w:sz w:val="21"/>
                <w:szCs w:val="21"/>
              </w:rPr>
              <w:t>向采购人支付合同金额20%的违约金。因此导致采购人遭受损失（包括但不限于实际损失，预期利益损失，为维护其合法权益而支付的鉴定费、审计费、律师费、差旅费等费用）的，</w:t>
            </w:r>
            <w:r>
              <w:rPr>
                <w:rFonts w:hint="eastAsia" w:ascii="宋体" w:hAnsi="宋体" w:cs="宋体"/>
                <w:sz w:val="21"/>
                <w:szCs w:val="21"/>
                <w:lang w:eastAsia="zh-CN"/>
              </w:rPr>
              <w:t>成交供应商</w:t>
            </w:r>
            <w:r>
              <w:rPr>
                <w:rFonts w:hint="eastAsia" w:ascii="宋体" w:hAnsi="宋体" w:eastAsia="宋体" w:cs="宋体"/>
                <w:sz w:val="21"/>
                <w:szCs w:val="21"/>
              </w:rPr>
              <w:t>应对采购人承担赔偿责任。</w:t>
            </w:r>
          </w:p>
          <w:p w14:paraId="4C720288">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）成交供应商</w:t>
            </w:r>
            <w:r>
              <w:rPr>
                <w:rFonts w:hint="eastAsia" w:ascii="宋体" w:hAnsi="宋体" w:eastAsia="宋体" w:cs="宋体"/>
                <w:sz w:val="21"/>
                <w:szCs w:val="21"/>
              </w:rPr>
              <w:t>逾期超过7日未能交付货物，则向采购人支付合同金额的20%的违约金，同时采购人有权单方解除合同。</w:t>
            </w:r>
          </w:p>
          <w:p w14:paraId="454B79F4">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eastAsia="zh-CN"/>
              </w:rPr>
              <w:t>（</w:t>
            </w:r>
            <w:r>
              <w:rPr>
                <w:rFonts w:hint="eastAsia" w:ascii="宋体" w:hAnsi="宋体" w:eastAsia="宋体" w:cs="宋体"/>
                <w:sz w:val="21"/>
                <w:szCs w:val="21"/>
              </w:rPr>
              <w:t>4</w:t>
            </w:r>
            <w:r>
              <w:rPr>
                <w:rFonts w:hint="eastAsia" w:ascii="宋体" w:hAnsi="宋体" w:cs="宋体"/>
                <w:sz w:val="21"/>
                <w:szCs w:val="21"/>
                <w:lang w:eastAsia="zh-CN"/>
              </w:rPr>
              <w:t>）</w:t>
            </w:r>
            <w:r>
              <w:rPr>
                <w:rFonts w:hint="eastAsia" w:ascii="宋体" w:hAnsi="宋体" w:eastAsia="宋体" w:cs="宋体"/>
                <w:sz w:val="21"/>
                <w:szCs w:val="21"/>
              </w:rPr>
              <w:t>因</w:t>
            </w:r>
            <w:r>
              <w:rPr>
                <w:rFonts w:hint="eastAsia" w:ascii="宋体" w:hAnsi="宋体" w:cs="宋体"/>
                <w:sz w:val="21"/>
                <w:szCs w:val="21"/>
                <w:lang w:eastAsia="zh-CN"/>
              </w:rPr>
              <w:t>成交供应商医疗器械</w:t>
            </w:r>
            <w:r>
              <w:rPr>
                <w:rFonts w:hint="eastAsia" w:ascii="宋体" w:hAnsi="宋体" w:eastAsia="宋体" w:cs="宋体"/>
                <w:sz w:val="21"/>
                <w:szCs w:val="21"/>
              </w:rPr>
              <w:t>自身或安装不善等原因发生事故造成采购人或第三方损害的，</w:t>
            </w:r>
            <w:r>
              <w:rPr>
                <w:rFonts w:hint="eastAsia" w:ascii="宋体" w:hAnsi="宋体" w:cs="宋体"/>
                <w:sz w:val="21"/>
                <w:szCs w:val="21"/>
                <w:lang w:eastAsia="zh-CN"/>
              </w:rPr>
              <w:t>成交供应商</w:t>
            </w:r>
            <w:r>
              <w:rPr>
                <w:rFonts w:hint="eastAsia" w:ascii="宋体" w:hAnsi="宋体" w:eastAsia="宋体" w:cs="宋体"/>
                <w:sz w:val="21"/>
                <w:szCs w:val="21"/>
              </w:rPr>
              <w:t>应直接承担由此产生的一切责任。</w:t>
            </w:r>
          </w:p>
        </w:tc>
      </w:tr>
    </w:tbl>
    <w:p w14:paraId="7CBE8982">
      <w:pPr>
        <w:spacing w:line="360" w:lineRule="auto"/>
        <w:ind w:firstLine="420" w:firstLineChars="200"/>
        <w:rPr>
          <w:rFonts w:hint="eastAsia" w:ascii="宋体" w:hAnsi="宋体" w:cs="Arial Unicode MS"/>
          <w:bCs/>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Tahoma">
    <w:panose1 w:val="020B0604030504040204"/>
    <w:charset w:val="00"/>
    <w:family w:val="swiss"/>
    <w:pitch w:val="default"/>
    <w:sig w:usb0="61007A87" w:usb1="80000000" w:usb2="00000008" w:usb3="00000000" w:csb0="200101FF" w:csb1="20280000"/>
  </w:font>
  <w:font w:name="Arial Unicode MS">
    <w:panose1 w:val="020B0604020202020204"/>
    <w:charset w:val="86"/>
    <w:family w:val="roman"/>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161607"/>
    <w:rsid w:val="00397670"/>
    <w:rsid w:val="004B2B5C"/>
    <w:rsid w:val="00714485"/>
    <w:rsid w:val="00A120AE"/>
    <w:rsid w:val="00AB2F1F"/>
    <w:rsid w:val="00AB7F7D"/>
    <w:rsid w:val="00BB379E"/>
    <w:rsid w:val="00BC190C"/>
    <w:rsid w:val="00DE2230"/>
    <w:rsid w:val="021655DE"/>
    <w:rsid w:val="062A745E"/>
    <w:rsid w:val="08796795"/>
    <w:rsid w:val="0B8B727C"/>
    <w:rsid w:val="0C1C796E"/>
    <w:rsid w:val="10A95DAD"/>
    <w:rsid w:val="123A55FF"/>
    <w:rsid w:val="12A759D4"/>
    <w:rsid w:val="12BC197C"/>
    <w:rsid w:val="13141052"/>
    <w:rsid w:val="13F7171B"/>
    <w:rsid w:val="155A1068"/>
    <w:rsid w:val="16432656"/>
    <w:rsid w:val="1C2F49F4"/>
    <w:rsid w:val="285D6B3D"/>
    <w:rsid w:val="295D32C6"/>
    <w:rsid w:val="2B7F6601"/>
    <w:rsid w:val="33137201"/>
    <w:rsid w:val="35B86C47"/>
    <w:rsid w:val="363E7508"/>
    <w:rsid w:val="36DC4984"/>
    <w:rsid w:val="371A1F7E"/>
    <w:rsid w:val="3BE065B5"/>
    <w:rsid w:val="43225BD9"/>
    <w:rsid w:val="44161607"/>
    <w:rsid w:val="477F1341"/>
    <w:rsid w:val="480F28D7"/>
    <w:rsid w:val="48A6534A"/>
    <w:rsid w:val="4A124BD2"/>
    <w:rsid w:val="4C276CFE"/>
    <w:rsid w:val="4FE4614F"/>
    <w:rsid w:val="50BD7E7E"/>
    <w:rsid w:val="51C748A4"/>
    <w:rsid w:val="51D96226"/>
    <w:rsid w:val="572C0168"/>
    <w:rsid w:val="59CF52DE"/>
    <w:rsid w:val="5CD67CF9"/>
    <w:rsid w:val="5FDE2114"/>
    <w:rsid w:val="63B523A0"/>
    <w:rsid w:val="64DA2E86"/>
    <w:rsid w:val="65305EE9"/>
    <w:rsid w:val="6CFE2890"/>
    <w:rsid w:val="70CD3D9D"/>
    <w:rsid w:val="70F429F4"/>
    <w:rsid w:val="71F16859"/>
    <w:rsid w:val="72D518DB"/>
    <w:rsid w:val="743326A2"/>
    <w:rsid w:val="74524E58"/>
    <w:rsid w:val="78D1526C"/>
    <w:rsid w:val="7C891CA3"/>
    <w:rsid w:val="7F6F30A2"/>
    <w:rsid w:val="7FCA462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semiHidden/>
    <w:unhideWhenUsed/>
    <w:qFormat/>
    <w:uiPriority w:val="0"/>
    <w:pPr>
      <w:spacing w:beforeAutospacing="1" w:afterAutospacing="1"/>
      <w:jc w:val="left"/>
      <w:outlineLvl w:val="2"/>
    </w:pPr>
    <w:rPr>
      <w:rFonts w:hint="eastAsia" w:ascii="宋体" w:hAnsi="宋体"/>
      <w:b/>
      <w:bCs/>
      <w:kern w:val="0"/>
      <w:sz w:val="27"/>
      <w:szCs w:val="27"/>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9"/>
    <w:qFormat/>
    <w:uiPriority w:val="0"/>
    <w:pPr>
      <w:jc w:val="left"/>
    </w:pPr>
  </w:style>
  <w:style w:type="paragraph" w:styleId="4">
    <w:name w:val="Body Text"/>
    <w:basedOn w:val="1"/>
    <w:qFormat/>
    <w:uiPriority w:val="0"/>
    <w:pPr>
      <w:spacing w:after="120"/>
    </w:pPr>
  </w:style>
  <w:style w:type="paragraph" w:styleId="5">
    <w:name w:val="Balloon Text"/>
    <w:basedOn w:val="1"/>
    <w:link w:val="16"/>
    <w:qFormat/>
    <w:uiPriority w:val="0"/>
    <w:rPr>
      <w:sz w:val="18"/>
      <w:szCs w:val="18"/>
    </w:rPr>
  </w:style>
  <w:style w:type="paragraph" w:styleId="6">
    <w:name w:val="footer"/>
    <w:basedOn w:val="1"/>
    <w:link w:val="18"/>
    <w:qFormat/>
    <w:uiPriority w:val="0"/>
    <w:pPr>
      <w:tabs>
        <w:tab w:val="center" w:pos="4153"/>
        <w:tab w:val="right" w:pos="8306"/>
      </w:tabs>
      <w:snapToGrid w:val="0"/>
      <w:jc w:val="left"/>
    </w:pPr>
    <w:rPr>
      <w:sz w:val="18"/>
      <w:szCs w:val="18"/>
    </w:rPr>
  </w:style>
  <w:style w:type="paragraph" w:styleId="7">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rPr>
      <w:sz w:val="24"/>
    </w:rPr>
  </w:style>
  <w:style w:type="table" w:styleId="10">
    <w:name w:val="Table Grid"/>
    <w:basedOn w:val="9"/>
    <w:qFormat/>
    <w:uiPriority w:val="0"/>
    <w:pPr>
      <w:widowControl w:val="0"/>
      <w:spacing w:line="400" w:lineRule="exact"/>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annotation reference"/>
    <w:basedOn w:val="11"/>
    <w:qFormat/>
    <w:uiPriority w:val="0"/>
    <w:rPr>
      <w:sz w:val="21"/>
      <w:szCs w:val="21"/>
    </w:rPr>
  </w:style>
  <w:style w:type="character" w:customStyle="1" w:styleId="13">
    <w:name w:val="p12"/>
    <w:qFormat/>
    <w:uiPriority w:val="0"/>
  </w:style>
  <w:style w:type="paragraph" w:customStyle="1" w:styleId="14">
    <w:name w:val="表格文字"/>
    <w:basedOn w:val="1"/>
    <w:qFormat/>
    <w:uiPriority w:val="0"/>
    <w:pPr>
      <w:jc w:val="left"/>
    </w:pPr>
    <w:rPr>
      <w:bCs/>
      <w:spacing w:val="10"/>
      <w:kern w:val="0"/>
      <w:sz w:val="24"/>
      <w:szCs w:val="20"/>
    </w:rPr>
  </w:style>
  <w:style w:type="paragraph" w:customStyle="1" w:styleId="15">
    <w:name w:val="正文1"/>
    <w:basedOn w:val="1"/>
    <w:qFormat/>
    <w:uiPriority w:val="0"/>
    <w:pPr>
      <w:spacing w:beforeAutospacing="1" w:afterAutospacing="1" w:line="400" w:lineRule="exact"/>
      <w:ind w:firstLine="480" w:firstLineChars="200"/>
      <w:jc w:val="left"/>
    </w:pPr>
    <w:rPr>
      <w:rFonts w:ascii="Arial" w:hAnsi="Arial"/>
      <w:sz w:val="24"/>
    </w:rPr>
  </w:style>
  <w:style w:type="character" w:customStyle="1" w:styleId="16">
    <w:name w:val="批注框文本 Char"/>
    <w:basedOn w:val="11"/>
    <w:link w:val="5"/>
    <w:qFormat/>
    <w:uiPriority w:val="0"/>
    <w:rPr>
      <w:rFonts w:ascii="Times New Roman" w:hAnsi="Times New Roman" w:eastAsia="宋体" w:cs="Times New Roman"/>
      <w:kern w:val="2"/>
      <w:sz w:val="18"/>
      <w:szCs w:val="18"/>
    </w:rPr>
  </w:style>
  <w:style w:type="character" w:customStyle="1" w:styleId="17">
    <w:name w:val="页眉 Char"/>
    <w:basedOn w:val="11"/>
    <w:link w:val="7"/>
    <w:qFormat/>
    <w:uiPriority w:val="0"/>
    <w:rPr>
      <w:rFonts w:ascii="Times New Roman" w:hAnsi="Times New Roman" w:eastAsia="宋体" w:cs="Times New Roman"/>
      <w:kern w:val="2"/>
      <w:sz w:val="18"/>
      <w:szCs w:val="18"/>
    </w:rPr>
  </w:style>
  <w:style w:type="character" w:customStyle="1" w:styleId="18">
    <w:name w:val="页脚 Char"/>
    <w:basedOn w:val="11"/>
    <w:link w:val="6"/>
    <w:qFormat/>
    <w:uiPriority w:val="0"/>
    <w:rPr>
      <w:rFonts w:ascii="Times New Roman" w:hAnsi="Times New Roman" w:eastAsia="宋体" w:cs="Times New Roman"/>
      <w:kern w:val="2"/>
      <w:sz w:val="18"/>
      <w:szCs w:val="18"/>
    </w:rPr>
  </w:style>
  <w:style w:type="character" w:customStyle="1" w:styleId="19">
    <w:name w:val="批注文字 Char"/>
    <w:basedOn w:val="11"/>
    <w:link w:val="3"/>
    <w:qFormat/>
    <w:uiPriority w:val="0"/>
    <w:rPr>
      <w:rFonts w:ascii="Times New Roman" w:hAnsi="Times New Roman" w:eastAsia="宋体" w:cs="Times New Roman"/>
      <w:kern w:val="2"/>
      <w:sz w:val="21"/>
      <w:szCs w:val="24"/>
    </w:rPr>
  </w:style>
  <w:style w:type="paragraph" w:customStyle="1" w:styleId="20">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3965</Words>
  <Characters>4197</Characters>
  <Lines>21</Lines>
  <Paragraphs>6</Paragraphs>
  <TotalTime>15</TotalTime>
  <ScaleCrop>false</ScaleCrop>
  <LinksUpToDate>false</LinksUpToDate>
  <CharactersWithSpaces>4220</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2026-06-04T01:47:00Z</dcterms:created>
  <dc:creator>李政威</dc:creator>
  <cp:lastModifiedBy>.</cp:lastModifiedBy>
  <dcterms:modified xsi:type="dcterms:W3CDTF">2026-07-31T06:27:59Z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9DC5F0A88BBF45088F1C6B92C105609D_13</vt:lpwstr>
  </property>
  <property fmtid="{D5CDD505-2E9C-101B-9397-08002B2CF9AE}" pid="4" name="KSOTemplateDocerSaveRecord">
    <vt:lpwstr>eyJoZGlkIjoiZDZhMmUyNGNkNjFmMDg5OTBkMGE5NzVmMzUyMDY2ZWUifQ==</vt:lpwstr>
  </property>
</Properties>
</file>