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bCs/>
          <w:i w:val="0"/>
          <w:caps w:val="0"/>
          <w:color w:val="auto"/>
          <w:spacing w:val="0"/>
          <w:sz w:val="30"/>
          <w:szCs w:val="30"/>
          <w:shd w:val="clear" w:color="auto" w:fill="FFFFFF"/>
          <w:lang w:val="en-US" w:eastAsia="zh-CN"/>
        </w:rPr>
      </w:pPr>
      <w:r>
        <w:rPr>
          <w:rFonts w:hint="eastAsia" w:ascii="宋体" w:hAnsi="宋体" w:cs="宋体"/>
          <w:b w:val="0"/>
          <w:bCs w:val="0"/>
          <w:i w:val="0"/>
          <w:caps w:val="0"/>
          <w:color w:val="auto"/>
          <w:spacing w:val="0"/>
          <w:sz w:val="30"/>
          <w:szCs w:val="30"/>
          <w:shd w:val="clear" w:color="auto" w:fill="FFFFFF"/>
          <w:lang w:val="en-US" w:eastAsia="zh-CN"/>
        </w:rPr>
        <w:t xml:space="preserve"> </w:t>
      </w:r>
      <w:r>
        <w:rPr>
          <w:rFonts w:hint="eastAsia" w:ascii="宋体" w:hAnsi="宋体" w:cs="宋体"/>
          <w:b/>
          <w:bCs/>
          <w:i w:val="0"/>
          <w:caps w:val="0"/>
          <w:color w:val="auto"/>
          <w:spacing w:val="0"/>
          <w:sz w:val="30"/>
          <w:szCs w:val="30"/>
          <w:shd w:val="clear" w:color="auto" w:fill="FFFFFF"/>
          <w:lang w:val="en-US" w:eastAsia="zh-CN"/>
        </w:rPr>
        <w:t xml:space="preserve">                 </w:t>
      </w:r>
    </w:p>
    <w:p>
      <w:pPr>
        <w:jc w:val="center"/>
        <w:rPr>
          <w:rFonts w:hint="eastAsia" w:ascii="宋体" w:hAnsi="宋体" w:cs="宋体"/>
          <w:b/>
          <w:bCs/>
          <w:i w:val="0"/>
          <w:caps w:val="0"/>
          <w:color w:val="auto"/>
          <w:spacing w:val="0"/>
          <w:sz w:val="28"/>
          <w:szCs w:val="28"/>
          <w:shd w:val="clear" w:color="auto" w:fill="FFFFFF"/>
          <w:lang w:val="en-US" w:eastAsia="zh-CN"/>
        </w:rPr>
      </w:pPr>
      <w:r>
        <w:rPr>
          <w:rFonts w:hint="eastAsia" w:ascii="宋体" w:hAnsi="宋体" w:cs="宋体"/>
          <w:b/>
          <w:bCs/>
          <w:i w:val="0"/>
          <w:caps w:val="0"/>
          <w:color w:val="auto"/>
          <w:spacing w:val="0"/>
          <w:sz w:val="28"/>
          <w:szCs w:val="28"/>
          <w:shd w:val="clear" w:color="auto" w:fill="FFFFFF"/>
          <w:lang w:val="en-US" w:eastAsia="zh-CN"/>
        </w:rPr>
        <w:t>评审方案</w:t>
      </w:r>
    </w:p>
    <w:p>
      <w:pPr>
        <w:spacing w:line="360" w:lineRule="auto"/>
        <w:ind w:firstLine="422" w:firstLineChars="200"/>
        <w:rPr>
          <w:rFonts w:ascii="宋体" w:hAnsi="宋体"/>
          <w:color w:val="auto"/>
          <w:szCs w:val="21"/>
        </w:rPr>
      </w:pPr>
      <w:r>
        <w:rPr>
          <w:rFonts w:hint="eastAsia" w:ascii="宋体" w:hAnsi="宋体"/>
          <w:b/>
          <w:bCs/>
          <w:color w:val="auto"/>
          <w:szCs w:val="21"/>
        </w:rPr>
        <w:t>1、评审步骤：</w:t>
      </w:r>
      <w:r>
        <w:rPr>
          <w:rFonts w:hint="eastAsia" w:ascii="宋体" w:hAnsi="宋体"/>
          <w:color w:val="auto"/>
          <w:szCs w:val="21"/>
        </w:rPr>
        <w:t>评审小组对响应文件的评审分为初审（资格性和符合性审查，详见响应文件模版参考内容）和详细评审，初审通过才进入详细评审环节。</w:t>
      </w:r>
    </w:p>
    <w:p>
      <w:pPr>
        <w:spacing w:line="360" w:lineRule="auto"/>
        <w:ind w:firstLine="422" w:firstLineChars="200"/>
        <w:rPr>
          <w:rFonts w:ascii="宋体" w:hAnsi="宋体"/>
          <w:color w:val="auto"/>
          <w:szCs w:val="21"/>
        </w:rPr>
      </w:pPr>
      <w:r>
        <w:rPr>
          <w:rFonts w:hint="eastAsia" w:ascii="宋体" w:hAnsi="宋体"/>
          <w:b/>
          <w:bCs/>
          <w:color w:val="auto"/>
          <w:szCs w:val="21"/>
        </w:rPr>
        <w:t>2、</w:t>
      </w:r>
      <w:r>
        <w:rPr>
          <w:rFonts w:hint="eastAsia" w:ascii="宋体" w:hAnsi="宋体"/>
          <w:color w:val="auto"/>
          <w:szCs w:val="21"/>
        </w:rPr>
        <w:t>详细评审时，根据评分表的内容，评审小组各成员应当独立对每个有效响应的文件进行评价、打分，从商务技术和价格方面进行综合评审。各成员评分的算术平均值即为该供应商的商务技术得分。得分按四舍五入规则，精确到小数点后2位。</w:t>
      </w:r>
    </w:p>
    <w:p>
      <w:pPr>
        <w:spacing w:line="360" w:lineRule="auto"/>
        <w:ind w:firstLine="422" w:firstLineChars="200"/>
        <w:rPr>
          <w:rFonts w:ascii="宋体" w:hAnsi="宋体"/>
          <w:color w:val="auto"/>
          <w:szCs w:val="21"/>
        </w:rPr>
      </w:pPr>
      <w:r>
        <w:rPr>
          <w:rFonts w:hint="eastAsia" w:ascii="宋体" w:hAnsi="宋体"/>
          <w:b/>
          <w:bCs/>
          <w:color w:val="auto"/>
          <w:szCs w:val="21"/>
        </w:rPr>
        <w:t>3、评审总得分＝商务技术得分+响应报价得分</w:t>
      </w:r>
      <w:r>
        <w:rPr>
          <w:rFonts w:hint="eastAsia" w:ascii="宋体" w:hAnsi="宋体"/>
          <w:color w:val="auto"/>
          <w:szCs w:val="21"/>
        </w:rPr>
        <w:t>　　</w:t>
      </w:r>
    </w:p>
    <w:p>
      <w:pPr>
        <w:spacing w:line="360" w:lineRule="auto"/>
        <w:ind w:firstLine="422" w:firstLineChars="200"/>
        <w:rPr>
          <w:rFonts w:ascii="宋体" w:hAnsi="宋体"/>
          <w:color w:val="auto"/>
          <w:szCs w:val="21"/>
        </w:rPr>
      </w:pPr>
      <w:r>
        <w:rPr>
          <w:rFonts w:hint="eastAsia" w:ascii="宋体" w:hAnsi="宋体"/>
          <w:b/>
          <w:bCs/>
          <w:color w:val="auto"/>
          <w:szCs w:val="21"/>
        </w:rPr>
        <w:t>4、</w:t>
      </w:r>
      <w:r>
        <w:rPr>
          <w:rFonts w:hint="eastAsia" w:ascii="宋体" w:hAnsi="宋体"/>
          <w:color w:val="auto"/>
          <w:szCs w:val="21"/>
        </w:rPr>
        <w:t>评审小组按评审得分由高到低进行排序，排名第一的推荐为第一成交候选人，排名第二的供应商为第二成交候选人，排名第三的供应商为第三成交候选人。出现综合总得分并列时，按下列顺序比较确定：（1）报价（由低到高）；（2）商务技术评分（由高到低）。如以上都相同的，由全体评审专家投票确定名次。</w:t>
      </w:r>
    </w:p>
    <w:p>
      <w:pPr>
        <w:spacing w:line="360" w:lineRule="auto"/>
        <w:ind w:firstLine="422" w:firstLineChars="200"/>
        <w:rPr>
          <w:rFonts w:ascii="宋体" w:hAnsi="宋体"/>
          <w:b/>
          <w:bCs/>
          <w:color w:val="auto"/>
          <w:szCs w:val="21"/>
        </w:rPr>
      </w:pPr>
      <w:r>
        <w:rPr>
          <w:rFonts w:hint="eastAsia" w:ascii="宋体" w:hAnsi="宋体"/>
          <w:b/>
          <w:bCs/>
          <w:color w:val="auto"/>
          <w:szCs w:val="21"/>
        </w:rPr>
        <w:t>5、响应文件的澄清</w:t>
      </w:r>
    </w:p>
    <w:p>
      <w:pPr>
        <w:spacing w:line="360" w:lineRule="auto"/>
        <w:ind w:firstLine="420" w:firstLineChars="200"/>
        <w:rPr>
          <w:rFonts w:ascii="宋体" w:hAnsi="宋体"/>
          <w:color w:val="auto"/>
          <w:szCs w:val="21"/>
        </w:rPr>
      </w:pPr>
      <w:r>
        <w:rPr>
          <w:rFonts w:hint="eastAsia" w:ascii="宋体" w:hAnsi="宋体"/>
          <w:color w:val="auto"/>
          <w:szCs w:val="21"/>
        </w:rPr>
        <w:t>评审期间，对响应文件中含义不明确、同类问题表述不一致或者有明显文字和计算错误</w:t>
      </w:r>
      <w:r>
        <w:rPr>
          <w:rFonts w:hint="eastAsia" w:ascii="宋体" w:hAnsi="宋体"/>
          <w:color w:val="auto"/>
          <w:szCs w:val="21"/>
          <w:lang w:eastAsia="zh-CN"/>
        </w:rPr>
        <w:t>。</w:t>
      </w:r>
      <w:r>
        <w:rPr>
          <w:rFonts w:hint="eastAsia" w:ascii="宋体" w:hAnsi="宋体"/>
          <w:color w:val="auto"/>
          <w:szCs w:val="21"/>
        </w:rPr>
        <w:t>的内容，评审小组可以书面形式（应当由评审小组专家签字）要求供应商作出必要的澄清、说明或者纠正，但不得允许供应商对响应报价等实质性内容做任何更改。供应商的澄清、说明或者纠正应当采用书面形式，由其授权的代表签字，并不得超出响应文件的范围或者改变响应文件的实质性内容。有关澄清的答复均应由供应商的法定代表人或授权代表签名的书面形式作出。供应商的澄清文件是其响应文件的组成部分。</w:t>
      </w:r>
    </w:p>
    <w:p>
      <w:pPr>
        <w:spacing w:line="360" w:lineRule="auto"/>
        <w:ind w:firstLine="422" w:firstLineChars="200"/>
        <w:rPr>
          <w:rFonts w:hint="eastAsia" w:ascii="宋体" w:hAnsi="宋体"/>
          <w:b w:val="0"/>
          <w:bCs w:val="0"/>
          <w:color w:val="auto"/>
          <w:sz w:val="28"/>
          <w:szCs w:val="28"/>
          <w:highlight w:val="none"/>
          <w:lang w:val="en-US" w:eastAsia="zh-CN"/>
        </w:rPr>
      </w:pPr>
      <w:r>
        <w:rPr>
          <w:rFonts w:hint="eastAsia" w:ascii="宋体" w:hAnsi="宋体"/>
          <w:b/>
          <w:bCs/>
          <w:color w:val="auto"/>
          <w:szCs w:val="21"/>
        </w:rPr>
        <w:t>6、</w:t>
      </w:r>
      <w:r>
        <w:rPr>
          <w:rFonts w:hint="eastAsia" w:ascii="宋体" w:hAnsi="宋体"/>
          <w:color w:val="auto"/>
          <w:szCs w:val="21"/>
        </w:rPr>
        <w:t>评审专家按照总得分由高到低的顺序推荐中选人名单。排名第一的推荐为第一成交候选人。如果推荐的第一成交候选人向采购人来书面函退出或违反采购文件规定或不能履行合同的，则采购人视为该第一成交候选人放弃成交资格。则采购人在法律法规允许的情况下可按中选人排名顺序依次确定递补中选人资格，或重新组织采购。</w:t>
      </w:r>
    </w:p>
    <w:p>
      <w:pPr>
        <w:spacing w:line="360" w:lineRule="auto"/>
        <w:ind w:firstLine="560" w:firstLineChars="200"/>
        <w:rPr>
          <w:rFonts w:hint="eastAsia" w:ascii="宋体" w:hAnsi="宋体"/>
          <w:b w:val="0"/>
          <w:bCs w:val="0"/>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cs="宋体"/>
          <w:b/>
          <w:bCs/>
          <w:color w:val="auto"/>
          <w:sz w:val="28"/>
          <w:szCs w:val="28"/>
          <w:lang w:val="en-US" w:eastAsia="zh-CN"/>
        </w:rPr>
        <w:sectPr>
          <w:foot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b/>
          <w:bCs/>
          <w:color w:val="auto"/>
          <w:sz w:val="28"/>
          <w:szCs w:val="28"/>
        </w:rPr>
      </w:pPr>
      <w:r>
        <w:rPr>
          <w:rFonts w:hint="eastAsia" w:ascii="宋体" w:hAnsi="宋体" w:cs="宋体"/>
          <w:b/>
          <w:bCs/>
          <w:color w:val="auto"/>
          <w:sz w:val="28"/>
          <w:szCs w:val="28"/>
          <w:lang w:val="en-US" w:eastAsia="zh-CN"/>
        </w:rPr>
        <w:t>附表：</w:t>
      </w:r>
      <w:r>
        <w:rPr>
          <w:rFonts w:hint="eastAsia" w:ascii="宋体" w:hAnsi="宋体" w:eastAsia="宋体" w:cs="宋体"/>
          <w:b/>
          <w:bCs/>
          <w:color w:val="auto"/>
          <w:sz w:val="28"/>
          <w:szCs w:val="28"/>
          <w:lang w:eastAsia="zh-CN"/>
        </w:rPr>
        <w:t>中山市黄圃人民医院工会委员会2026年工会会员生日蛋糕券采购项目</w:t>
      </w:r>
      <w:r>
        <w:rPr>
          <w:rFonts w:hint="eastAsia" w:ascii="宋体" w:hAnsi="宋体" w:eastAsia="宋体" w:cs="宋体"/>
          <w:b/>
          <w:bCs/>
          <w:color w:val="auto"/>
          <w:sz w:val="28"/>
          <w:szCs w:val="28"/>
        </w:rPr>
        <w:t>评分表</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宋体" w:hAnsi="宋体" w:eastAsia="宋体" w:cs="宋体"/>
          <w:b/>
          <w:bCs/>
          <w:color w:val="auto"/>
          <w:sz w:val="28"/>
          <w:szCs w:val="28"/>
          <w:lang w:val="en-US" w:eastAsia="zh-CN"/>
        </w:rPr>
      </w:pPr>
    </w:p>
    <w:tbl>
      <w:tblPr>
        <w:tblStyle w:val="11"/>
        <w:tblW w:w="136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1714"/>
        <w:gridCol w:w="10062"/>
        <w:gridCol w:w="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exact"/>
          <w:jc w:val="center"/>
        </w:trPr>
        <w:tc>
          <w:tcPr>
            <w:tcW w:w="1012" w:type="dxa"/>
            <w:vAlign w:val="center"/>
          </w:tcPr>
          <w:p>
            <w:pPr>
              <w:pStyle w:val="8"/>
              <w:tabs>
                <w:tab w:val="clear" w:pos="4153"/>
                <w:tab w:val="clear" w:pos="8306"/>
              </w:tabs>
              <w:snapToGrid/>
              <w:spacing w:line="360" w:lineRule="auto"/>
              <w:jc w:val="center"/>
              <w:rPr>
                <w:rFonts w:hint="eastAsia" w:ascii="宋体" w:hAnsi="宋体" w:eastAsia="宋体" w:cs="宋体"/>
                <w:b/>
                <w:bCs/>
                <w:color w:val="auto"/>
                <w:sz w:val="21"/>
                <w:szCs w:val="21"/>
                <w:lang w:eastAsia="zh-CN"/>
              </w:rPr>
            </w:pPr>
            <w:bookmarkStart w:id="0" w:name="OLE_LINK2"/>
            <w:r>
              <w:rPr>
                <w:rFonts w:hint="eastAsia" w:ascii="宋体" w:hAnsi="宋体" w:cs="宋体"/>
                <w:b/>
                <w:bCs/>
                <w:color w:val="auto"/>
                <w:sz w:val="21"/>
                <w:szCs w:val="21"/>
                <w:lang w:eastAsia="zh-CN"/>
              </w:rPr>
              <w:t>项目</w:t>
            </w:r>
          </w:p>
        </w:tc>
        <w:tc>
          <w:tcPr>
            <w:tcW w:w="1714" w:type="dxa"/>
            <w:vAlign w:val="center"/>
          </w:tcPr>
          <w:p>
            <w:pPr>
              <w:pStyle w:val="8"/>
              <w:tabs>
                <w:tab w:val="clear" w:pos="4153"/>
                <w:tab w:val="clear" w:pos="8306"/>
              </w:tabs>
              <w:snapToGrid/>
              <w:spacing w:line="360" w:lineRule="auto"/>
              <w:jc w:val="center"/>
              <w:rPr>
                <w:rFonts w:ascii="宋体" w:hAnsi="宋体" w:cs="宋体"/>
                <w:b/>
                <w:bCs/>
                <w:color w:val="auto"/>
                <w:sz w:val="21"/>
                <w:szCs w:val="21"/>
              </w:rPr>
            </w:pPr>
            <w:r>
              <w:rPr>
                <w:rFonts w:hint="eastAsia" w:ascii="宋体" w:hAnsi="宋体" w:cs="宋体"/>
                <w:b/>
                <w:bCs/>
                <w:color w:val="auto"/>
                <w:sz w:val="21"/>
                <w:szCs w:val="21"/>
              </w:rPr>
              <w:t>评审</w:t>
            </w:r>
            <w:r>
              <w:rPr>
                <w:rFonts w:hint="eastAsia" w:ascii="宋体" w:hAnsi="宋体" w:cs="宋体"/>
                <w:b/>
                <w:bCs/>
                <w:color w:val="auto"/>
                <w:sz w:val="21"/>
                <w:szCs w:val="21"/>
                <w:lang w:eastAsia="zh-CN"/>
              </w:rPr>
              <w:t>因素</w:t>
            </w:r>
          </w:p>
        </w:tc>
        <w:tc>
          <w:tcPr>
            <w:tcW w:w="10062" w:type="dxa"/>
            <w:vAlign w:val="center"/>
          </w:tcPr>
          <w:p>
            <w:pPr>
              <w:pStyle w:val="8"/>
              <w:tabs>
                <w:tab w:val="clear" w:pos="4153"/>
                <w:tab w:val="clear" w:pos="8306"/>
              </w:tabs>
              <w:snapToGrid/>
              <w:spacing w:line="360" w:lineRule="auto"/>
              <w:jc w:val="center"/>
              <w:rPr>
                <w:rFonts w:ascii="宋体" w:hAnsi="宋体" w:cs="宋体"/>
                <w:b/>
                <w:bCs/>
                <w:color w:val="auto"/>
                <w:sz w:val="21"/>
                <w:szCs w:val="21"/>
              </w:rPr>
            </w:pPr>
            <w:r>
              <w:rPr>
                <w:rFonts w:hint="eastAsia" w:ascii="宋体" w:hAnsi="宋体" w:cs="宋体"/>
                <w:b/>
                <w:bCs/>
                <w:color w:val="auto"/>
                <w:sz w:val="21"/>
                <w:szCs w:val="21"/>
              </w:rPr>
              <w:t>评分细则</w:t>
            </w:r>
          </w:p>
        </w:tc>
        <w:tc>
          <w:tcPr>
            <w:tcW w:w="892" w:type="dxa"/>
            <w:vAlign w:val="center"/>
          </w:tcPr>
          <w:p>
            <w:pPr>
              <w:pStyle w:val="8"/>
              <w:tabs>
                <w:tab w:val="clear" w:pos="4153"/>
                <w:tab w:val="clear" w:pos="8306"/>
              </w:tabs>
              <w:snapToGrid/>
              <w:spacing w:line="360" w:lineRule="auto"/>
              <w:jc w:val="center"/>
              <w:rPr>
                <w:rFonts w:ascii="宋体" w:hAnsi="宋体" w:cs="宋体"/>
                <w:b/>
                <w:bCs/>
                <w:color w:val="auto"/>
                <w:sz w:val="21"/>
                <w:szCs w:val="21"/>
              </w:rPr>
            </w:pPr>
            <w:r>
              <w:rPr>
                <w:rFonts w:hint="eastAsia" w:ascii="宋体" w:hAnsi="宋体" w:cs="宋体"/>
                <w:b/>
                <w:bCs/>
                <w:color w:val="auto"/>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exact"/>
          <w:jc w:val="center"/>
        </w:trPr>
        <w:tc>
          <w:tcPr>
            <w:tcW w:w="13680" w:type="dxa"/>
            <w:gridSpan w:val="4"/>
            <w:vAlign w:val="center"/>
          </w:tcPr>
          <w:p>
            <w:pPr>
              <w:pStyle w:val="8"/>
              <w:tabs>
                <w:tab w:val="clear" w:pos="4153"/>
                <w:tab w:val="clear" w:pos="8306"/>
              </w:tabs>
              <w:snapToGrid/>
              <w:spacing w:line="360" w:lineRule="auto"/>
              <w:jc w:val="left"/>
              <w:rPr>
                <w:rFonts w:hint="eastAsia" w:ascii="宋体" w:hAnsi="宋体" w:cs="宋体"/>
                <w:b/>
                <w:bCs/>
                <w:color w:val="auto"/>
                <w:sz w:val="21"/>
                <w:szCs w:val="21"/>
              </w:rPr>
            </w:pPr>
            <w:r>
              <w:rPr>
                <w:rFonts w:hint="eastAsia" w:ascii="宋体" w:hAnsi="宋体" w:cs="宋体"/>
                <w:b/>
                <w:bCs/>
                <w:color w:val="auto"/>
                <w:sz w:val="21"/>
                <w:szCs w:val="21"/>
                <w:lang w:val="en-US" w:eastAsia="zh-CN"/>
              </w:rPr>
              <w:t xml:space="preserve">一、 </w:t>
            </w:r>
            <w:r>
              <w:rPr>
                <w:rFonts w:hint="eastAsia" w:ascii="宋体" w:hAnsi="宋体" w:cs="宋体"/>
                <w:b/>
                <w:bCs/>
                <w:color w:val="auto"/>
                <w:sz w:val="21"/>
                <w:szCs w:val="21"/>
              </w:rPr>
              <w:t>商务技术评分（合计70分）</w:t>
            </w:r>
          </w:p>
          <w:p>
            <w:pPr>
              <w:pStyle w:val="8"/>
              <w:tabs>
                <w:tab w:val="clear" w:pos="4153"/>
                <w:tab w:val="clear" w:pos="8306"/>
              </w:tabs>
              <w:snapToGrid/>
              <w:spacing w:line="360" w:lineRule="auto"/>
              <w:jc w:val="center"/>
              <w:rPr>
                <w:rFonts w:hint="eastAsia" w:ascii="宋体" w:hAnsi="宋体" w:cs="宋体"/>
                <w:b/>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12" w:type="dxa"/>
            <w:vMerge w:val="restart"/>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商</w:t>
            </w: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务</w:t>
            </w: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技</w:t>
            </w: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术</w:t>
            </w: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评</w:t>
            </w: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宋体" w:hAnsi="宋体" w:cs="宋体"/>
                <w:color w:val="auto"/>
                <w:spacing w:val="15"/>
                <w:kern w:val="0"/>
                <w:sz w:val="21"/>
                <w:szCs w:val="21"/>
                <w:shd w:val="clear" w:color="auto" w:fill="FFFFFF"/>
                <w:lang w:val="en-US" w:eastAsia="zh-CN"/>
              </w:rPr>
            </w:pPr>
            <w:r>
              <w:rPr>
                <w:rFonts w:hint="eastAsia" w:ascii="宋体" w:hAnsi="宋体" w:cs="宋体"/>
                <w:b/>
                <w:bCs/>
                <w:color w:val="auto"/>
                <w:sz w:val="21"/>
                <w:szCs w:val="21"/>
                <w:lang w:val="en-US" w:eastAsia="zh-CN"/>
              </w:rPr>
              <w:t>分</w:t>
            </w: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eastAsia="宋体"/>
                <w:color w:val="auto"/>
                <w:sz w:val="21"/>
                <w:szCs w:val="21"/>
                <w:lang w:val="en-US" w:eastAsia="zh-CN"/>
              </w:rPr>
            </w:pPr>
            <w:r>
              <w:rPr>
                <w:rFonts w:hint="eastAsia" w:ascii="宋体" w:hAnsi="宋体" w:cs="宋体"/>
                <w:color w:val="auto"/>
                <w:sz w:val="21"/>
                <w:szCs w:val="21"/>
                <w:lang w:eastAsia="zh-CN"/>
              </w:rPr>
              <w:t>整体方案</w:t>
            </w:r>
          </w:p>
        </w:tc>
        <w:tc>
          <w:tcPr>
            <w:tcW w:w="1006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color w:val="auto"/>
                <w:szCs w:val="21"/>
              </w:rPr>
            </w:pPr>
            <w:r>
              <w:rPr>
                <w:rFonts w:hint="eastAsia" w:ascii="宋体" w:hAnsi="宋体" w:eastAsia="宋体" w:cs="宋体"/>
                <w:color w:val="auto"/>
                <w:szCs w:val="21"/>
              </w:rPr>
              <w:t>根据各供应商提供的整体服务方案（含供货计划、人员配置、配送方案、应急保障措施等）进行评审：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color w:val="auto"/>
                <w:szCs w:val="21"/>
              </w:rPr>
            </w:pPr>
            <w:r>
              <w:rPr>
                <w:rFonts w:hint="eastAsia" w:ascii="宋体" w:hAnsi="宋体" w:eastAsia="宋体" w:cs="宋体"/>
                <w:color w:val="auto"/>
                <w:szCs w:val="21"/>
              </w:rPr>
              <w:t>1.方案内容完整、具体详细、针对性强、可行性高，得10分；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color w:val="auto"/>
                <w:szCs w:val="21"/>
              </w:rPr>
            </w:pPr>
            <w:r>
              <w:rPr>
                <w:rFonts w:hint="eastAsia" w:ascii="宋体" w:hAnsi="宋体" w:eastAsia="宋体" w:cs="宋体"/>
                <w:color w:val="auto"/>
                <w:szCs w:val="21"/>
              </w:rPr>
              <w:t>2.方案内容较完整、较为具体、有一定针对性、可行性较高，得7分；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color w:val="auto"/>
                <w:szCs w:val="21"/>
              </w:rPr>
            </w:pPr>
            <w:r>
              <w:rPr>
                <w:rFonts w:hint="eastAsia" w:ascii="宋体" w:hAnsi="宋体" w:eastAsia="宋体" w:cs="宋体"/>
                <w:color w:val="auto"/>
                <w:szCs w:val="21"/>
              </w:rPr>
              <w:t>3.方案内容简单粗略、针对性一般、可行性一般，得4分；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eastAsia="宋体"/>
                <w:color w:val="auto"/>
                <w:sz w:val="21"/>
                <w:szCs w:val="21"/>
                <w:lang w:val="en-US" w:eastAsia="zh-CN"/>
              </w:rPr>
            </w:pPr>
            <w:r>
              <w:rPr>
                <w:rFonts w:hint="eastAsia" w:ascii="宋体" w:hAnsi="宋体" w:eastAsia="宋体" w:cs="宋体"/>
                <w:color w:val="auto"/>
                <w:szCs w:val="21"/>
              </w:rPr>
              <w:t>4.方案内容缺项较多、缺乏可行性或未提供的，得0分。</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cs="Times New Roman"/>
                <w:color w:val="auto"/>
                <w:sz w:val="21"/>
                <w:szCs w:val="21"/>
                <w:lang w:val="en-US" w:eastAsia="zh-CN"/>
              </w:rPr>
            </w:pPr>
            <w:r>
              <w:rPr>
                <w:rFonts w:hint="eastAsia" w:cs="Times New Roman"/>
                <w:color w:val="auto"/>
                <w:sz w:val="21"/>
                <w:szCs w:val="21"/>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12" w:type="dxa"/>
            <w:vMerge w:val="continue"/>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z w:val="21"/>
                <w:szCs w:val="21"/>
                <w:lang w:val="en-US" w:eastAsia="zh-CN"/>
              </w:rPr>
            </w:pP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color w:val="auto"/>
                <w:sz w:val="21"/>
                <w:szCs w:val="21"/>
                <w:lang w:eastAsia="zh-CN"/>
              </w:rPr>
            </w:pPr>
            <w:r>
              <w:rPr>
                <w:rFonts w:hint="eastAsia" w:ascii="宋体" w:hAnsi="宋体" w:cs="宋体"/>
                <w:color w:val="auto"/>
                <w:sz w:val="21"/>
                <w:szCs w:val="21"/>
                <w:lang w:eastAsia="zh-CN"/>
              </w:rPr>
              <w:t>操作视频</w:t>
            </w:r>
          </w:p>
        </w:tc>
        <w:tc>
          <w:tcPr>
            <w:tcW w:w="10062"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根据供应商提供的平台系统及线上兑换操作流程视频进行评审，评审内容包括兑换流程的便利性、实用性、可操作性：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1.系统稳定流畅，兑换流程简单清晰，操作便捷，得1</w:t>
            </w:r>
            <w:r>
              <w:rPr>
                <w:rFonts w:hint="eastAsia" w:ascii="宋体" w:hAnsi="宋体" w:cs="宋体"/>
                <w:color w:val="auto"/>
                <w:szCs w:val="21"/>
                <w:lang w:val="en-US" w:eastAsia="zh-CN"/>
              </w:rPr>
              <w:t>0</w:t>
            </w:r>
            <w:r>
              <w:rPr>
                <w:rFonts w:hint="eastAsia" w:ascii="宋体" w:hAnsi="宋体" w:cs="宋体"/>
                <w:color w:val="auto"/>
                <w:szCs w:val="21"/>
              </w:rPr>
              <w:t>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2.系统较稳定，兑换流程较清晰，操作较简便，得</w:t>
            </w:r>
            <w:r>
              <w:rPr>
                <w:rFonts w:hint="eastAsia" w:ascii="宋体" w:hAnsi="宋体" w:cs="宋体"/>
                <w:color w:val="auto"/>
                <w:szCs w:val="21"/>
                <w:lang w:val="en-US" w:eastAsia="zh-CN"/>
              </w:rPr>
              <w:t>7</w:t>
            </w:r>
            <w:r>
              <w:rPr>
                <w:rFonts w:hint="eastAsia" w:ascii="宋体" w:hAnsi="宋体" w:cs="宋体"/>
                <w:color w:val="auto"/>
                <w:szCs w:val="21"/>
              </w:rPr>
              <w:t>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3.系统稳定性一般，兑换流程繁琐，操作不够便捷，得</w:t>
            </w:r>
            <w:r>
              <w:rPr>
                <w:rFonts w:hint="eastAsia" w:ascii="宋体" w:hAnsi="宋体" w:cs="宋体"/>
                <w:color w:val="auto"/>
                <w:szCs w:val="21"/>
                <w:lang w:val="en-US" w:eastAsia="zh-CN"/>
              </w:rPr>
              <w:t>4</w:t>
            </w:r>
            <w:r>
              <w:rPr>
                <w:rFonts w:hint="eastAsia" w:ascii="宋体" w:hAnsi="宋体" w:cs="宋体"/>
                <w:color w:val="auto"/>
                <w:szCs w:val="21"/>
              </w:rPr>
              <w:t>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4.系统稳定性较差，兑换流程复杂混乱，操作不便，得</w:t>
            </w:r>
            <w:r>
              <w:rPr>
                <w:rFonts w:hint="eastAsia" w:ascii="宋体" w:hAnsi="宋体" w:cs="宋体"/>
                <w:color w:val="auto"/>
                <w:szCs w:val="21"/>
                <w:lang w:val="en-US" w:eastAsia="zh-CN"/>
              </w:rPr>
              <w:t>1</w:t>
            </w:r>
            <w:r>
              <w:rPr>
                <w:rFonts w:hint="eastAsia" w:ascii="宋体" w:hAnsi="宋体" w:cs="宋体"/>
                <w:color w:val="auto"/>
                <w:szCs w:val="21"/>
              </w:rPr>
              <w:t>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5.未提供视频演示的，得0分。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color w:val="auto"/>
                <w:sz w:val="21"/>
                <w:szCs w:val="21"/>
                <w:lang w:val="zh-CN" w:eastAsia="zh-CN"/>
              </w:rPr>
            </w:pPr>
            <w:r>
              <w:rPr>
                <w:rFonts w:hint="eastAsia" w:ascii="宋体" w:hAnsi="宋体" w:cs="宋体"/>
                <w:color w:val="auto"/>
                <w:szCs w:val="21"/>
              </w:rPr>
              <w:t>注：视频时长不超过3分钟，存入U盘随响应文件一并密封递交。</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cs="Times New Roman"/>
                <w:color w:val="auto"/>
                <w:sz w:val="21"/>
                <w:szCs w:val="21"/>
                <w:lang w:val="en-US" w:eastAsia="zh-CN"/>
              </w:rPr>
            </w:pPr>
            <w:r>
              <w:rPr>
                <w:rFonts w:hint="eastAsia" w:cs="Times New Roman"/>
                <w:color w:val="auto"/>
                <w:sz w:val="21"/>
                <w:szCs w:val="21"/>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101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宋体" w:hAnsi="宋体" w:cs="宋体"/>
                <w:color w:val="auto"/>
                <w:spacing w:val="15"/>
                <w:kern w:val="0"/>
                <w:sz w:val="21"/>
                <w:szCs w:val="21"/>
                <w:shd w:val="clear" w:color="auto" w:fill="FFFFFF"/>
                <w:lang w:val="en-US" w:eastAsia="zh-CN"/>
              </w:rPr>
            </w:pP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i w:val="0"/>
                <w:iCs w:val="0"/>
                <w:color w:val="auto"/>
                <w:kern w:val="0"/>
                <w:sz w:val="21"/>
                <w:szCs w:val="21"/>
                <w:u w:val="none"/>
                <w:lang w:val="en-US" w:eastAsia="zh-CN" w:bidi="ar"/>
              </w:rPr>
            </w:pPr>
            <w:r>
              <w:rPr>
                <w:rFonts w:ascii="宋体" w:hAnsi="宋体" w:cs="宋体"/>
                <w:bCs/>
                <w:color w:val="auto"/>
                <w:szCs w:val="21"/>
              </w:rPr>
              <w:t>售后服务方案</w:t>
            </w:r>
          </w:p>
        </w:tc>
        <w:tc>
          <w:tcPr>
            <w:tcW w:w="1006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根据供应商提供的售后服务方案（含售后服务体系、有效期管理服务、消费数据反馈、问题处理响应机制等）进行评审：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1.售后服务保障体系完善，有专人负责，数据反馈周期明确（不少于每年一次），问题响应及时（24小时内处理），完全满足采购需求，得10分；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2.售后服务保障体系较完善，有专人负责，基本满足采购需求，得7分；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3.售后服务保障体系一般，响应不够及时，仅部分满足采购需求，得4分；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cs="宋体"/>
                <w:color w:val="auto"/>
                <w:szCs w:val="21"/>
              </w:rPr>
            </w:pPr>
            <w:r>
              <w:rPr>
                <w:rFonts w:hint="eastAsia" w:ascii="宋体" w:hAnsi="宋体" w:cs="宋体"/>
                <w:color w:val="auto"/>
                <w:szCs w:val="21"/>
              </w:rPr>
              <w:t>4.售后服务保障体系不完善或未提供的，得0分。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宋体"/>
                <w:color w:val="auto"/>
                <w:sz w:val="21"/>
                <w:szCs w:val="21"/>
                <w:lang w:val="en-US" w:eastAsia="zh-CN"/>
              </w:rPr>
            </w:pPr>
            <w:r>
              <w:rPr>
                <w:rFonts w:hint="eastAsia" w:ascii="宋体" w:hAnsi="宋体" w:cs="宋体"/>
                <w:color w:val="auto"/>
                <w:szCs w:val="21"/>
              </w:rPr>
              <w:t>注：服务方案须体现蛋糕券到期前数据提醒、消费情况定期反馈等内容。</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cs="Times New Roman"/>
                <w:color w:val="auto"/>
                <w:sz w:val="21"/>
                <w:szCs w:val="21"/>
                <w:lang w:val="en-US" w:eastAsia="zh-CN"/>
              </w:rPr>
            </w:pPr>
            <w:r>
              <w:rPr>
                <w:rFonts w:hint="eastAsia" w:cs="Times New Roman"/>
                <w:color w:val="auto"/>
                <w:sz w:val="21"/>
                <w:szCs w:val="21"/>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5" w:hRule="atLeast"/>
          <w:jc w:val="center"/>
        </w:trPr>
        <w:tc>
          <w:tcPr>
            <w:tcW w:w="101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宋体" w:hAnsi="宋体" w:cs="宋体"/>
                <w:color w:val="auto"/>
                <w:spacing w:val="15"/>
                <w:kern w:val="0"/>
                <w:sz w:val="21"/>
                <w:szCs w:val="21"/>
                <w:shd w:val="clear" w:color="auto" w:fill="FFFFFF"/>
                <w:lang w:val="en-US" w:eastAsia="zh-CN"/>
              </w:rPr>
            </w:pP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1"/>
                <w:szCs w:val="21"/>
              </w:rPr>
            </w:pPr>
            <w:r>
              <w:rPr>
                <w:rFonts w:hint="eastAsia" w:ascii="宋体" w:hAnsi="宋体" w:cs="宋体"/>
                <w:color w:val="auto"/>
                <w:szCs w:val="21"/>
              </w:rPr>
              <w:t>蛋糕券可兑换种类的丰富性及覆盖范围</w:t>
            </w:r>
          </w:p>
        </w:tc>
        <w:tc>
          <w:tcPr>
            <w:tcW w:w="1006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蛋糕券可兑换种类的丰富性</w:t>
            </w:r>
            <w:r>
              <w:rPr>
                <w:rFonts w:hint="eastAsia" w:ascii="宋体" w:hAnsi="宋体" w:cs="宋体"/>
                <w:color w:val="auto"/>
                <w:szCs w:val="21"/>
                <w:lang w:eastAsia="zh-CN"/>
              </w:rPr>
              <w:t>、</w:t>
            </w:r>
            <w:r>
              <w:rPr>
                <w:rFonts w:hint="eastAsia" w:ascii="宋体" w:hAnsi="宋体" w:cs="宋体"/>
                <w:color w:val="auto"/>
                <w:szCs w:val="21"/>
                <w:lang w:val="en-US" w:eastAsia="zh-CN"/>
              </w:rPr>
              <w:t>便利性</w:t>
            </w:r>
            <w:r>
              <w:rPr>
                <w:rFonts w:hint="eastAsia" w:ascii="宋体" w:hAnsi="宋体" w:cs="宋体"/>
                <w:color w:val="auto"/>
                <w:szCs w:val="21"/>
              </w:rPr>
              <w:t>及覆盖范围</w:t>
            </w:r>
            <w:r>
              <w:rPr>
                <w:rFonts w:hint="eastAsia" w:ascii="宋体" w:hAnsi="宋体" w:cs="宋体"/>
                <w:color w:val="auto"/>
                <w:szCs w:val="21"/>
                <w:lang w:val="en-US" w:eastAsia="zh-CN"/>
              </w:rPr>
              <w:t>进行综合评价：</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供应商</w:t>
            </w:r>
            <w:r>
              <w:rPr>
                <w:rFonts w:hint="eastAsia" w:ascii="宋体" w:hAnsi="宋体" w:cs="宋体"/>
                <w:color w:val="auto"/>
                <w:szCs w:val="21"/>
              </w:rPr>
              <w:t>提供的蛋糕券可兑换的蛋糕品牌种类丰富，地理覆盖范围广，可兑换门店多</w:t>
            </w:r>
            <w:r>
              <w:rPr>
                <w:rFonts w:hint="eastAsia" w:ascii="宋体" w:hAnsi="宋体" w:cs="宋体"/>
                <w:color w:val="auto"/>
                <w:szCs w:val="21"/>
                <w:lang w:val="en-US" w:eastAsia="zh-CN"/>
              </w:rPr>
              <w:t>，</w:t>
            </w:r>
            <w:r>
              <w:rPr>
                <w:rFonts w:hint="eastAsia" w:ascii="宋体" w:hAnsi="宋体" w:cs="宋体"/>
                <w:color w:val="auto"/>
                <w:szCs w:val="21"/>
              </w:rPr>
              <w:t>得20分；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eastAsia="zh-CN"/>
              </w:rPr>
              <w:t>供应商</w:t>
            </w:r>
            <w:r>
              <w:rPr>
                <w:rFonts w:hint="eastAsia" w:ascii="宋体" w:hAnsi="宋体" w:cs="宋体"/>
                <w:color w:val="auto"/>
                <w:szCs w:val="21"/>
              </w:rPr>
              <w:t>提供的蛋糕券可兑换的蛋糕品牌种类较丰富，地理覆盖范围较广，可兑换门店</w:t>
            </w:r>
            <w:r>
              <w:rPr>
                <w:rFonts w:hint="eastAsia" w:ascii="宋体" w:hAnsi="宋体" w:cs="宋体"/>
                <w:color w:val="auto"/>
                <w:szCs w:val="21"/>
                <w:lang w:val="en-US" w:eastAsia="zh-CN"/>
              </w:rPr>
              <w:t>较</w:t>
            </w:r>
            <w:r>
              <w:rPr>
                <w:rFonts w:hint="eastAsia" w:ascii="宋体" w:hAnsi="宋体" w:cs="宋体"/>
                <w:color w:val="auto"/>
                <w:szCs w:val="21"/>
              </w:rPr>
              <w:t>多，得15分；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eastAsia="zh-CN"/>
              </w:rPr>
              <w:t>供应商</w:t>
            </w:r>
            <w:r>
              <w:rPr>
                <w:rFonts w:hint="eastAsia" w:ascii="宋体" w:hAnsi="宋体" w:cs="宋体"/>
                <w:color w:val="auto"/>
                <w:szCs w:val="21"/>
              </w:rPr>
              <w:t>提供的蛋糕券可兑换的蛋糕品牌种类一般、产品一般，地理覆盖范围一般，可兑换门店</w:t>
            </w:r>
            <w:r>
              <w:rPr>
                <w:rFonts w:hint="eastAsia" w:ascii="宋体" w:hAnsi="宋体" w:cs="宋体"/>
                <w:color w:val="auto"/>
                <w:szCs w:val="21"/>
                <w:lang w:val="en-US" w:eastAsia="zh-CN"/>
              </w:rPr>
              <w:t>较少</w:t>
            </w:r>
            <w:r>
              <w:rPr>
                <w:rFonts w:hint="eastAsia" w:ascii="宋体" w:hAnsi="宋体" w:cs="宋体"/>
                <w:color w:val="auto"/>
                <w:szCs w:val="21"/>
              </w:rPr>
              <w:t>，得10分；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eastAsia="zh-CN"/>
              </w:rPr>
              <w:t>供应商</w:t>
            </w:r>
            <w:r>
              <w:rPr>
                <w:rFonts w:hint="eastAsia" w:ascii="宋体" w:hAnsi="宋体" w:cs="宋体"/>
                <w:color w:val="auto"/>
                <w:szCs w:val="21"/>
              </w:rPr>
              <w:t>提供的蛋糕券可兑换的蛋糕品牌种类少，可兑换门店少，得5分；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rPr>
            </w:pPr>
            <w:r>
              <w:rPr>
                <w:rFonts w:hint="eastAsia" w:ascii="宋体" w:hAnsi="宋体" w:cs="宋体"/>
                <w:color w:val="auto"/>
                <w:szCs w:val="21"/>
              </w:rPr>
              <w:t>5.不提供不得分。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宋体"/>
                <w:color w:val="auto"/>
                <w:sz w:val="21"/>
                <w:szCs w:val="21"/>
                <w:lang w:val="zh-CN" w:eastAsia="zh-CN"/>
              </w:rPr>
            </w:pPr>
            <w:r>
              <w:rPr>
                <w:rFonts w:hint="eastAsia" w:ascii="宋体" w:hAnsi="宋体" w:cs="宋体"/>
                <w:color w:val="auto"/>
                <w:szCs w:val="21"/>
              </w:rPr>
              <w:t>备注：</w:t>
            </w:r>
            <w:r>
              <w:rPr>
                <w:rFonts w:hint="eastAsia" w:ascii="宋体" w:hAnsi="宋体" w:cs="宋体"/>
                <w:color w:val="auto"/>
                <w:szCs w:val="21"/>
                <w:lang w:eastAsia="zh-CN"/>
              </w:rPr>
              <w:t>响应文件</w:t>
            </w:r>
            <w:r>
              <w:rPr>
                <w:rFonts w:hint="eastAsia" w:ascii="宋体" w:hAnsi="宋体" w:cs="宋体"/>
                <w:color w:val="auto"/>
                <w:szCs w:val="21"/>
              </w:rPr>
              <w:t>提供相关证明材料(如产品授权书或</w:t>
            </w:r>
            <w:r>
              <w:rPr>
                <w:rFonts w:hint="eastAsia" w:ascii="宋体" w:hAnsi="宋体" w:cs="宋体"/>
                <w:color w:val="auto"/>
                <w:szCs w:val="21"/>
                <w:lang w:val="en-US" w:eastAsia="zh-CN"/>
              </w:rPr>
              <w:t>中标</w:t>
            </w:r>
            <w:r>
              <w:rPr>
                <w:rFonts w:hint="eastAsia" w:ascii="宋体" w:hAnsi="宋体" w:cs="宋体"/>
                <w:color w:val="auto"/>
                <w:szCs w:val="21"/>
              </w:rPr>
              <w:t>后产品可获得授权的承诺函、门店列表等)加盖公章，如</w:t>
            </w:r>
            <w:r>
              <w:rPr>
                <w:rFonts w:hint="eastAsia" w:ascii="宋体" w:hAnsi="宋体" w:cs="宋体"/>
                <w:color w:val="auto"/>
                <w:szCs w:val="21"/>
                <w:lang w:eastAsia="zh-CN"/>
              </w:rPr>
              <w:t>评审小组</w:t>
            </w:r>
            <w:r>
              <w:rPr>
                <w:rFonts w:hint="eastAsia" w:ascii="宋体" w:hAnsi="宋体" w:cs="宋体"/>
                <w:color w:val="auto"/>
                <w:szCs w:val="21"/>
              </w:rPr>
              <w:t>无法从</w:t>
            </w:r>
            <w:r>
              <w:rPr>
                <w:rFonts w:hint="eastAsia" w:ascii="宋体" w:hAnsi="宋体" w:cs="宋体"/>
                <w:color w:val="auto"/>
                <w:szCs w:val="21"/>
                <w:lang w:eastAsia="zh-CN"/>
              </w:rPr>
              <w:t>响应文件</w:t>
            </w:r>
            <w:r>
              <w:rPr>
                <w:rFonts w:hint="eastAsia" w:ascii="宋体" w:hAnsi="宋体" w:cs="宋体"/>
                <w:color w:val="auto"/>
                <w:szCs w:val="21"/>
              </w:rPr>
              <w:t>所提供资料中判断是否符合要求的，视为</w:t>
            </w:r>
            <w:r>
              <w:rPr>
                <w:rFonts w:hint="eastAsia" w:ascii="宋体" w:hAnsi="宋体" w:cs="宋体"/>
                <w:color w:val="auto"/>
                <w:szCs w:val="21"/>
                <w:lang w:eastAsia="zh-CN"/>
              </w:rPr>
              <w:t>未按要求提供证明材料</w:t>
            </w:r>
            <w:r>
              <w:rPr>
                <w:rFonts w:hint="eastAsia" w:ascii="宋体" w:hAnsi="宋体" w:cs="宋体"/>
                <w:color w:val="auto"/>
                <w:szCs w:val="21"/>
              </w:rPr>
              <w:t>。未提供或未按要求提供相关证明材料的不得分。</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cs="Times New Roman"/>
                <w:color w:val="auto"/>
                <w:sz w:val="21"/>
                <w:szCs w:val="21"/>
                <w:lang w:val="en-US" w:eastAsia="zh-CN"/>
              </w:rPr>
            </w:pPr>
            <w:r>
              <w:rPr>
                <w:rFonts w:hint="eastAsia" w:cs="Times New Roman"/>
                <w:color w:val="auto"/>
                <w:sz w:val="21"/>
                <w:szCs w:val="21"/>
                <w:lang w:val="en-US"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7" w:hRule="atLeast"/>
          <w:jc w:val="center"/>
        </w:trPr>
        <w:tc>
          <w:tcPr>
            <w:tcW w:w="101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宋体" w:hAnsi="宋体" w:cs="宋体"/>
                <w:color w:val="auto"/>
                <w:spacing w:val="15"/>
                <w:kern w:val="0"/>
                <w:sz w:val="21"/>
                <w:szCs w:val="21"/>
                <w:shd w:val="clear" w:color="auto" w:fill="FFFFFF"/>
                <w:lang w:val="en-US" w:eastAsia="zh-CN"/>
              </w:rPr>
            </w:pP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color w:val="auto"/>
                <w:sz w:val="21"/>
                <w:szCs w:val="21"/>
                <w:lang w:val="en-US" w:eastAsia="zh-CN"/>
              </w:rPr>
            </w:pPr>
            <w:r>
              <w:rPr>
                <w:rFonts w:hint="eastAsia"/>
                <w:color w:val="auto"/>
              </w:rPr>
              <w:t>兑换方式便利性</w:t>
            </w:r>
          </w:p>
        </w:tc>
        <w:tc>
          <w:tcPr>
            <w:tcW w:w="1006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根据供应商提供的线上+线下兑换方式进行综合评价：</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1.兑换方式多样（支持微信公众平台、小程序、APP、网站、电话及线下门店等多种方式），各渠道操作均便捷流畅，得10分；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2.兑换方式较多样（支持3种及以上渠道），操作较便捷，得7分；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3.兑换方式单一（仅支持线下门店或仅1种线上渠道），操作一般，得4分；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4.兑换方式不满足采购需求或未提供方案的，得0分。</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cs="Times New Roman"/>
                <w:color w:val="auto"/>
                <w:sz w:val="21"/>
                <w:szCs w:val="21"/>
                <w:lang w:val="en-US" w:eastAsia="zh-CN"/>
              </w:rPr>
            </w:pPr>
            <w:r>
              <w:rPr>
                <w:rFonts w:hint="eastAsia" w:cs="Times New Roman"/>
                <w:color w:val="auto"/>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7" w:hRule="atLeast"/>
          <w:jc w:val="center"/>
        </w:trPr>
        <w:tc>
          <w:tcPr>
            <w:tcW w:w="101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宋体" w:hAnsi="宋体" w:cs="宋体"/>
                <w:color w:val="auto"/>
                <w:spacing w:val="15"/>
                <w:kern w:val="0"/>
                <w:sz w:val="21"/>
                <w:szCs w:val="21"/>
                <w:shd w:val="clear" w:color="auto" w:fill="FFFFFF"/>
                <w:lang w:val="en-US" w:eastAsia="zh-CN"/>
              </w:rPr>
            </w:pP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增值服务</w:t>
            </w:r>
          </w:p>
        </w:tc>
        <w:tc>
          <w:tcPr>
            <w:tcW w:w="1006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根据供应商提供的增值服务进行评审：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1.</w:t>
            </w:r>
            <w:r>
              <w:rPr>
                <w:rFonts w:hint="eastAsia" w:ascii="宋体" w:hAnsi="宋体" w:cs="宋体"/>
                <w:color w:val="auto"/>
                <w:szCs w:val="21"/>
                <w:lang w:val="zh-CN" w:eastAsia="zh-CN"/>
              </w:rPr>
              <w:t>增值服务内容丰富种类多，完全贴合实际需求，包含多项实质性增值服务，有亮点有特色，特色可操作性强，服务承诺明确且优于采购文件基本要求，得</w:t>
            </w:r>
            <w:r>
              <w:rPr>
                <w:rFonts w:hint="eastAsia" w:ascii="宋体" w:hAnsi="宋体" w:cs="宋体"/>
                <w:color w:val="auto"/>
                <w:szCs w:val="21"/>
                <w:lang w:val="en-US" w:eastAsia="zh-CN"/>
              </w:rPr>
              <w:t>10</w:t>
            </w:r>
            <w:r>
              <w:rPr>
                <w:rFonts w:hint="eastAsia" w:ascii="宋体" w:hAnsi="宋体" w:cs="宋体"/>
                <w:color w:val="auto"/>
                <w:szCs w:val="21"/>
                <w:lang w:val="zh-CN" w:eastAsia="zh-CN"/>
              </w:rPr>
              <w:t xml:space="preserve">分； </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2.</w:t>
            </w:r>
            <w:r>
              <w:rPr>
                <w:rFonts w:hint="eastAsia" w:ascii="宋体" w:hAnsi="宋体" w:cs="宋体"/>
                <w:color w:val="auto"/>
                <w:szCs w:val="21"/>
                <w:lang w:val="zh-CN" w:eastAsia="zh-CN"/>
              </w:rPr>
              <w:t>增值服务内容较丰富，种类较多，较为贴合实际需求，包含一定数量的增值服务，有一定的亮点和特色，具有一定的可操作性，服务承诺明确且优于采购文件基本要求，得</w:t>
            </w:r>
            <w:r>
              <w:rPr>
                <w:rFonts w:hint="eastAsia" w:ascii="宋体" w:hAnsi="宋体" w:cs="宋体"/>
                <w:color w:val="auto"/>
                <w:szCs w:val="21"/>
                <w:lang w:val="en-US" w:eastAsia="zh-CN"/>
              </w:rPr>
              <w:t>7分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3.</w:t>
            </w:r>
            <w:r>
              <w:rPr>
                <w:rFonts w:hint="eastAsia" w:ascii="宋体" w:hAnsi="宋体" w:cs="宋体"/>
                <w:color w:val="auto"/>
                <w:szCs w:val="21"/>
                <w:lang w:val="zh-CN" w:eastAsia="zh-CN"/>
              </w:rPr>
              <w:t>增值服务内容较简单，仅满足采购文件基本要求，服务缺乏亮点和特色，得</w:t>
            </w:r>
            <w:r>
              <w:rPr>
                <w:rFonts w:hint="eastAsia" w:ascii="宋体" w:hAnsi="宋体" w:cs="宋体"/>
                <w:color w:val="auto"/>
                <w:szCs w:val="21"/>
                <w:lang w:val="en-US" w:eastAsia="zh-CN"/>
              </w:rPr>
              <w:t>4分</w:t>
            </w:r>
            <w:r>
              <w:rPr>
                <w:rFonts w:hint="eastAsia" w:ascii="宋体" w:hAnsi="宋体" w:cs="宋体"/>
                <w:color w:val="auto"/>
                <w:szCs w:val="21"/>
                <w:lang w:val="zh-CN"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eastAsia"/>
                <w:color w:val="auto"/>
                <w:sz w:val="21"/>
                <w:szCs w:val="21"/>
                <w:lang w:val="zh-CN" w:eastAsia="zh-CN"/>
              </w:rPr>
            </w:pPr>
            <w:r>
              <w:rPr>
                <w:rFonts w:hint="eastAsia" w:ascii="宋体" w:hAnsi="宋体" w:cs="宋体"/>
                <w:color w:val="auto"/>
                <w:szCs w:val="21"/>
                <w:lang w:val="en-US" w:eastAsia="zh-CN"/>
              </w:rPr>
              <w:t>4.</w:t>
            </w:r>
            <w:r>
              <w:rPr>
                <w:rFonts w:hint="eastAsia" w:ascii="宋体" w:hAnsi="宋体" w:cs="宋体"/>
                <w:color w:val="auto"/>
                <w:szCs w:val="21"/>
                <w:lang w:val="zh-CN" w:eastAsia="zh-CN"/>
              </w:rPr>
              <w:t>未提供增值服务方案或方案不具有可操作性的，得</w:t>
            </w:r>
            <w:r>
              <w:rPr>
                <w:rFonts w:hint="eastAsia" w:ascii="宋体" w:hAnsi="宋体" w:cs="宋体"/>
                <w:color w:val="auto"/>
                <w:szCs w:val="21"/>
                <w:lang w:val="en-US" w:eastAsia="zh-CN"/>
              </w:rPr>
              <w:t>0分</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cs="Times New Roman"/>
                <w:color w:val="auto"/>
                <w:sz w:val="21"/>
                <w:szCs w:val="21"/>
                <w:lang w:val="en-US" w:eastAsia="zh-CN"/>
              </w:rPr>
            </w:pPr>
            <w:r>
              <w:rPr>
                <w:rFonts w:hint="eastAsia" w:cs="Times New Roman"/>
                <w:color w:val="auto"/>
                <w:sz w:val="21"/>
                <w:szCs w:val="21"/>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3680"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cs="Times New Roman"/>
                <w:color w:val="auto"/>
                <w:sz w:val="21"/>
                <w:szCs w:val="21"/>
                <w:lang w:val="en-US" w:eastAsia="zh-CN"/>
              </w:rPr>
            </w:pPr>
            <w:r>
              <w:rPr>
                <w:rFonts w:hint="eastAsia" w:ascii="宋体" w:hAnsi="宋体" w:cs="宋体"/>
                <w:b/>
                <w:bCs/>
                <w:color w:val="auto"/>
                <w:spacing w:val="15"/>
                <w:kern w:val="0"/>
                <w:sz w:val="21"/>
                <w:szCs w:val="21"/>
                <w:shd w:val="clear" w:color="auto" w:fill="FFFFFF"/>
                <w:lang w:val="en-US" w:eastAsia="zh-CN"/>
              </w:rPr>
              <w:t>二、价格部分（合计30分）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1012" w:type="dxa"/>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cs="宋体"/>
                <w:b/>
                <w:bCs/>
                <w:color w:val="auto"/>
                <w:spacing w:val="15"/>
                <w:kern w:val="0"/>
                <w:sz w:val="21"/>
                <w:szCs w:val="21"/>
                <w:shd w:val="clear" w:color="auto" w:fill="FFFFFF"/>
                <w:lang w:val="en-US" w:eastAsia="zh-CN"/>
              </w:rPr>
            </w:pPr>
            <w:r>
              <w:rPr>
                <w:rFonts w:hint="eastAsia" w:ascii="宋体" w:hAnsi="宋体" w:cs="宋体"/>
                <w:b/>
                <w:bCs/>
                <w:color w:val="auto"/>
                <w:spacing w:val="15"/>
                <w:kern w:val="0"/>
                <w:sz w:val="21"/>
                <w:szCs w:val="21"/>
                <w:shd w:val="clear" w:color="auto" w:fill="FFFFFF"/>
                <w:lang w:val="en-US" w:eastAsia="zh-CN"/>
              </w:rPr>
              <w:t>价格</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宋体" w:hAnsi="宋体" w:cs="宋体"/>
                <w:b/>
                <w:bCs/>
                <w:color w:val="auto"/>
                <w:spacing w:val="15"/>
                <w:kern w:val="0"/>
                <w:sz w:val="21"/>
                <w:szCs w:val="21"/>
                <w:shd w:val="clear" w:color="auto" w:fill="FFFFFF"/>
                <w:lang w:val="en-US" w:eastAsia="zh-CN"/>
              </w:rPr>
            </w:pPr>
            <w:r>
              <w:rPr>
                <w:rFonts w:hint="eastAsia" w:ascii="宋体" w:hAnsi="宋体" w:cs="宋体"/>
                <w:b/>
                <w:bCs/>
                <w:color w:val="auto"/>
                <w:spacing w:val="15"/>
                <w:kern w:val="0"/>
                <w:sz w:val="21"/>
                <w:szCs w:val="21"/>
                <w:shd w:val="clear" w:color="auto" w:fill="FFFFFF"/>
                <w:lang w:val="en-US" w:eastAsia="zh-CN"/>
              </w:rPr>
              <w:t>部分</w:t>
            </w:r>
          </w:p>
        </w:tc>
        <w:tc>
          <w:tcPr>
            <w:tcW w:w="1714" w:type="dxa"/>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color w:val="auto"/>
                <w:sz w:val="21"/>
                <w:szCs w:val="21"/>
                <w:highlight w:val="none"/>
              </w:rPr>
            </w:pPr>
            <w:r>
              <w:rPr>
                <w:rFonts w:hint="eastAsia" w:ascii="宋体" w:hAnsi="宋体" w:eastAsia="宋体" w:cs="宋体"/>
                <w:color w:val="auto"/>
                <w:sz w:val="21"/>
                <w:szCs w:val="21"/>
              </w:rPr>
              <w:t>响应报价</w:t>
            </w:r>
          </w:p>
        </w:tc>
        <w:tc>
          <w:tcPr>
            <w:tcW w:w="10062" w:type="dxa"/>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zh-CN" w:eastAsia="zh-CN" w:bidi="ar-SA"/>
              </w:rPr>
              <w:t>价格分采用低价优先法计算：</w:t>
            </w:r>
          </w:p>
          <w:p>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zh-CN" w:eastAsia="zh-CN" w:bidi="ar-SA"/>
              </w:rPr>
              <w:t>评审基准价=满足采购文件要求且折扣率最低的有效响应报价；</w:t>
            </w:r>
          </w:p>
          <w:p>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zh-CN" w:eastAsia="zh-CN" w:bidi="ar-SA"/>
              </w:rPr>
              <w:t>报价得分=（评审基准价／响应报价）×30。</w:t>
            </w:r>
          </w:p>
          <w:p>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zh-CN" w:eastAsia="zh-CN" w:bidi="ar-SA"/>
              </w:rPr>
              <w:t>计算保留小数点后两位，第三位四舍五入。</w:t>
            </w:r>
          </w:p>
          <w:p>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color w:val="auto"/>
                <w:sz w:val="21"/>
                <w:szCs w:val="21"/>
                <w:lang w:val="en-US" w:eastAsia="zh-CN"/>
              </w:rPr>
            </w:pPr>
            <w:r>
              <w:rPr>
                <w:rFonts w:hint="eastAsia" w:ascii="Times New Roman" w:hAnsi="Times New Roman" w:eastAsia="宋体" w:cs="Times New Roman"/>
                <w:color w:val="auto"/>
                <w:kern w:val="2"/>
                <w:sz w:val="21"/>
                <w:szCs w:val="21"/>
                <w:lang w:val="zh-CN" w:eastAsia="zh-CN" w:bidi="ar-SA"/>
              </w:rPr>
              <w:t>注：最低报价不是成交的唯一依据。</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宋体" w:hAnsi="宋体" w:cs="宋体"/>
                <w:color w:val="auto"/>
                <w:sz w:val="21"/>
                <w:szCs w:val="21"/>
                <w:highlight w:val="none"/>
                <w:lang w:val="en-US" w:eastAsia="zh-CN"/>
              </w:rPr>
            </w:pPr>
            <w:r>
              <w:rPr>
                <w:rFonts w:hint="eastAsia" w:cs="Times New Roman"/>
                <w:color w:val="auto"/>
                <w:sz w:val="21"/>
                <w:szCs w:val="21"/>
                <w:lang w:val="en-US" w:eastAsia="zh-CN"/>
              </w:rPr>
              <w:t>30</w:t>
            </w:r>
            <w:r>
              <w:rPr>
                <w:rFonts w:hint="eastAsia" w:ascii="宋体" w:hAnsi="宋体" w:cs="宋体"/>
                <w:color w:val="auto"/>
                <w:sz w:val="21"/>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12788" w:type="dxa"/>
            <w:gridSpan w:val="3"/>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ascii="宋体" w:hAnsi="宋体"/>
                <w:color w:val="auto"/>
                <w:sz w:val="21"/>
                <w:szCs w:val="21"/>
              </w:rPr>
            </w:pPr>
            <w:r>
              <w:rPr>
                <w:rFonts w:hint="eastAsia" w:ascii="宋体" w:hAnsi="宋体"/>
                <w:color w:val="auto"/>
                <w:sz w:val="21"/>
                <w:szCs w:val="21"/>
              </w:rPr>
              <w:t>合计</w:t>
            </w:r>
          </w:p>
        </w:tc>
        <w:tc>
          <w:tcPr>
            <w:tcW w:w="892" w:type="dxa"/>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宋体" w:hAnsi="宋体" w:eastAsia="宋体"/>
                <w:color w:val="auto"/>
                <w:sz w:val="21"/>
                <w:szCs w:val="21"/>
                <w:lang w:eastAsia="zh-CN"/>
              </w:rPr>
            </w:pPr>
            <w:r>
              <w:rPr>
                <w:rFonts w:hint="eastAsia" w:ascii="Times New Roman" w:hAnsi="Times New Roman" w:eastAsia="宋体" w:cs="Times New Roman"/>
                <w:color w:val="auto"/>
                <w:sz w:val="21"/>
                <w:szCs w:val="21"/>
                <w:lang w:val="en-US" w:eastAsia="zh-CN"/>
              </w:rPr>
              <w:t>100</w:t>
            </w:r>
            <w:r>
              <w:rPr>
                <w:rFonts w:hint="eastAsia" w:ascii="宋体" w:hAnsi="宋体"/>
                <w:color w:val="auto"/>
                <w:sz w:val="21"/>
                <w:szCs w:val="21"/>
                <w:lang w:eastAsia="zh-CN"/>
              </w:rPr>
              <w:t>分</w:t>
            </w:r>
          </w:p>
        </w:tc>
      </w:tr>
      <w:bookmarkEnd w:id="0"/>
    </w:tbl>
    <w:p>
      <w:pPr>
        <w:spacing w:line="360" w:lineRule="auto"/>
        <w:rPr>
          <w:color w:val="auto"/>
          <w:sz w:val="24"/>
          <w:szCs w:val="24"/>
        </w:rPr>
      </w:pPr>
      <w:bookmarkStart w:id="1" w:name="_GoBack"/>
      <w:bookmarkEnd w:id="1"/>
    </w:p>
    <w:sectPr>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000000"/>
    <w:rsid w:val="00280D3D"/>
    <w:rsid w:val="004F7D60"/>
    <w:rsid w:val="005A2D64"/>
    <w:rsid w:val="00726F79"/>
    <w:rsid w:val="00E46AD2"/>
    <w:rsid w:val="00EB1C0E"/>
    <w:rsid w:val="0116312F"/>
    <w:rsid w:val="022632F0"/>
    <w:rsid w:val="03267819"/>
    <w:rsid w:val="045D1075"/>
    <w:rsid w:val="05BD6377"/>
    <w:rsid w:val="06462D18"/>
    <w:rsid w:val="06E72E78"/>
    <w:rsid w:val="077B0190"/>
    <w:rsid w:val="07AB423D"/>
    <w:rsid w:val="07F53FC7"/>
    <w:rsid w:val="085C484A"/>
    <w:rsid w:val="08917754"/>
    <w:rsid w:val="08CD207F"/>
    <w:rsid w:val="09570229"/>
    <w:rsid w:val="09CF031F"/>
    <w:rsid w:val="09FE247D"/>
    <w:rsid w:val="0A3E104C"/>
    <w:rsid w:val="0A621193"/>
    <w:rsid w:val="0AA35A8D"/>
    <w:rsid w:val="0AC27E84"/>
    <w:rsid w:val="0ADF6709"/>
    <w:rsid w:val="0B031FF8"/>
    <w:rsid w:val="0B283E89"/>
    <w:rsid w:val="0B2A7D51"/>
    <w:rsid w:val="0B330D82"/>
    <w:rsid w:val="0B5252E0"/>
    <w:rsid w:val="0B5915B2"/>
    <w:rsid w:val="0BF63EFD"/>
    <w:rsid w:val="0C344DB1"/>
    <w:rsid w:val="0C871385"/>
    <w:rsid w:val="0C8F77BA"/>
    <w:rsid w:val="0CD673D7"/>
    <w:rsid w:val="0CEA79AB"/>
    <w:rsid w:val="0D136775"/>
    <w:rsid w:val="0D7C5016"/>
    <w:rsid w:val="0DF0642C"/>
    <w:rsid w:val="0E3A4E39"/>
    <w:rsid w:val="0E5651F6"/>
    <w:rsid w:val="0E9B1118"/>
    <w:rsid w:val="0F0C1504"/>
    <w:rsid w:val="0FB36144"/>
    <w:rsid w:val="10001543"/>
    <w:rsid w:val="100B407B"/>
    <w:rsid w:val="10803E45"/>
    <w:rsid w:val="113F222E"/>
    <w:rsid w:val="119D245F"/>
    <w:rsid w:val="11CC5193"/>
    <w:rsid w:val="11E85F50"/>
    <w:rsid w:val="120450DA"/>
    <w:rsid w:val="12055A41"/>
    <w:rsid w:val="128F4D5C"/>
    <w:rsid w:val="12C9238F"/>
    <w:rsid w:val="13157E18"/>
    <w:rsid w:val="135E0B3D"/>
    <w:rsid w:val="138A175B"/>
    <w:rsid w:val="14121DAC"/>
    <w:rsid w:val="142E20E6"/>
    <w:rsid w:val="14D95863"/>
    <w:rsid w:val="15396F94"/>
    <w:rsid w:val="16012AC5"/>
    <w:rsid w:val="16AA0397"/>
    <w:rsid w:val="16B167CC"/>
    <w:rsid w:val="170610F8"/>
    <w:rsid w:val="17070B85"/>
    <w:rsid w:val="172211AC"/>
    <w:rsid w:val="177949B5"/>
    <w:rsid w:val="17D43C78"/>
    <w:rsid w:val="18664ECD"/>
    <w:rsid w:val="198164B4"/>
    <w:rsid w:val="198264C7"/>
    <w:rsid w:val="19A02B67"/>
    <w:rsid w:val="1A710F7F"/>
    <w:rsid w:val="1AAF05A0"/>
    <w:rsid w:val="1B8D7B88"/>
    <w:rsid w:val="1CA90EA4"/>
    <w:rsid w:val="1CB17D58"/>
    <w:rsid w:val="1CEB5018"/>
    <w:rsid w:val="1D090252"/>
    <w:rsid w:val="1D4F1A4B"/>
    <w:rsid w:val="1DBD053F"/>
    <w:rsid w:val="2000702C"/>
    <w:rsid w:val="203B4F56"/>
    <w:rsid w:val="20531559"/>
    <w:rsid w:val="20E47C7B"/>
    <w:rsid w:val="21251678"/>
    <w:rsid w:val="21507B40"/>
    <w:rsid w:val="21636166"/>
    <w:rsid w:val="2182320C"/>
    <w:rsid w:val="21B73ED8"/>
    <w:rsid w:val="22291947"/>
    <w:rsid w:val="22596E88"/>
    <w:rsid w:val="22F524FB"/>
    <w:rsid w:val="230B0532"/>
    <w:rsid w:val="2323226F"/>
    <w:rsid w:val="23234A89"/>
    <w:rsid w:val="232522DA"/>
    <w:rsid w:val="238C63A9"/>
    <w:rsid w:val="23955CDE"/>
    <w:rsid w:val="23E83B9F"/>
    <w:rsid w:val="24406F1A"/>
    <w:rsid w:val="24791DF7"/>
    <w:rsid w:val="25A11649"/>
    <w:rsid w:val="25A8494F"/>
    <w:rsid w:val="25CD5C03"/>
    <w:rsid w:val="27B91B08"/>
    <w:rsid w:val="27EA6359"/>
    <w:rsid w:val="29CC4423"/>
    <w:rsid w:val="29D67FA4"/>
    <w:rsid w:val="2A2B739C"/>
    <w:rsid w:val="2A432D46"/>
    <w:rsid w:val="2A7169DD"/>
    <w:rsid w:val="2A9F7BB6"/>
    <w:rsid w:val="2ACD0453"/>
    <w:rsid w:val="2AEF13BE"/>
    <w:rsid w:val="2CF40263"/>
    <w:rsid w:val="2D0F545C"/>
    <w:rsid w:val="2D216834"/>
    <w:rsid w:val="2DB84096"/>
    <w:rsid w:val="2E3B05C3"/>
    <w:rsid w:val="2EAB0AAB"/>
    <w:rsid w:val="2F1E2C53"/>
    <w:rsid w:val="2FB77A42"/>
    <w:rsid w:val="300915AF"/>
    <w:rsid w:val="304C1E1A"/>
    <w:rsid w:val="30D140CD"/>
    <w:rsid w:val="31BC4D7D"/>
    <w:rsid w:val="32B85545"/>
    <w:rsid w:val="32FC4A8D"/>
    <w:rsid w:val="32FC6616"/>
    <w:rsid w:val="330557AD"/>
    <w:rsid w:val="33A672FD"/>
    <w:rsid w:val="34403A44"/>
    <w:rsid w:val="346534DC"/>
    <w:rsid w:val="347E456C"/>
    <w:rsid w:val="35002F40"/>
    <w:rsid w:val="352761F5"/>
    <w:rsid w:val="35CB5E72"/>
    <w:rsid w:val="35EA1EB9"/>
    <w:rsid w:val="364D069A"/>
    <w:rsid w:val="366C21D2"/>
    <w:rsid w:val="36CD5A73"/>
    <w:rsid w:val="37AD6244"/>
    <w:rsid w:val="37C568B0"/>
    <w:rsid w:val="380A3FE7"/>
    <w:rsid w:val="381454F7"/>
    <w:rsid w:val="38370059"/>
    <w:rsid w:val="391159AF"/>
    <w:rsid w:val="39274A58"/>
    <w:rsid w:val="395172C0"/>
    <w:rsid w:val="3A1A39AB"/>
    <w:rsid w:val="3A1A6AE5"/>
    <w:rsid w:val="3A2636DC"/>
    <w:rsid w:val="3ABB3E24"/>
    <w:rsid w:val="3B3046CD"/>
    <w:rsid w:val="3BC136BC"/>
    <w:rsid w:val="3BDE4E43"/>
    <w:rsid w:val="3C2E0CC5"/>
    <w:rsid w:val="3CE33BBF"/>
    <w:rsid w:val="3DA05553"/>
    <w:rsid w:val="3DB2047D"/>
    <w:rsid w:val="3E141CB2"/>
    <w:rsid w:val="3E570EC6"/>
    <w:rsid w:val="3F283A52"/>
    <w:rsid w:val="3F6D1374"/>
    <w:rsid w:val="4024246B"/>
    <w:rsid w:val="40607ABC"/>
    <w:rsid w:val="40640ABA"/>
    <w:rsid w:val="413A60AB"/>
    <w:rsid w:val="41461E53"/>
    <w:rsid w:val="43C8770C"/>
    <w:rsid w:val="45AC718B"/>
    <w:rsid w:val="45ED50AE"/>
    <w:rsid w:val="45F95539"/>
    <w:rsid w:val="46726F52"/>
    <w:rsid w:val="469E110E"/>
    <w:rsid w:val="479C6D8B"/>
    <w:rsid w:val="48364026"/>
    <w:rsid w:val="488241D3"/>
    <w:rsid w:val="48B86C89"/>
    <w:rsid w:val="48E603CD"/>
    <w:rsid w:val="497C0C22"/>
    <w:rsid w:val="49D62A28"/>
    <w:rsid w:val="4A9C1907"/>
    <w:rsid w:val="4AF97CB6"/>
    <w:rsid w:val="4B2E7515"/>
    <w:rsid w:val="4B6C4CC7"/>
    <w:rsid w:val="4BCB40E3"/>
    <w:rsid w:val="4BE5617B"/>
    <w:rsid w:val="4C4E25AC"/>
    <w:rsid w:val="4CA330E7"/>
    <w:rsid w:val="4CB07713"/>
    <w:rsid w:val="4CCD0706"/>
    <w:rsid w:val="4CF5766A"/>
    <w:rsid w:val="4CF87DD7"/>
    <w:rsid w:val="4DE84AD8"/>
    <w:rsid w:val="4E70527E"/>
    <w:rsid w:val="4E9B4F76"/>
    <w:rsid w:val="4EA10947"/>
    <w:rsid w:val="4F700B2E"/>
    <w:rsid w:val="4F7248ED"/>
    <w:rsid w:val="51120D76"/>
    <w:rsid w:val="51D10F25"/>
    <w:rsid w:val="526206FA"/>
    <w:rsid w:val="528E29ED"/>
    <w:rsid w:val="52901F11"/>
    <w:rsid w:val="529B480F"/>
    <w:rsid w:val="52F83F51"/>
    <w:rsid w:val="530C74BB"/>
    <w:rsid w:val="53121B8E"/>
    <w:rsid w:val="5325232B"/>
    <w:rsid w:val="53642E53"/>
    <w:rsid w:val="53C47D96"/>
    <w:rsid w:val="54A86D6F"/>
    <w:rsid w:val="54B6171E"/>
    <w:rsid w:val="55706356"/>
    <w:rsid w:val="55D30AF4"/>
    <w:rsid w:val="565F4ABA"/>
    <w:rsid w:val="568961D0"/>
    <w:rsid w:val="569E0C7F"/>
    <w:rsid w:val="5733709E"/>
    <w:rsid w:val="574A05B2"/>
    <w:rsid w:val="574A1CB5"/>
    <w:rsid w:val="579059CE"/>
    <w:rsid w:val="57C55E8A"/>
    <w:rsid w:val="57F66416"/>
    <w:rsid w:val="588E1CB9"/>
    <w:rsid w:val="58937570"/>
    <w:rsid w:val="58A34853"/>
    <w:rsid w:val="58DF2F7C"/>
    <w:rsid w:val="59E167D6"/>
    <w:rsid w:val="5A183E5F"/>
    <w:rsid w:val="5AF8598C"/>
    <w:rsid w:val="5B1213E7"/>
    <w:rsid w:val="5B231A45"/>
    <w:rsid w:val="5BB3149D"/>
    <w:rsid w:val="5BCD68D8"/>
    <w:rsid w:val="5C594DF3"/>
    <w:rsid w:val="5C6202FE"/>
    <w:rsid w:val="5D0766E2"/>
    <w:rsid w:val="5D5B20F3"/>
    <w:rsid w:val="5D5F7676"/>
    <w:rsid w:val="5DAB3A7E"/>
    <w:rsid w:val="5DC46F3E"/>
    <w:rsid w:val="5E525F9E"/>
    <w:rsid w:val="5E58282F"/>
    <w:rsid w:val="5E9216C5"/>
    <w:rsid w:val="5EC23ABB"/>
    <w:rsid w:val="5ECC67C9"/>
    <w:rsid w:val="5ECE1AC8"/>
    <w:rsid w:val="5F075202"/>
    <w:rsid w:val="5F571ABE"/>
    <w:rsid w:val="5FA31F5D"/>
    <w:rsid w:val="5FF852C4"/>
    <w:rsid w:val="601259E5"/>
    <w:rsid w:val="60235E44"/>
    <w:rsid w:val="60550A88"/>
    <w:rsid w:val="608D6F8C"/>
    <w:rsid w:val="60A54AAB"/>
    <w:rsid w:val="60B06A3A"/>
    <w:rsid w:val="60B76E61"/>
    <w:rsid w:val="60C8402D"/>
    <w:rsid w:val="616C4593"/>
    <w:rsid w:val="62031A89"/>
    <w:rsid w:val="62061579"/>
    <w:rsid w:val="621C6FEF"/>
    <w:rsid w:val="62E775FD"/>
    <w:rsid w:val="62EA49F7"/>
    <w:rsid w:val="632B10D4"/>
    <w:rsid w:val="633B400F"/>
    <w:rsid w:val="634001E3"/>
    <w:rsid w:val="63634DBE"/>
    <w:rsid w:val="645962D8"/>
    <w:rsid w:val="64942E0C"/>
    <w:rsid w:val="64A71E2E"/>
    <w:rsid w:val="64D866AD"/>
    <w:rsid w:val="65533C9A"/>
    <w:rsid w:val="65683BA3"/>
    <w:rsid w:val="65D900EA"/>
    <w:rsid w:val="66A90E26"/>
    <w:rsid w:val="68332C5A"/>
    <w:rsid w:val="690B6A33"/>
    <w:rsid w:val="69180DAB"/>
    <w:rsid w:val="6ADF1456"/>
    <w:rsid w:val="6B0F149F"/>
    <w:rsid w:val="6B1D49E9"/>
    <w:rsid w:val="6C663340"/>
    <w:rsid w:val="6CCA5F8C"/>
    <w:rsid w:val="6D5D0BE7"/>
    <w:rsid w:val="6D61071B"/>
    <w:rsid w:val="6D9863E0"/>
    <w:rsid w:val="6E42305D"/>
    <w:rsid w:val="6F286276"/>
    <w:rsid w:val="6F413BF1"/>
    <w:rsid w:val="6F433E0D"/>
    <w:rsid w:val="6F490CF7"/>
    <w:rsid w:val="6F491DD6"/>
    <w:rsid w:val="6FC54822"/>
    <w:rsid w:val="6FD21F6F"/>
    <w:rsid w:val="70301438"/>
    <w:rsid w:val="70CC398E"/>
    <w:rsid w:val="70EF3AEB"/>
    <w:rsid w:val="71266A01"/>
    <w:rsid w:val="71453E53"/>
    <w:rsid w:val="716D2988"/>
    <w:rsid w:val="72801080"/>
    <w:rsid w:val="72A262B6"/>
    <w:rsid w:val="72C74D55"/>
    <w:rsid w:val="72C87D81"/>
    <w:rsid w:val="72CD743C"/>
    <w:rsid w:val="735A02FF"/>
    <w:rsid w:val="73644F94"/>
    <w:rsid w:val="739E1612"/>
    <w:rsid w:val="7444712D"/>
    <w:rsid w:val="74F160B9"/>
    <w:rsid w:val="76790114"/>
    <w:rsid w:val="767A253F"/>
    <w:rsid w:val="76E23F0B"/>
    <w:rsid w:val="77D2097C"/>
    <w:rsid w:val="78281DF2"/>
    <w:rsid w:val="785C061A"/>
    <w:rsid w:val="78743289"/>
    <w:rsid w:val="79060450"/>
    <w:rsid w:val="7932248D"/>
    <w:rsid w:val="79366790"/>
    <w:rsid w:val="795D7670"/>
    <w:rsid w:val="79E077E8"/>
    <w:rsid w:val="7A1F4110"/>
    <w:rsid w:val="7A416DDF"/>
    <w:rsid w:val="7A6D7F90"/>
    <w:rsid w:val="7A97325F"/>
    <w:rsid w:val="7B086CAC"/>
    <w:rsid w:val="7BBC35D3"/>
    <w:rsid w:val="7C023E77"/>
    <w:rsid w:val="7C232FFC"/>
    <w:rsid w:val="7C2F1A08"/>
    <w:rsid w:val="7C5A2D02"/>
    <w:rsid w:val="7C8415C1"/>
    <w:rsid w:val="7DDD71DA"/>
    <w:rsid w:val="7E114FDF"/>
    <w:rsid w:val="7E171E3C"/>
    <w:rsid w:val="7E3E26F6"/>
    <w:rsid w:val="7F51685D"/>
    <w:rsid w:val="7F8C2C66"/>
    <w:rsid w:val="7F945FBF"/>
    <w:rsid w:val="7FAE00C1"/>
    <w:rsid w:val="FED6F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widowControl w:val="0"/>
      <w:tabs>
        <w:tab w:val="left" w:pos="840"/>
      </w:tabs>
      <w:adjustRightInd w:val="0"/>
      <w:snapToGrid w:val="0"/>
      <w:spacing w:line="360" w:lineRule="auto"/>
      <w:jc w:val="both"/>
      <w:outlineLvl w:val="0"/>
    </w:pPr>
    <w:rPr>
      <w:rFonts w:ascii="宋体" w:hAnsi="宋体"/>
      <w:b/>
      <w:kern w:val="44"/>
      <w:sz w:val="24"/>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line="460" w:lineRule="exact"/>
    </w:pPr>
    <w:rPr>
      <w:rFonts w:ascii="宋体" w:hAnsi="宋体" w:eastAsia="宋体"/>
      <w:sz w:val="21"/>
    </w:rPr>
  </w:style>
  <w:style w:type="paragraph" w:customStyle="1" w:styleId="3">
    <w:name w:val="Default"/>
    <w:next w:val="1"/>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styleId="5">
    <w:name w:val="Normal Indent"/>
    <w:basedOn w:val="1"/>
    <w:qFormat/>
    <w:uiPriority w:val="0"/>
    <w:pPr>
      <w:widowControl w:val="0"/>
      <w:ind w:firstLine="420"/>
      <w:jc w:val="both"/>
    </w:pPr>
    <w:rPr>
      <w:kern w:val="2"/>
    </w:rPr>
  </w:style>
  <w:style w:type="paragraph" w:styleId="6">
    <w:name w:val="annotation text"/>
    <w:basedOn w:val="1"/>
    <w:qFormat/>
    <w:uiPriority w:val="99"/>
  </w:style>
  <w:style w:type="paragraph" w:styleId="7">
    <w:name w:val="toc 5"/>
    <w:basedOn w:val="1"/>
    <w:next w:val="1"/>
    <w:qFormat/>
    <w:uiPriority w:val="0"/>
    <w:pPr>
      <w:ind w:left="840"/>
      <w:jc w:val="left"/>
    </w:pPr>
    <w:rPr>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正文内容"/>
    <w:basedOn w:val="13"/>
    <w:qFormat/>
    <w:uiPriority w:val="0"/>
    <w:pPr>
      <w:widowControl w:val="0"/>
      <w:tabs>
        <w:tab w:val="decimal" w:pos="315"/>
        <w:tab w:val="left" w:pos="630"/>
      </w:tabs>
      <w:spacing w:beforeLines="50" w:beforeAutospacing="0" w:afterLines="50" w:afterAutospacing="0" w:line="360" w:lineRule="auto"/>
      <w:ind w:firstLine="480" w:firstLineChars="200"/>
      <w:jc w:val="both"/>
    </w:pPr>
    <w:rPr>
      <w:rFonts w:ascii="Times New Roman" w:hAnsi="Times New Roman" w:cs="Times New Roman"/>
      <w:b w:val="0"/>
      <w:bCs w:val="0"/>
      <w:sz w:val="24"/>
      <w:szCs w:val="20"/>
    </w:rPr>
  </w:style>
  <w:style w:type="paragraph" w:customStyle="1" w:styleId="13">
    <w:name w:val="xl1789"/>
    <w:basedOn w:val="1"/>
    <w:qFormat/>
    <w:uiPriority w:val="0"/>
    <w:pPr>
      <w:widowControl/>
      <w:tabs>
        <w:tab w:val="decimal" w:pos="315"/>
        <w:tab w:val="left" w:pos="630"/>
      </w:tabs>
      <w:spacing w:before="100" w:beforeAutospacing="1" w:after="100" w:afterAutospacing="1"/>
      <w:jc w:val="center"/>
    </w:pPr>
    <w:rPr>
      <w:rFonts w:ascii="宋体" w:hAnsi="宋体" w:cs="宋体"/>
      <w:b/>
      <w:bCs/>
      <w:kern w:val="0"/>
      <w:sz w:val="36"/>
      <w:szCs w:val="36"/>
    </w:rPr>
  </w:style>
  <w:style w:type="paragraph" w:customStyle="1" w:styleId="14">
    <w:name w:val="表格文字"/>
    <w:basedOn w:val="1"/>
    <w:qFormat/>
    <w:uiPriority w:val="0"/>
    <w:pPr>
      <w:spacing w:before="25" w:beforeLines="0" w:after="25" w:afterLines="0" w:line="240" w:lineRule="auto"/>
      <w:ind w:firstLine="0"/>
      <w:jc w:val="left"/>
    </w:pPr>
    <w:rPr>
      <w:bCs/>
      <w:spacing w:val="10"/>
      <w:kern w:val="0"/>
      <w:sz w:val="24"/>
    </w:rPr>
  </w:style>
  <w:style w:type="paragraph" w:customStyle="1" w:styleId="15">
    <w:name w:val="正文缩进2格"/>
    <w:basedOn w:val="1"/>
    <w:qFormat/>
    <w:uiPriority w:val="0"/>
    <w:pPr>
      <w:widowControl w:val="0"/>
      <w:spacing w:line="600" w:lineRule="exact"/>
      <w:ind w:firstLine="639" w:firstLineChars="206"/>
      <w:jc w:val="both"/>
    </w:pPr>
    <w:rPr>
      <w:rFonts w:ascii="仿宋_GB2312" w:hAnsi="宋体" w:eastAsia="仿宋_GB2312"/>
      <w:kern w:val="2"/>
      <w:sz w:val="3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2195</Words>
  <Characters>2247</Characters>
  <Lines>0</Lines>
  <Paragraphs>0</Paragraphs>
  <ScaleCrop>false</ScaleCrop>
  <LinksUpToDate>false</LinksUpToDate>
  <CharactersWithSpaces>2270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2024-07-26T16:44:00Z</dcterms:created>
  <dc:creator>Administrator</dc:creator>
  <cp:lastModifiedBy>赖宇娟</cp:lastModifiedBy>
  <dcterms:modified xsi:type="dcterms:W3CDTF">2026-07-29T01:53:35Z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1856E641A4EA4A00B0AD360970377F48_13</vt:lpwstr>
  </property>
  <property fmtid="{D5CDD505-2E9C-101B-9397-08002B2CF9AE}" pid="4" name="KSOTemplateDocerSaveRecord">
    <vt:lpwstr>eyJoZGlkIjoiOGE1OWIzMTdiOTZlMzg4ZmRhNTc5OWI2NDdkMGIzOWEiLCJ1c2VySWQiOiIzMTgzMjMzNzQifQ==</vt:lpwstr>
  </property>
</Properties>
</file>