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left"/>
        <w:rPr>
          <w:bCs/>
          <w:sz w:val="24"/>
        </w:rPr>
      </w:pPr>
      <w:r>
        <w:rPr>
          <w:rFonts w:hint="eastAsia"/>
          <w:bCs/>
          <w:sz w:val="24"/>
        </w:rPr>
        <w:t xml:space="preserve">附件1：              </w:t>
      </w:r>
    </w:p>
    <w:p>
      <w:pPr>
        <w:spacing w:line="480" w:lineRule="auto"/>
        <w:jc w:val="center"/>
        <w:rPr>
          <w:rFonts w:hint="eastAsia"/>
          <w:b/>
          <w:sz w:val="28"/>
          <w:szCs w:val="28"/>
        </w:rPr>
      </w:pPr>
      <w:r>
        <w:rPr>
          <w:rFonts w:hint="eastAsia"/>
          <w:b/>
          <w:sz w:val="36"/>
          <w:szCs w:val="36"/>
        </w:rPr>
        <w:t>用户需求书</w:t>
      </w:r>
      <w:bookmarkStart w:id="0" w:name="_Toc37670349"/>
      <w:bookmarkStart w:id="1" w:name="_Toc113157418"/>
      <w:bookmarkStart w:id="2" w:name="_Toc49329249"/>
      <w:bookmarkStart w:id="3" w:name="_Toc78604590"/>
    </w:p>
    <w:bookmarkEnd w:id="0"/>
    <w:bookmarkEnd w:id="1"/>
    <w:bookmarkEnd w:id="2"/>
    <w:bookmarkEnd w:id="3"/>
    <w:p>
      <w:pPr>
        <w:pStyle w:val="17"/>
        <w:spacing w:line="360" w:lineRule="exact"/>
        <w:ind w:firstLine="422"/>
        <w:rPr>
          <w:rFonts w:hint="eastAsia" w:ascii="宋体" w:hAnsi="宋体" w:cs="宋体"/>
          <w:b/>
          <w:sz w:val="21"/>
          <w:szCs w:val="21"/>
        </w:rPr>
      </w:pPr>
      <w:r>
        <w:rPr>
          <w:rFonts w:hint="eastAsia" w:ascii="宋体" w:hAnsi="宋体" w:cs="宋体"/>
          <w:b/>
          <w:sz w:val="21"/>
          <w:szCs w:val="21"/>
        </w:rPr>
        <w:t>总则</w:t>
      </w:r>
    </w:p>
    <w:p>
      <w:pPr>
        <w:pStyle w:val="17"/>
        <w:spacing w:line="360" w:lineRule="exact"/>
        <w:ind w:firstLine="420"/>
        <w:rPr>
          <w:rFonts w:hint="eastAsia" w:ascii="宋体" w:hAnsi="宋体" w:cs="宋体"/>
          <w:sz w:val="21"/>
          <w:szCs w:val="21"/>
        </w:rPr>
      </w:pPr>
      <w:r>
        <w:rPr>
          <w:rFonts w:hint="eastAsia" w:ascii="宋体" w:hAnsi="宋体" w:cs="宋体"/>
          <w:sz w:val="21"/>
          <w:szCs w:val="21"/>
        </w:rPr>
        <w:t>1、成交供应商必须按国家、行业的标准及采购文件的要求对本项目提供相应的货物及服务。</w:t>
      </w:r>
    </w:p>
    <w:p>
      <w:pPr>
        <w:pStyle w:val="17"/>
        <w:spacing w:line="360" w:lineRule="exact"/>
        <w:ind w:firstLine="420"/>
        <w:rPr>
          <w:rFonts w:hint="eastAsia" w:ascii="宋体" w:hAnsi="宋体" w:cs="宋体"/>
          <w:sz w:val="21"/>
          <w:szCs w:val="21"/>
        </w:rPr>
      </w:pPr>
      <w:r>
        <w:rPr>
          <w:rFonts w:hint="eastAsia" w:ascii="宋体" w:hAnsi="宋体" w:cs="宋体"/>
          <w:sz w:val="21"/>
          <w:szCs w:val="21"/>
        </w:rPr>
        <w:t>2、《用户需求书》中凡有“★”标识的内容条款(如有)被视为实质性响应项目、指标；响应供应商必须对此做出回答并完全满足这些要求不可以出现任何负偏离，如果出现负偏离将被视为无效响应。凡有“▲”的内容（如有）为重点评审项目，供应商必须对该标识项目按照要求进行真实应答描述。</w:t>
      </w:r>
    </w:p>
    <w:p>
      <w:pPr>
        <w:pStyle w:val="17"/>
        <w:spacing w:line="360" w:lineRule="exact"/>
        <w:ind w:firstLine="420"/>
        <w:rPr>
          <w:rFonts w:hint="eastAsia" w:ascii="宋体" w:hAnsi="宋体" w:cs="宋体"/>
          <w:sz w:val="21"/>
          <w:szCs w:val="21"/>
        </w:rPr>
      </w:pPr>
      <w:r>
        <w:rPr>
          <w:rFonts w:hint="eastAsia" w:ascii="宋体" w:hAnsi="宋体" w:cs="宋体"/>
          <w:sz w:val="21"/>
          <w:szCs w:val="21"/>
        </w:rPr>
        <w:t>3、本项目由成交供应商负责采购文件对成交供应商要求的一切事宜及责任。响应报价中不得包含采购文件要求以外的内容，否则，在评审时不予核减；若响应报价有缺漏项的，缺漏项部分的价格视为已包含在响应报价中，成交后不作任何调整，采购人将不再支付任何费用。</w:t>
      </w:r>
    </w:p>
    <w:p>
      <w:pPr>
        <w:pStyle w:val="17"/>
        <w:rPr>
          <w:rFonts w:hint="eastAsia" w:ascii="宋体" w:hAnsi="宋体" w:eastAsia="宋体" w:cs="宋体"/>
          <w:sz w:val="21"/>
          <w:szCs w:val="21"/>
        </w:rPr>
      </w:pPr>
      <w:r>
        <w:rPr>
          <w:rFonts w:hint="eastAsia" w:ascii="宋体" w:hAnsi="宋体" w:eastAsia="宋体" w:cs="宋体"/>
          <w:sz w:val="21"/>
          <w:szCs w:val="21"/>
        </w:rPr>
        <w:t>4、本项目不允许提交备选方案，不允许联合体响应、转包或分包。</w:t>
      </w:r>
    </w:p>
    <w:p>
      <w:pPr>
        <w:pStyle w:val="17"/>
        <w:ind w:firstLine="482"/>
        <w:rPr>
          <w:rFonts w:hint="eastAsia" w:cs="Times New Roman"/>
          <w:b/>
          <w:color w:val="000000"/>
          <w:highlight w:val="none"/>
          <w:lang w:val="en-US" w:eastAsia="zh-CN"/>
        </w:rPr>
      </w:pPr>
    </w:p>
    <w:p>
      <w:pPr>
        <w:pStyle w:val="17"/>
        <w:ind w:firstLine="482"/>
        <w:rPr>
          <w:rFonts w:hint="eastAsia" w:eastAsia="宋体" w:cs="Times New Roman"/>
          <w:b/>
          <w:color w:val="000000"/>
          <w:highlight w:val="none"/>
          <w:lang w:val="en-US" w:eastAsia="zh-CN"/>
        </w:rPr>
      </w:pPr>
      <w:r>
        <w:rPr>
          <w:rFonts w:hint="eastAsia" w:cs="Times New Roman"/>
          <w:b/>
          <w:color w:val="000000"/>
          <w:highlight w:val="none"/>
          <w:lang w:val="en-US" w:eastAsia="zh-CN"/>
        </w:rPr>
        <w:t>一、项目基本情况</w:t>
      </w:r>
    </w:p>
    <w:p>
      <w:pPr>
        <w:pStyle w:val="17"/>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（一）项目名称：中山市黄圃人民医院</w:t>
      </w:r>
      <w:r>
        <w:rPr>
          <w:rFonts w:hint="eastAsia" w:ascii="宋体" w:hAnsi="宋体" w:cs="宋体"/>
          <w:sz w:val="21"/>
          <w:szCs w:val="21"/>
          <w:lang w:val="en-US" w:eastAsia="zh-CN"/>
        </w:rPr>
        <w:t>特种设备维保服务</w:t>
      </w:r>
      <w:r>
        <w:rPr>
          <w:rFonts w:hint="eastAsia" w:ascii="宋体" w:hAnsi="宋体" w:eastAsia="宋体" w:cs="宋体"/>
          <w:sz w:val="21"/>
          <w:szCs w:val="21"/>
          <w:lang w:val="en-US" w:eastAsia="zh-CN"/>
        </w:rPr>
        <w:t>采购项目</w:t>
      </w:r>
      <w:r>
        <w:rPr>
          <w:rFonts w:hint="eastAsia" w:ascii="宋体" w:hAnsi="宋体" w:cs="宋体"/>
          <w:sz w:val="21"/>
          <w:szCs w:val="21"/>
          <w:lang w:val="en-US" w:eastAsia="zh-CN"/>
        </w:rPr>
        <w:t>。</w:t>
      </w:r>
    </w:p>
    <w:p>
      <w:pPr>
        <w:pStyle w:val="17"/>
        <w:rPr>
          <w:rFonts w:hint="eastAsia" w:ascii="宋体" w:hAnsi="Times New Roman" w:eastAsia="宋体" w:cs="Tahoma"/>
          <w:color w:val="000000"/>
          <w:kern w:val="28"/>
          <w:sz w:val="21"/>
          <w:szCs w:val="21"/>
          <w:highlight w:val="none"/>
          <w:lang w:val="en-US" w:eastAsia="zh-CN" w:bidi="ar-SA"/>
        </w:rPr>
      </w:pPr>
      <w:r>
        <w:rPr>
          <w:rFonts w:hint="eastAsia" w:ascii="宋体" w:hAnsi="宋体" w:eastAsia="宋体" w:cs="宋体"/>
          <w:sz w:val="21"/>
          <w:szCs w:val="21"/>
          <w:lang w:val="en-US" w:eastAsia="zh-CN"/>
        </w:rPr>
        <w:t>（二）项目编号：</w:t>
      </w:r>
      <w:r>
        <w:rPr>
          <w:rFonts w:hint="eastAsia" w:ascii="宋体" w:hAnsi="Times New Roman" w:eastAsia="宋体" w:cs="Tahoma"/>
          <w:color w:val="000000"/>
          <w:kern w:val="28"/>
          <w:sz w:val="21"/>
          <w:szCs w:val="21"/>
          <w:highlight w:val="none"/>
          <w:lang w:val="en-US" w:eastAsia="zh-CN" w:bidi="ar-SA"/>
        </w:rPr>
        <w:t>PYCG-SB-202607-1</w:t>
      </w:r>
      <w:r>
        <w:rPr>
          <w:rFonts w:hint="eastAsia" w:ascii="宋体" w:cs="Tahoma"/>
          <w:color w:val="000000"/>
          <w:kern w:val="28"/>
          <w:sz w:val="21"/>
          <w:szCs w:val="21"/>
          <w:highlight w:val="none"/>
          <w:lang w:val="en-US" w:eastAsia="zh-CN" w:bidi="ar-SA"/>
        </w:rPr>
        <w:t>3</w:t>
      </w:r>
      <w:r>
        <w:rPr>
          <w:rFonts w:hint="eastAsia" w:ascii="宋体" w:hAnsi="Times New Roman" w:eastAsia="宋体" w:cs="Tahoma"/>
          <w:color w:val="000000"/>
          <w:kern w:val="28"/>
          <w:sz w:val="21"/>
          <w:szCs w:val="21"/>
          <w:highlight w:val="none"/>
          <w:lang w:val="en-US" w:eastAsia="zh-CN" w:bidi="ar-SA"/>
        </w:rPr>
        <w:t>。</w:t>
      </w:r>
    </w:p>
    <w:p>
      <w:pPr>
        <w:pStyle w:val="17"/>
        <w:rPr>
          <w:rFonts w:hint="default" w:ascii="宋体" w:cs="Tahoma"/>
          <w:color w:val="000000"/>
          <w:kern w:val="28"/>
          <w:sz w:val="21"/>
          <w:szCs w:val="21"/>
          <w:highlight w:val="none"/>
          <w:lang w:val="en-US" w:eastAsia="zh-CN" w:bidi="ar-SA"/>
        </w:rPr>
      </w:pPr>
      <w:r>
        <w:rPr>
          <w:rFonts w:hint="eastAsia" w:ascii="宋体" w:cs="Tahoma"/>
          <w:color w:val="000000"/>
          <w:kern w:val="28"/>
          <w:sz w:val="21"/>
          <w:szCs w:val="21"/>
          <w:highlight w:val="none"/>
          <w:lang w:val="en-US" w:eastAsia="zh-CN" w:bidi="ar-SA"/>
        </w:rPr>
        <w:t>（三）预算金额：43500元。</w:t>
      </w:r>
      <w:r>
        <w:rPr>
          <w:rFonts w:hint="eastAsia" w:ascii="宋体" w:cs="Tahoma"/>
          <w:b/>
          <w:bCs/>
          <w:color w:val="000000"/>
          <w:kern w:val="28"/>
          <w:sz w:val="21"/>
          <w:szCs w:val="21"/>
          <w:highlight w:val="none"/>
          <w:lang w:val="en-US" w:eastAsia="zh-CN" w:bidi="ar-SA"/>
        </w:rPr>
        <w:t>（如响应报价超出规定的采购预算，将导致响应无效）</w:t>
      </w:r>
    </w:p>
    <w:p>
      <w:pPr>
        <w:pStyle w:val="17"/>
        <w:rPr>
          <w:rFonts w:hint="eastAsia" w:ascii="宋体" w:hAnsi="Times New Roman" w:eastAsia="宋体" w:cs="Tahoma"/>
          <w:color w:val="000000"/>
          <w:kern w:val="28"/>
          <w:sz w:val="21"/>
          <w:szCs w:val="21"/>
          <w:highlight w:val="none"/>
          <w:lang w:val="en-US" w:eastAsia="zh-CN" w:bidi="ar-SA"/>
        </w:rPr>
      </w:pPr>
      <w:r>
        <w:rPr>
          <w:rFonts w:hint="eastAsia" w:ascii="宋体" w:hAnsi="宋体" w:cs="宋体"/>
          <w:sz w:val="21"/>
          <w:szCs w:val="21"/>
          <w:lang w:val="en-US" w:eastAsia="zh-CN"/>
        </w:rPr>
        <w:t>（四）维保期限：1年</w:t>
      </w:r>
    </w:p>
    <w:p>
      <w:pPr>
        <w:pStyle w:val="17"/>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五</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维保</w:t>
      </w:r>
      <w:r>
        <w:rPr>
          <w:rFonts w:hint="eastAsia" w:ascii="宋体" w:hAnsi="宋体" w:eastAsia="宋体" w:cs="宋体"/>
          <w:sz w:val="21"/>
          <w:szCs w:val="21"/>
          <w:lang w:val="en-US" w:eastAsia="zh-CN"/>
        </w:rPr>
        <w:t>清单：</w:t>
      </w:r>
    </w:p>
    <w:tbl>
      <w:tblPr>
        <w:tblStyle w:val="15"/>
        <w:tblW w:w="82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125"/>
        <w:gridCol w:w="1417"/>
        <w:gridCol w:w="2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947" w:type="dxa"/>
            <w:vAlign w:val="center"/>
          </w:tcPr>
          <w:p>
            <w:pPr>
              <w:pStyle w:val="17"/>
              <w:ind w:left="0" w:leftChars="0" w:firstLine="0" w:firstLineChars="0"/>
              <w:jc w:val="center"/>
              <w:rPr>
                <w:rFonts w:hint="eastAsia" w:ascii="宋体" w:hAnsi="宋体" w:cs="宋体"/>
                <w:b/>
                <w:bCs/>
                <w:sz w:val="21"/>
                <w:szCs w:val="21"/>
                <w:vertAlign w:val="baseline"/>
                <w:lang w:val="en-US" w:eastAsia="zh-CN"/>
              </w:rPr>
            </w:pPr>
            <w:r>
              <w:rPr>
                <w:rFonts w:hint="eastAsia" w:ascii="宋体" w:hAnsi="宋体" w:cs="宋体"/>
                <w:b/>
                <w:bCs/>
                <w:sz w:val="21"/>
                <w:szCs w:val="21"/>
                <w:vertAlign w:val="baseline"/>
                <w:lang w:val="en-US" w:eastAsia="zh-CN"/>
              </w:rPr>
              <w:t>序号</w:t>
            </w:r>
          </w:p>
        </w:tc>
        <w:tc>
          <w:tcPr>
            <w:tcW w:w="3125" w:type="dxa"/>
            <w:vAlign w:val="center"/>
          </w:tcPr>
          <w:p>
            <w:pPr>
              <w:pStyle w:val="17"/>
              <w:ind w:left="0" w:lef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设备名称</w:t>
            </w:r>
          </w:p>
        </w:tc>
        <w:tc>
          <w:tcPr>
            <w:tcW w:w="1417" w:type="dxa"/>
            <w:vAlign w:val="center"/>
          </w:tcPr>
          <w:p>
            <w:pPr>
              <w:widowControl/>
              <w:spacing w:line="400" w:lineRule="exact"/>
              <w:jc w:val="center"/>
              <w:textAlignment w:val="bottom"/>
              <w:rPr>
                <w:rFonts w:hint="eastAsia" w:ascii="宋体" w:hAnsi="宋体" w:eastAsia="宋体" w:cs="宋体"/>
                <w:b/>
                <w:bCs/>
                <w:sz w:val="21"/>
                <w:szCs w:val="21"/>
                <w:vertAlign w:val="baseline"/>
                <w:lang w:val="en-US" w:eastAsia="zh-CN"/>
              </w:rPr>
            </w:pPr>
            <w:r>
              <w:rPr>
                <w:rFonts w:hint="eastAsia" w:ascii="宋体" w:hAnsi="宋体" w:cs="宋体"/>
                <w:b/>
                <w:color w:val="000000"/>
                <w:kern w:val="0"/>
                <w:sz w:val="24"/>
                <w:lang w:bidi="ar"/>
              </w:rPr>
              <w:t>科室</w:t>
            </w:r>
          </w:p>
        </w:tc>
        <w:tc>
          <w:tcPr>
            <w:tcW w:w="2728" w:type="dxa"/>
            <w:vAlign w:val="center"/>
          </w:tcPr>
          <w:p>
            <w:pPr>
              <w:widowControl/>
              <w:spacing w:line="400" w:lineRule="exact"/>
              <w:jc w:val="center"/>
              <w:textAlignment w:val="bottom"/>
              <w:rPr>
                <w:rFonts w:hint="eastAsia" w:ascii="宋体" w:hAnsi="宋体" w:eastAsia="宋体" w:cs="宋体"/>
                <w:b/>
                <w:bCs/>
                <w:sz w:val="21"/>
                <w:szCs w:val="21"/>
                <w:vertAlign w:val="baseline"/>
                <w:lang w:val="en-US" w:eastAsia="zh-CN"/>
              </w:rPr>
            </w:pPr>
            <w:r>
              <w:rPr>
                <w:rFonts w:hint="eastAsia" w:ascii="宋体" w:hAnsi="宋体" w:cs="宋体"/>
                <w:b/>
                <w:color w:val="000000"/>
                <w:kern w:val="0"/>
                <w:sz w:val="24"/>
                <w:lang w:bidi="ar"/>
              </w:rPr>
              <w:t>使用证号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3125"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提取罐</w:t>
            </w:r>
          </w:p>
        </w:tc>
        <w:tc>
          <w:tcPr>
            <w:tcW w:w="1417"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夹层锅</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夹层锅</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可倾式蒸汽夹层锅</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储气罐</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cs="宋体"/>
                <w:i w:val="0"/>
                <w:iCs w:val="0"/>
                <w:color w:val="000000"/>
                <w:kern w:val="0"/>
                <w:sz w:val="22"/>
                <w:szCs w:val="22"/>
                <w:u w:val="none"/>
                <w:lang w:val="en-US" w:eastAsia="zh-CN" w:bidi="ar"/>
              </w:rPr>
              <w:t>正压机房</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容17粤TO0988(18)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储气罐</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cs="宋体"/>
                <w:i w:val="0"/>
                <w:iCs w:val="0"/>
                <w:color w:val="000000"/>
                <w:kern w:val="0"/>
                <w:sz w:val="22"/>
                <w:szCs w:val="22"/>
                <w:u w:val="none"/>
                <w:lang w:val="en-US" w:eastAsia="zh-CN" w:bidi="ar"/>
              </w:rPr>
              <w:t>正压机房</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容17粤TO0987(18)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提取器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立式压力蒸汽灭菌筒</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容17粤T1141(14)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9</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脉动真空灭菌器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供应室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10</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灭菌器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供应室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容17粤TO2707(19)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11</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卧式矩形压力蒸汽灭菌器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电热蒸汽发生器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供应室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13</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球形浓缩罐</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配液罐</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立式压力蒸汽灭菌器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容17粤T5922(18)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配液罐</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卧式矩形压力蒸汽灭菌器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夹层锅</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容17粤T1074(14)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GI80灭菌容器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病理科</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容17粤TO5316(20)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GI80灭菌容器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检验科</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容17粤T01603(24)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GR85-D灭菌容器</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检验科</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容17粤T00204（25）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电加热锅炉</w:t>
            </w:r>
          </w:p>
        </w:tc>
        <w:tc>
          <w:tcPr>
            <w:tcW w:w="1417" w:type="dxa"/>
            <w:vAlign w:val="center"/>
          </w:tcPr>
          <w:p>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锅12粤T00142（19）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947" w:type="dxa"/>
            <w:vAlign w:val="center"/>
          </w:tcPr>
          <w:p>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3125"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电加热锅炉</w:t>
            </w:r>
          </w:p>
        </w:tc>
        <w:tc>
          <w:tcPr>
            <w:tcW w:w="1417"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制剂室</w:t>
            </w:r>
          </w:p>
        </w:tc>
        <w:tc>
          <w:tcPr>
            <w:tcW w:w="2728" w:type="dxa"/>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锅12粤T00143（19）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47" w:type="dxa"/>
            <w:shd w:val="clear" w:color="auto" w:fill="auto"/>
            <w:vAlign w:val="center"/>
          </w:tcPr>
          <w:p>
            <w:pPr>
              <w:keepNext w:val="0"/>
              <w:keepLines w:val="0"/>
              <w:widowControl/>
              <w:suppressLineNumbers w:val="0"/>
              <w:spacing w:line="400" w:lineRule="exact"/>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3125" w:type="dxa"/>
            <w:shd w:val="clear" w:color="auto" w:fill="auto"/>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4升氧气瓶安全阀约120个</w:t>
            </w:r>
          </w:p>
        </w:tc>
        <w:tc>
          <w:tcPr>
            <w:tcW w:w="1417" w:type="dxa"/>
            <w:shd w:val="clear" w:color="auto" w:fill="auto"/>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临床各科</w:t>
            </w:r>
          </w:p>
        </w:tc>
        <w:tc>
          <w:tcPr>
            <w:tcW w:w="2728" w:type="dxa"/>
            <w:shd w:val="clear" w:color="auto" w:fill="auto"/>
            <w:vAlign w:val="center"/>
          </w:tcPr>
          <w:p>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w:t>
            </w:r>
          </w:p>
        </w:tc>
      </w:tr>
    </w:tbl>
    <w:p>
      <w:pPr>
        <w:pStyle w:val="17"/>
        <w:rPr>
          <w:rFonts w:hint="default" w:ascii="宋体" w:hAnsi="宋体" w:eastAsia="宋体" w:cs="宋体"/>
          <w:sz w:val="21"/>
          <w:szCs w:val="21"/>
          <w:lang w:val="en-US" w:eastAsia="zh-CN"/>
        </w:rPr>
      </w:pPr>
    </w:p>
    <w:p>
      <w:pPr>
        <w:pStyle w:val="17"/>
        <w:ind w:firstLine="482"/>
        <w:rPr>
          <w:rFonts w:hint="eastAsia" w:eastAsia="宋体" w:cs="Times New Roman"/>
          <w:b/>
          <w:color w:val="000000"/>
          <w:highlight w:val="none"/>
          <w:lang w:val="en-US" w:eastAsia="zh-CN"/>
        </w:rPr>
      </w:pPr>
      <w:r>
        <w:rPr>
          <w:rFonts w:hint="eastAsia" w:eastAsia="宋体" w:cs="Times New Roman"/>
          <w:b/>
          <w:color w:val="000000"/>
          <w:highlight w:val="none"/>
          <w:lang w:val="en-US" w:eastAsia="zh-CN"/>
        </w:rPr>
        <w:t>二、</w:t>
      </w:r>
      <w:r>
        <w:rPr>
          <w:rFonts w:hint="eastAsia" w:cs="Times New Roman"/>
          <w:b/>
          <w:color w:val="000000"/>
          <w:highlight w:val="none"/>
          <w:lang w:val="en-US" w:eastAsia="zh-CN"/>
        </w:rPr>
        <w:t>技术及服务要求</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rPr>
        <w:t>★</w:t>
      </w:r>
      <w:r>
        <w:rPr>
          <w:rFonts w:hint="eastAsia" w:ascii="宋体" w:hAnsi="宋体" w:cs="宋体"/>
          <w:sz w:val="21"/>
          <w:szCs w:val="21"/>
          <w:lang w:val="en-US" w:eastAsia="zh-CN"/>
        </w:rPr>
        <w:t>1、服务供应商需提供全院压力容器、压力管道、锅炉等所有特种设备的维护保养服务。</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rPr>
        <w:t>★</w:t>
      </w:r>
      <w:r>
        <w:rPr>
          <w:rFonts w:hint="eastAsia" w:ascii="宋体" w:hAnsi="宋体" w:cs="宋体"/>
          <w:sz w:val="21"/>
          <w:szCs w:val="21"/>
          <w:lang w:val="en-US" w:eastAsia="zh-CN"/>
        </w:rPr>
        <w:t>2、服务供应商需提供全院压力容器、压力管道、锅炉等所有特种设备以及压力表、安全阀等计量装置的约检、送检等全部检测服务以及办证服务。</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rPr>
        <w:t>★</w:t>
      </w:r>
      <w:r>
        <w:rPr>
          <w:rFonts w:hint="eastAsia" w:ascii="宋体" w:hAnsi="宋体" w:cs="宋体"/>
          <w:sz w:val="21"/>
          <w:szCs w:val="21"/>
          <w:lang w:val="en-US" w:eastAsia="zh-CN"/>
        </w:rPr>
        <w:t>3、服务供应商需提供蒸汽管道和压缩管道的维修保养服务。</w:t>
      </w:r>
    </w:p>
    <w:p>
      <w:pPr>
        <w:pStyle w:val="17"/>
        <w:spacing w:line="360" w:lineRule="exact"/>
        <w:ind w:firstLine="420"/>
        <w:rPr>
          <w:rFonts w:hint="default" w:ascii="宋体" w:hAnsi="宋体" w:eastAsia="宋体" w:cs="宋体"/>
          <w:sz w:val="21"/>
          <w:szCs w:val="21"/>
          <w:lang w:val="en-US" w:eastAsia="zh-CN"/>
        </w:rPr>
      </w:pPr>
      <w:r>
        <w:rPr>
          <w:rFonts w:hint="eastAsia" w:ascii="宋体" w:hAnsi="宋体" w:cs="宋体"/>
          <w:sz w:val="21"/>
          <w:szCs w:val="21"/>
        </w:rPr>
        <w:t>★</w:t>
      </w:r>
      <w:r>
        <w:rPr>
          <w:rFonts w:hint="eastAsia" w:ascii="宋体" w:hAnsi="宋体" w:cs="宋体"/>
          <w:sz w:val="21"/>
          <w:szCs w:val="21"/>
          <w:lang w:val="en-US" w:eastAsia="zh-CN"/>
        </w:rPr>
        <w:t>4、服务期为：以合同约定为准。</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rPr>
        <w:t>▲</w:t>
      </w:r>
      <w:r>
        <w:rPr>
          <w:rFonts w:hint="eastAsia" w:ascii="宋体" w:hAnsi="宋体" w:cs="宋体"/>
          <w:sz w:val="21"/>
          <w:szCs w:val="21"/>
          <w:lang w:val="en-US" w:eastAsia="zh-CN"/>
        </w:rPr>
        <w:t>5、服务供应商需按照《特种设备安全监督检查办法》（国家市场监督管理总局令第57号）、《特种设备使用单位落实使用安全主体责任监督管理规定》（国家市场监督管理总局令第74号）的要求，安排专人负责每日进行设备巡检，同时每周、每月对设备进行功能检测，并出具相应检测报告以及做好巡检登记。</w:t>
      </w:r>
    </w:p>
    <w:p>
      <w:pPr>
        <w:pStyle w:val="17"/>
        <w:spacing w:line="360" w:lineRule="exact"/>
        <w:ind w:firstLine="42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cs="宋体"/>
          <w:sz w:val="21"/>
          <w:szCs w:val="21"/>
        </w:rPr>
        <w:t>★</w:t>
      </w:r>
      <w:r>
        <w:rPr>
          <w:rFonts w:hint="eastAsia" w:ascii="宋体" w:hAnsi="宋体" w:cs="宋体"/>
          <w:b w:val="0"/>
          <w:bCs w:val="0"/>
          <w:color w:val="000000" w:themeColor="text1"/>
          <w:sz w:val="21"/>
          <w:szCs w:val="21"/>
          <w:lang w:val="en-US" w:eastAsia="zh-CN"/>
          <w14:textFill>
            <w14:solidFill>
              <w14:schemeClr w14:val="tx1"/>
            </w14:solidFill>
          </w14:textFill>
        </w:rPr>
        <w:t>6、供应商须具备《特种设备生产许可证》或《特种设备安装改造修理许可证》，需提供公司作业人员的特种设备安全管理和作业人员证，需保证作业项目至少覆盖以下6项且都处于有效期内：特种设备安全管理（A）、工业锅炉司炉（G1）、锅炉水处理（G3）、快开门式压力容器操作（R1）、移动式压力容器充装（R2）、安全阀校验（F）。</w:t>
      </w:r>
      <w:r>
        <w:rPr>
          <w:rFonts w:hint="eastAsia" w:ascii="宋体" w:hAnsi="宋体" w:eastAsia="宋体" w:cs="宋体"/>
          <w:b/>
          <w:bCs/>
          <w:sz w:val="21"/>
          <w:szCs w:val="21"/>
          <w:lang w:val="en-US" w:eastAsia="zh-CN"/>
        </w:rPr>
        <w:t>（提供证书复印件</w:t>
      </w:r>
      <w:r>
        <w:rPr>
          <w:rFonts w:hint="eastAsia" w:ascii="宋体" w:hAnsi="宋体" w:cs="宋体"/>
          <w:b/>
          <w:bCs/>
          <w:sz w:val="21"/>
          <w:szCs w:val="21"/>
          <w:lang w:val="en-US" w:eastAsia="zh-CN"/>
        </w:rPr>
        <w:t>、员工在职证明</w:t>
      </w:r>
      <w:r>
        <w:rPr>
          <w:rFonts w:hint="eastAsia" w:ascii="宋体" w:hAnsi="宋体" w:eastAsia="宋体" w:cs="宋体"/>
          <w:b/>
          <w:bCs/>
          <w:sz w:val="21"/>
          <w:szCs w:val="21"/>
          <w:lang w:val="en-US" w:eastAsia="zh-CN"/>
        </w:rPr>
        <w:t>并加盖公章）</w:t>
      </w:r>
    </w:p>
    <w:p>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6</w:t>
      </w:r>
      <w:r>
        <w:rPr>
          <w:rFonts w:hint="default" w:ascii="宋体" w:hAnsi="宋体" w:cs="宋体"/>
          <w:sz w:val="21"/>
          <w:szCs w:val="21"/>
          <w:lang w:val="en-US" w:eastAsia="zh-CN"/>
        </w:rPr>
        <w:t>、派出具有资质的技术人员每月至少两次到</w:t>
      </w:r>
      <w:r>
        <w:rPr>
          <w:rFonts w:hint="eastAsia" w:ascii="宋体" w:hAnsi="宋体" w:cs="宋体"/>
          <w:sz w:val="21"/>
          <w:szCs w:val="21"/>
          <w:lang w:val="en-US" w:eastAsia="zh-CN"/>
        </w:rPr>
        <w:t>采购人</w:t>
      </w:r>
      <w:r>
        <w:rPr>
          <w:rFonts w:hint="default" w:ascii="宋体" w:hAnsi="宋体" w:cs="宋体"/>
          <w:sz w:val="21"/>
          <w:szCs w:val="21"/>
          <w:lang w:val="en-US" w:eastAsia="zh-CN"/>
        </w:rPr>
        <w:t>对锅炉容器进行安全技术检查和保养，并做好维保记录，双方签名确认。</w:t>
      </w:r>
    </w:p>
    <w:p>
      <w:pPr>
        <w:pStyle w:val="17"/>
        <w:spacing w:line="360" w:lineRule="exact"/>
        <w:ind w:firstLine="420"/>
        <w:rPr>
          <w:rFonts w:hint="eastAsia" w:ascii="宋体" w:hAnsi="宋体" w:eastAsia="宋体" w:cs="宋体"/>
          <w:b/>
          <w:bCs/>
          <w:sz w:val="21"/>
          <w:szCs w:val="21"/>
          <w:lang w:val="en-US" w:eastAsia="zh-CN"/>
        </w:rPr>
      </w:pPr>
      <w:r>
        <w:rPr>
          <w:rFonts w:hint="eastAsia" w:ascii="宋体" w:hAnsi="宋体" w:cs="宋体"/>
          <w:sz w:val="21"/>
          <w:szCs w:val="21"/>
          <w:lang w:val="en-US" w:eastAsia="zh-CN"/>
        </w:rPr>
        <w:t>7</w:t>
      </w:r>
      <w:r>
        <w:rPr>
          <w:rFonts w:hint="default" w:ascii="宋体" w:hAnsi="宋体" w:cs="宋体"/>
          <w:sz w:val="21"/>
          <w:szCs w:val="21"/>
          <w:lang w:val="en-US" w:eastAsia="zh-CN"/>
        </w:rPr>
        <w:t>、</w:t>
      </w:r>
      <w:r>
        <w:rPr>
          <w:rFonts w:hint="eastAsia" w:ascii="宋体" w:hAnsi="宋体" w:cs="宋体"/>
          <w:sz w:val="21"/>
          <w:szCs w:val="21"/>
          <w:lang w:val="en-US" w:eastAsia="zh-CN"/>
        </w:rPr>
        <w:t>供应商</w:t>
      </w:r>
      <w:r>
        <w:rPr>
          <w:rFonts w:hint="default" w:ascii="宋体" w:hAnsi="宋体" w:cs="宋体"/>
          <w:sz w:val="21"/>
          <w:szCs w:val="21"/>
          <w:lang w:val="en-US" w:eastAsia="zh-CN"/>
        </w:rPr>
        <w:t>负责对锅炉容器的以下项目进行检查、调试或检验，达到正常运行。</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（1）检查锅炉容器设备日常运行维护记录、水质检验报告及安全附件的有效期。</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（2）检查锅炉容器受压部件是否异常，主要部件螺栓是否牢固、锅炉容器阀门是否有泄漏。</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（3）检查安全阀、主汽阀的灵敏与可靠性（启动与回座）。</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（4）水质处理设备：检查水质是否达标，离子交换树脂的运行及反洗再生情况。</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（5）水位示控装置：检查高、低水位报警装置，极好低水位联锁保护装置的灵敏可靠性。</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（6）压力控制：检查超压停炉联锁保护是否正常。</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（7）锅炉供水系统：检查锅炉给水泵、连续给水系统是否正常。</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（8）炉水取样排污系统：检查炉水取样冷却水是否畅通，各阀门是否开关灵活可靠。</w:t>
      </w:r>
    </w:p>
    <w:p>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8</w:t>
      </w:r>
      <w:r>
        <w:rPr>
          <w:rFonts w:hint="default" w:ascii="宋体" w:hAnsi="宋体" w:cs="宋体"/>
          <w:sz w:val="21"/>
          <w:szCs w:val="21"/>
          <w:lang w:val="en-US" w:eastAsia="zh-CN"/>
        </w:rPr>
        <w:t>、协助</w:t>
      </w:r>
      <w:r>
        <w:rPr>
          <w:rFonts w:hint="eastAsia" w:ascii="宋体" w:hAnsi="宋体" w:cs="宋体"/>
          <w:sz w:val="21"/>
          <w:szCs w:val="21"/>
          <w:lang w:val="en-US" w:eastAsia="zh-CN"/>
        </w:rPr>
        <w:t>采购人</w:t>
      </w:r>
      <w:r>
        <w:rPr>
          <w:rFonts w:hint="default" w:ascii="宋体" w:hAnsi="宋体" w:cs="宋体"/>
          <w:sz w:val="21"/>
          <w:szCs w:val="21"/>
          <w:lang w:val="en-US" w:eastAsia="zh-CN"/>
        </w:rPr>
        <w:t>按照《特种设备安全监察条例》的要求使用特种设备，制定出有效的管理制度、做好设备及安全附件的定期检验工作、做好锅炉水质处理工作及锅炉容器节能管理工作，落实企业的司炉人员持证上岗。</w:t>
      </w:r>
    </w:p>
    <w:p>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9</w:t>
      </w:r>
      <w:r>
        <w:rPr>
          <w:rFonts w:hint="default" w:ascii="宋体" w:hAnsi="宋体" w:cs="宋体"/>
          <w:sz w:val="21"/>
          <w:szCs w:val="21"/>
          <w:lang w:val="en-US" w:eastAsia="zh-CN"/>
        </w:rPr>
        <w:t>、协助</w:t>
      </w:r>
      <w:r>
        <w:rPr>
          <w:rFonts w:hint="eastAsia" w:ascii="宋体" w:hAnsi="宋体" w:cs="宋体"/>
          <w:sz w:val="21"/>
          <w:szCs w:val="21"/>
          <w:lang w:val="en-US" w:eastAsia="zh-CN"/>
        </w:rPr>
        <w:t>采购人</w:t>
      </w:r>
      <w:r>
        <w:rPr>
          <w:rFonts w:hint="default" w:ascii="宋体" w:hAnsi="宋体" w:cs="宋体"/>
          <w:sz w:val="21"/>
          <w:szCs w:val="21"/>
          <w:lang w:val="en-US" w:eastAsia="zh-CN"/>
        </w:rPr>
        <w:t>进行定期的锅炉容器外检及内检、锅炉容器压力表和安全阀定期校验，并确保所有检验符合法规要求，费用包含在合同总价中。</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10、服务供应商需每半年开展1次特种设备安全演练。</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11、服务供应商需每年给每一个特种设备科室提供至少1次设备规范化使用等方面的培训。</w:t>
      </w:r>
    </w:p>
    <w:p>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12、服务供应商需提供每季度梳理更新全院压力容器、压力管道、锅炉等所有特种设备的清单（需包括安全阀、压力表），包括：设备名称、注册号码、最新检测日期、下次检测日期、使用科室等内容。</w:t>
      </w:r>
    </w:p>
    <w:p>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13、供应商</w:t>
      </w:r>
      <w:r>
        <w:rPr>
          <w:rFonts w:hint="default" w:ascii="宋体" w:hAnsi="宋体" w:cs="宋体"/>
          <w:sz w:val="21"/>
          <w:szCs w:val="21"/>
          <w:lang w:val="en-US" w:eastAsia="zh-CN"/>
        </w:rPr>
        <w:t>必须为其工作人员购买相关保险，若</w:t>
      </w:r>
      <w:r>
        <w:rPr>
          <w:rFonts w:hint="eastAsia" w:ascii="宋体" w:hAnsi="宋体" w:cs="宋体"/>
          <w:sz w:val="21"/>
          <w:szCs w:val="21"/>
          <w:lang w:val="en-US" w:eastAsia="zh-CN"/>
        </w:rPr>
        <w:t>供应商</w:t>
      </w:r>
      <w:r>
        <w:rPr>
          <w:rFonts w:hint="default" w:ascii="宋体" w:hAnsi="宋体" w:cs="宋体"/>
          <w:sz w:val="21"/>
          <w:szCs w:val="21"/>
          <w:lang w:val="en-US" w:eastAsia="zh-CN"/>
        </w:rPr>
        <w:t>工作人员在服务过程中发生任何事故所造成的一切责任，以及在服务过程中发生的造成第三方事故的一切责任均由</w:t>
      </w:r>
      <w:r>
        <w:rPr>
          <w:rFonts w:hint="eastAsia" w:ascii="宋体" w:hAnsi="宋体" w:cs="宋体"/>
          <w:sz w:val="21"/>
          <w:szCs w:val="21"/>
          <w:lang w:val="en-US" w:eastAsia="zh-CN"/>
        </w:rPr>
        <w:t>供应商</w:t>
      </w:r>
      <w:r>
        <w:rPr>
          <w:rFonts w:hint="default" w:ascii="宋体" w:hAnsi="宋体" w:cs="宋体"/>
          <w:sz w:val="21"/>
          <w:szCs w:val="21"/>
          <w:lang w:val="en-US" w:eastAsia="zh-CN"/>
        </w:rPr>
        <w:t>承担。</w:t>
      </w:r>
    </w:p>
    <w:p>
      <w:pPr>
        <w:pStyle w:val="17"/>
        <w:spacing w:line="360" w:lineRule="exact"/>
        <w:ind w:firstLine="420"/>
        <w:rPr>
          <w:rFonts w:hint="eastAsia" w:ascii="宋体" w:hAnsi="宋体" w:eastAsia="宋体" w:cs="宋体"/>
          <w:sz w:val="21"/>
          <w:szCs w:val="21"/>
          <w:lang w:val="en-US" w:eastAsia="zh-CN"/>
        </w:rPr>
      </w:pPr>
      <w:r>
        <w:rPr>
          <w:rFonts w:hint="eastAsia" w:ascii="宋体" w:hAnsi="宋体" w:cs="宋体"/>
          <w:sz w:val="21"/>
          <w:szCs w:val="21"/>
        </w:rPr>
        <w:t>▲</w:t>
      </w:r>
      <w:r>
        <w:rPr>
          <w:rFonts w:hint="eastAsia" w:ascii="宋体" w:hAnsi="宋体" w:cs="宋体"/>
          <w:sz w:val="21"/>
          <w:szCs w:val="21"/>
          <w:lang w:val="en-US" w:eastAsia="zh-CN"/>
        </w:rPr>
        <w:t>14、</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成交供应商须提供临时替代方案（如提供移动式设备、协调院内其他设备资源或联系厂商紧急调配关键配件等），确保采购人工作不受影响，相关费用由成交供应商承担。</w:t>
      </w:r>
    </w:p>
    <w:p>
      <w:pPr>
        <w:pStyle w:val="17"/>
        <w:spacing w:line="360" w:lineRule="exact"/>
        <w:ind w:firstLine="420"/>
        <w:rPr>
          <w:rFonts w:hint="eastAsia"/>
          <w:lang w:val="en-US" w:eastAsia="zh-CN"/>
        </w:rPr>
      </w:pPr>
    </w:p>
    <w:p>
      <w:pPr>
        <w:pStyle w:val="17"/>
        <w:ind w:firstLine="482"/>
        <w:rPr>
          <w:rFonts w:hint="eastAsia" w:ascii="Times New Roman" w:hAnsi="Times New Roman" w:eastAsia="宋体" w:cs="Times New Roman"/>
          <w:b/>
          <w:color w:val="000000"/>
          <w:highlight w:val="none"/>
          <w:lang w:val="en-US" w:eastAsia="zh-CN"/>
        </w:rPr>
      </w:pPr>
      <w:r>
        <w:rPr>
          <w:rFonts w:hint="eastAsia" w:cs="Times New Roman"/>
          <w:b/>
          <w:color w:val="000000"/>
          <w:highlight w:val="none"/>
          <w:lang w:val="en-US" w:eastAsia="zh-CN"/>
        </w:rPr>
        <w:t>三、</w:t>
      </w:r>
      <w:r>
        <w:rPr>
          <w:rFonts w:hint="eastAsia" w:ascii="Times New Roman" w:hAnsi="Times New Roman" w:eastAsia="宋体" w:cs="Times New Roman"/>
          <w:b/>
          <w:color w:val="000000"/>
          <w:highlight w:val="none"/>
          <w:lang w:val="en-US" w:eastAsia="zh-CN"/>
        </w:rPr>
        <w:t>商务要求</w:t>
      </w: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（一）主要商务要求</w:t>
      </w:r>
    </w:p>
    <w:tbl>
      <w:tblPr>
        <w:tblStyle w:val="14"/>
        <w:tblW w:w="835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77"/>
        <w:gridCol w:w="66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81" w:hRule="atLeast"/>
        </w:trPr>
        <w:tc>
          <w:tcPr>
            <w:tcW w:w="1677" w:type="dxa"/>
            <w:vAlign w:val="center"/>
          </w:tcPr>
          <w:p>
            <w:pPr>
              <w:pStyle w:val="18"/>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服务地点</w:t>
            </w:r>
          </w:p>
        </w:tc>
        <w:tc>
          <w:tcPr>
            <w:tcW w:w="6673" w:type="dxa"/>
            <w:vAlign w:val="top"/>
          </w:tcPr>
          <w:p>
            <w:pPr>
              <w:pStyle w:val="18"/>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81" w:hRule="atLeast"/>
        </w:trPr>
        <w:tc>
          <w:tcPr>
            <w:tcW w:w="1677" w:type="dxa"/>
            <w:vAlign w:val="center"/>
          </w:tcPr>
          <w:p>
            <w:pPr>
              <w:pStyle w:val="18"/>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6673" w:type="dxa"/>
            <w:vAlign w:val="top"/>
          </w:tcPr>
          <w:p>
            <w:pPr>
              <w:pStyle w:val="18"/>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124" w:hRule="atLeast"/>
        </w:trPr>
        <w:tc>
          <w:tcPr>
            <w:tcW w:w="1677" w:type="dxa"/>
            <w:vAlign w:val="center"/>
          </w:tcPr>
          <w:p>
            <w:pPr>
              <w:pStyle w:val="18"/>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6673" w:type="dxa"/>
            <w:vAlign w:val="top"/>
          </w:tcPr>
          <w:p>
            <w:pPr>
              <w:numPr>
                <w:ilvl w:val="0"/>
                <w:numId w:val="0"/>
              </w:numPr>
              <w:tabs>
                <w:tab w:val="left" w:pos="-720"/>
                <w:tab w:val="left" w:pos="851"/>
              </w:tabs>
              <w:snapToGrid w:val="0"/>
              <w:spacing w:line="360" w:lineRule="auto"/>
              <w:ind w:firstLine="0" w:firstLineChars="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1.采购人根据实际设备发生的维保服务情况每季度结算维保费用一次，供应商于每个季度首月7日前提供上个季度的维保费用等额发票向采购人申请支付款项，采购人在收到供应商的款项发票申请资料（含相关维保资料）且核对无误后，由采购人填写服务质量督查考核表，合格后方可进行支付，从收到发票等结算资料核对无误且验收合格当天算起60个自然日内支付款项。</w:t>
            </w:r>
          </w:p>
          <w:p>
            <w:pPr>
              <w:numPr>
                <w:ilvl w:val="0"/>
                <w:numId w:val="0"/>
              </w:numPr>
              <w:tabs>
                <w:tab w:val="left" w:pos="-720"/>
                <w:tab w:val="left" w:pos="851"/>
              </w:tabs>
              <w:snapToGrid w:val="0"/>
              <w:spacing w:line="360" w:lineRule="auto"/>
              <w:ind w:firstLine="0" w:firstLineChars="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2.设备维保费用每季度结算标准及要求如下：设备维保费用每季度结算对应总维保费用的</w:t>
            </w:r>
            <w:r>
              <w:rPr>
                <w:rFonts w:hint="eastAsia" w:ascii="宋体" w:hAnsi="宋体" w:cs="宋体"/>
                <w:color w:val="000000"/>
                <w:highlight w:val="none"/>
                <w:lang w:val="en-US" w:eastAsia="zh-CN"/>
              </w:rPr>
              <w:t>四</w:t>
            </w:r>
            <w:r>
              <w:rPr>
                <w:rFonts w:hint="eastAsia" w:ascii="宋体" w:hAnsi="宋体" w:eastAsia="宋体" w:cs="宋体"/>
                <w:color w:val="000000"/>
                <w:highlight w:val="none"/>
                <w:lang w:val="en-US" w:eastAsia="zh-CN"/>
              </w:rPr>
              <w:t>分之一。</w:t>
            </w:r>
          </w:p>
          <w:p>
            <w:pPr>
              <w:numPr>
                <w:ilvl w:val="0"/>
                <w:numId w:val="0"/>
              </w:numPr>
              <w:tabs>
                <w:tab w:val="left" w:pos="-720"/>
                <w:tab w:val="left" w:pos="851"/>
              </w:tabs>
              <w:snapToGrid w:val="0"/>
              <w:spacing w:line="360" w:lineRule="auto"/>
              <w:ind w:firstLine="0" w:firstLineChars="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3.如果供应商提供的发票证实为虚假发票或与税务局数据不符的，采购人有权拒付票面金额，采购人已付款的，供应商应退回。因供应商未及时向采购人开具有效发票导致采购人未能在约定期限内付款的，不视为采购人违约。</w:t>
            </w:r>
          </w:p>
          <w:p>
            <w:pPr>
              <w:numPr>
                <w:ilvl w:val="0"/>
                <w:numId w:val="0"/>
              </w:numPr>
              <w:tabs>
                <w:tab w:val="left" w:pos="-720"/>
                <w:tab w:val="left" w:pos="851"/>
              </w:tabs>
              <w:snapToGrid w:val="0"/>
              <w:spacing w:line="360" w:lineRule="auto"/>
              <w:rPr>
                <w:rFonts w:hint="eastAsia" w:cs="Tahoma"/>
                <w:color w:val="000000"/>
                <w:kern w:val="28"/>
                <w:sz w:val="21"/>
                <w:szCs w:val="21"/>
                <w:highlight w:val="none"/>
                <w:lang w:eastAsia="zh-CN"/>
              </w:rPr>
            </w:pPr>
            <w:r>
              <w:rPr>
                <w:rFonts w:hint="eastAsia" w:ascii="宋体" w:hAnsi="宋体" w:eastAsia="宋体" w:cs="宋体"/>
                <w:color w:val="000000"/>
                <w:highlight w:val="none"/>
                <w:lang w:val="en-US" w:eastAsia="zh-CN"/>
              </w:rPr>
              <w:t>4.采购人使用的是财政资金，按财政审批流程支付，若审批延迟则相应款项到账延迟，且不视为采购人违约。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68" w:hRule="atLeast"/>
        </w:trPr>
        <w:tc>
          <w:tcPr>
            <w:tcW w:w="1677" w:type="dxa"/>
            <w:vAlign w:val="center"/>
          </w:tcPr>
          <w:p>
            <w:pPr>
              <w:pStyle w:val="18"/>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6673" w:type="dxa"/>
            <w:vAlign w:val="top"/>
          </w:tcPr>
          <w:p>
            <w:pPr>
              <w:pStyle w:val="18"/>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77" w:type="dxa"/>
            <w:vAlign w:val="center"/>
          </w:tcPr>
          <w:p>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highlight w:val="none"/>
                <w:lang w:val="en-US" w:eastAsia="zh-CN"/>
              </w:rPr>
              <w:t>报价说明</w:t>
            </w:r>
          </w:p>
        </w:tc>
        <w:tc>
          <w:tcPr>
            <w:tcW w:w="6673" w:type="dxa"/>
            <w:vAlign w:val="top"/>
          </w:tcPr>
          <w:p>
            <w:pPr>
              <w:widowControl/>
              <w:tabs>
                <w:tab w:val="left" w:pos="636"/>
              </w:tabs>
              <w:autoSpaceDE w:val="0"/>
              <w:autoSpaceDN w:val="0"/>
              <w:spacing w:line="360" w:lineRule="auto"/>
              <w:jc w:val="left"/>
              <w:textAlignment w:val="bottom"/>
              <w:rPr>
                <w:rFonts w:hint="eastAsia" w:cs="Tahoma"/>
                <w:color w:val="000000"/>
                <w:kern w:val="28"/>
                <w:sz w:val="21"/>
                <w:szCs w:val="21"/>
                <w:highlight w:val="none"/>
                <w:lang w:eastAsia="zh-CN"/>
              </w:rPr>
            </w:pPr>
            <w:bookmarkStart w:id="4" w:name="OLE_LINK2"/>
            <w:r>
              <w:rPr>
                <w:rFonts w:hint="eastAsia" w:ascii="宋体" w:hAnsi="宋体" w:cs="宋体"/>
                <w:sz w:val="21"/>
                <w:szCs w:val="21"/>
                <w:lang w:val="en-US" w:eastAsia="zh-CN"/>
              </w:rPr>
              <w:t>此维修保养服务除了配件费以及设备的强检费用以外，其他费用均包含在内。维修保养合同有效期内，医院新增的特种设备也需提供同等服务，特种设备数量的增加与减少（如报废、停用等）不影响原定的维保费用。</w:t>
            </w:r>
            <w:r>
              <w:rPr>
                <w:rFonts w:hint="eastAsia" w:ascii="宋体" w:hAnsi="宋体" w:eastAsia="宋体" w:cs="宋体"/>
                <w:color w:val="auto"/>
                <w:sz w:val="21"/>
                <w:szCs w:val="21"/>
                <w:highlight w:val="none"/>
                <w:lang w:val="en-US" w:eastAsia="zh-CN"/>
              </w:rPr>
              <w:t>供应商</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eastAsia="zh-CN"/>
              </w:rPr>
              <w:t>对所有内容进行</w:t>
            </w:r>
            <w:r>
              <w:rPr>
                <w:rFonts w:hint="eastAsia" w:ascii="宋体" w:hAnsi="宋体" w:eastAsia="宋体" w:cs="宋体"/>
                <w:b/>
                <w:bCs/>
                <w:color w:val="auto"/>
                <w:sz w:val="21"/>
                <w:szCs w:val="21"/>
                <w:highlight w:val="none"/>
                <w:lang w:val="en-US" w:eastAsia="zh-CN"/>
              </w:rPr>
              <w:t>一次性</w:t>
            </w:r>
            <w:r>
              <w:rPr>
                <w:rFonts w:hint="eastAsia" w:ascii="宋体" w:hAnsi="宋体" w:eastAsia="宋体" w:cs="宋体"/>
                <w:b/>
                <w:bCs/>
                <w:color w:val="auto"/>
                <w:sz w:val="21"/>
                <w:szCs w:val="21"/>
                <w:highlight w:val="none"/>
                <w:lang w:eastAsia="zh-CN"/>
              </w:rPr>
              <w:t>报价</w:t>
            </w:r>
            <w:r>
              <w:rPr>
                <w:rFonts w:hint="eastAsia" w:ascii="宋体" w:hAnsi="宋体" w:eastAsia="宋体" w:cs="宋体"/>
                <w:color w:val="auto"/>
                <w:sz w:val="21"/>
                <w:szCs w:val="21"/>
                <w:highlight w:val="none"/>
                <w:lang w:eastAsia="zh-CN"/>
              </w:rPr>
              <w:t>。报价不能超出项目预算总价，超出项目预算总价的为无效响应。</w:t>
            </w:r>
            <w:bookmarkEnd w:id="4"/>
          </w:p>
        </w:tc>
      </w:tr>
    </w:tbl>
    <w:p>
      <w:pPr>
        <w:rPr>
          <w:highlight w:val="none"/>
          <w:lang w:eastAsia="zh-CN"/>
        </w:rPr>
      </w:pPr>
    </w:p>
    <w:p>
      <w:pPr>
        <w:rPr>
          <w:highlight w:val="none"/>
          <w:lang w:eastAsia="zh-CN"/>
        </w:rPr>
      </w:pPr>
    </w:p>
    <w:p>
      <w:pPr>
        <w:keepNext w:val="0"/>
        <w:keepLines w:val="0"/>
        <w:pageBreakBefore w:val="0"/>
        <w:widowControl w:val="0"/>
        <w:numPr>
          <w:ilvl w:val="0"/>
          <w:numId w:val="1"/>
        </w:numPr>
        <w:kinsoku/>
        <w:wordWrap/>
        <w:overflowPunct/>
        <w:topLinePunct w:val="0"/>
        <w:autoSpaceDE/>
        <w:autoSpaceDN/>
        <w:bidi w:val="0"/>
        <w:adjustRightInd/>
        <w:snapToGrid/>
        <w:textAlignment w:val="auto"/>
        <w:rPr>
          <w:rFonts w:hint="eastAsia" w:cs="Times New Roman"/>
          <w:b/>
          <w:bCs/>
          <w:sz w:val="24"/>
          <w:szCs w:val="24"/>
          <w:highlight w:val="none"/>
          <w:lang w:val="en-US" w:eastAsia="zh-CN"/>
        </w:rPr>
      </w:pPr>
      <w:r>
        <w:rPr>
          <w:rFonts w:hint="eastAsia" w:cs="Times New Roman"/>
          <w:b/>
          <w:bCs/>
          <w:sz w:val="24"/>
          <w:szCs w:val="24"/>
          <w:highlight w:val="none"/>
          <w:lang w:val="en-US" w:eastAsia="zh-CN"/>
        </w:rPr>
        <w:t>其他商务需求</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响应文件中提供：</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（一）</w:t>
      </w:r>
      <w:r>
        <w:rPr>
          <w:rFonts w:hint="eastAsia" w:ascii="宋体" w:hAnsi="宋体" w:cs="宋体"/>
          <w:sz w:val="21"/>
          <w:szCs w:val="21"/>
          <w:lang w:val="en-US" w:eastAsia="zh-CN"/>
        </w:rPr>
        <w:t>维保服务方案</w:t>
      </w:r>
      <w:r>
        <w:rPr>
          <w:rFonts w:hint="default" w:ascii="宋体" w:hAnsi="宋体" w:cs="宋体"/>
          <w:sz w:val="21"/>
          <w:szCs w:val="21"/>
          <w:lang w:val="en-US" w:eastAsia="zh-CN"/>
        </w:rPr>
        <w:t>：包括但不限于</w:t>
      </w:r>
      <w:r>
        <w:rPr>
          <w:rFonts w:hint="eastAsia" w:ascii="宋体" w:hAnsi="宋体" w:cs="宋体"/>
          <w:sz w:val="21"/>
          <w:szCs w:val="21"/>
          <w:lang w:val="en-US" w:eastAsia="zh-CN"/>
        </w:rPr>
        <w:t>维保内容</w:t>
      </w:r>
      <w:r>
        <w:rPr>
          <w:rFonts w:hint="default" w:ascii="宋体" w:hAnsi="宋体" w:cs="宋体"/>
          <w:sz w:val="21"/>
          <w:szCs w:val="21"/>
          <w:lang w:val="en-US" w:eastAsia="zh-CN"/>
        </w:rPr>
        <w:t>、</w:t>
      </w:r>
      <w:r>
        <w:rPr>
          <w:rFonts w:hint="eastAsia" w:ascii="宋体" w:hAnsi="宋体" w:cs="宋体"/>
          <w:sz w:val="21"/>
          <w:szCs w:val="21"/>
          <w:lang w:val="en-US" w:eastAsia="zh-CN"/>
        </w:rPr>
        <w:t>维保方式等方案</w:t>
      </w:r>
      <w:r>
        <w:rPr>
          <w:rFonts w:hint="default" w:ascii="宋体" w:hAnsi="宋体" w:cs="宋体"/>
          <w:sz w:val="21"/>
          <w:szCs w:val="21"/>
          <w:lang w:val="en-US" w:eastAsia="zh-CN"/>
        </w:rPr>
        <w:t>。</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（二）质量保证措施：包括但不限于服务方案、质量保证措施情况。</w:t>
      </w:r>
    </w:p>
    <w:p>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w:t>
      </w:r>
      <w:r>
        <w:rPr>
          <w:rFonts w:hint="eastAsia" w:ascii="宋体" w:hAnsi="宋体" w:cs="宋体"/>
          <w:sz w:val="21"/>
          <w:szCs w:val="21"/>
          <w:lang w:val="en-US" w:eastAsia="zh-CN"/>
        </w:rPr>
        <w:t>三</w:t>
      </w:r>
      <w:r>
        <w:rPr>
          <w:rFonts w:hint="default" w:ascii="宋体" w:hAnsi="宋体" w:cs="宋体"/>
          <w:sz w:val="21"/>
          <w:szCs w:val="21"/>
          <w:lang w:val="en-US" w:eastAsia="zh-CN"/>
        </w:rPr>
        <w:t>）应急服务方案：包括但不限于应急保障措施、各类突发性事件制定的措施、应急预案等内容。</w:t>
      </w:r>
    </w:p>
    <w:p>
      <w:pPr>
        <w:pStyle w:val="6"/>
        <w:rPr>
          <w:rFonts w:hint="default"/>
          <w:lang w:val="en-US" w:eastAsia="zh-CN"/>
        </w:rPr>
      </w:pPr>
      <w:bookmarkStart w:id="5" w:name="_GoBack"/>
      <w:bookmarkEnd w:id="5"/>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C03B6"/>
    <w:multiLevelType w:val="singleLevel"/>
    <w:tmpl w:val="608C03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6230A3"/>
    <w:rsid w:val="00BA4B65"/>
    <w:rsid w:val="011D784B"/>
    <w:rsid w:val="02976BEA"/>
    <w:rsid w:val="03601DB0"/>
    <w:rsid w:val="04AD0E60"/>
    <w:rsid w:val="054B35C3"/>
    <w:rsid w:val="08600D0F"/>
    <w:rsid w:val="0889420E"/>
    <w:rsid w:val="08E40D24"/>
    <w:rsid w:val="0A2466CB"/>
    <w:rsid w:val="0EB614C0"/>
    <w:rsid w:val="104366EB"/>
    <w:rsid w:val="112D6CC2"/>
    <w:rsid w:val="13081541"/>
    <w:rsid w:val="14331E76"/>
    <w:rsid w:val="15D051B2"/>
    <w:rsid w:val="16696F1B"/>
    <w:rsid w:val="17DD35DB"/>
    <w:rsid w:val="188E6CFD"/>
    <w:rsid w:val="191274F0"/>
    <w:rsid w:val="1A994E79"/>
    <w:rsid w:val="1D055F9C"/>
    <w:rsid w:val="1DC0212E"/>
    <w:rsid w:val="1EA13769"/>
    <w:rsid w:val="23D80340"/>
    <w:rsid w:val="241966FE"/>
    <w:rsid w:val="24870B80"/>
    <w:rsid w:val="26E50D2A"/>
    <w:rsid w:val="279551AB"/>
    <w:rsid w:val="29DC0639"/>
    <w:rsid w:val="2E5F270A"/>
    <w:rsid w:val="306B7823"/>
    <w:rsid w:val="308F45B0"/>
    <w:rsid w:val="33165750"/>
    <w:rsid w:val="338C56DB"/>
    <w:rsid w:val="3779206A"/>
    <w:rsid w:val="382C6316"/>
    <w:rsid w:val="389F3EEA"/>
    <w:rsid w:val="3C46700B"/>
    <w:rsid w:val="3CBD77A5"/>
    <w:rsid w:val="3E3E4176"/>
    <w:rsid w:val="3ECE06A7"/>
    <w:rsid w:val="40070416"/>
    <w:rsid w:val="43A93D0E"/>
    <w:rsid w:val="455427B3"/>
    <w:rsid w:val="476B49C4"/>
    <w:rsid w:val="480D00A6"/>
    <w:rsid w:val="4A183988"/>
    <w:rsid w:val="4A926123"/>
    <w:rsid w:val="4D3C2B51"/>
    <w:rsid w:val="4D802CD4"/>
    <w:rsid w:val="4DED1043"/>
    <w:rsid w:val="4E130246"/>
    <w:rsid w:val="4E786D8B"/>
    <w:rsid w:val="4EAC0135"/>
    <w:rsid w:val="4EEA4116"/>
    <w:rsid w:val="4EEE7D8E"/>
    <w:rsid w:val="526C3CB6"/>
    <w:rsid w:val="537113D8"/>
    <w:rsid w:val="55272EC0"/>
    <w:rsid w:val="56AF5F6B"/>
    <w:rsid w:val="578735B4"/>
    <w:rsid w:val="59345B1F"/>
    <w:rsid w:val="5B0C0730"/>
    <w:rsid w:val="5E7C5DAB"/>
    <w:rsid w:val="5FFF33D3"/>
    <w:rsid w:val="60AB16DB"/>
    <w:rsid w:val="61923E63"/>
    <w:rsid w:val="61F80789"/>
    <w:rsid w:val="62E8112D"/>
    <w:rsid w:val="630C0EA8"/>
    <w:rsid w:val="638D1F3B"/>
    <w:rsid w:val="69691FBB"/>
    <w:rsid w:val="69B87242"/>
    <w:rsid w:val="6A6475C2"/>
    <w:rsid w:val="6B710299"/>
    <w:rsid w:val="71154A35"/>
    <w:rsid w:val="71E04502"/>
    <w:rsid w:val="72881E74"/>
    <w:rsid w:val="72BD2FC1"/>
    <w:rsid w:val="735B257D"/>
    <w:rsid w:val="74867C34"/>
    <w:rsid w:val="76311294"/>
    <w:rsid w:val="769564EE"/>
    <w:rsid w:val="76A87C27"/>
    <w:rsid w:val="79B54ABA"/>
    <w:rsid w:val="7A366E4D"/>
    <w:rsid w:val="7ACB1B9C"/>
    <w:rsid w:val="7B066289"/>
    <w:rsid w:val="7B4E4F04"/>
    <w:rsid w:val="7CE01AFB"/>
    <w:rsid w:val="7E6230A3"/>
    <w:rsid w:val="7EB616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line="360" w:lineRule="auto"/>
      <w:jc w:val="both"/>
      <w:outlineLvl w:val="0"/>
    </w:pPr>
    <w:rPr>
      <w:rFonts w:ascii="宋体" w:hAnsi="宋体"/>
      <w:b/>
      <w:kern w:val="44"/>
      <w:sz w:val="24"/>
    </w:rPr>
  </w:style>
  <w:style w:type="paragraph" w:styleId="3">
    <w:name w:val="heading 2"/>
    <w:basedOn w:val="1"/>
    <w:next w:val="1"/>
    <w:qFormat/>
    <w:uiPriority w:val="0"/>
    <w:pPr>
      <w:keepNext/>
      <w:keepLines/>
      <w:adjustRightInd w:val="0"/>
      <w:snapToGrid w:val="0"/>
      <w:spacing w:before="156" w:beforeLines="50" w:after="156" w:afterLines="50" w:line="360" w:lineRule="exact"/>
      <w:outlineLvl w:val="1"/>
    </w:pPr>
    <w:rPr>
      <w:rFonts w:ascii="宋体" w:hAnsi="Arial"/>
      <w:b/>
      <w:sz w:val="24"/>
      <w:szCs w:val="24"/>
    </w:rPr>
  </w:style>
  <w:style w:type="character" w:default="1" w:styleId="13">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4">
    <w:name w:val="Body Text First Indent"/>
    <w:basedOn w:val="5"/>
    <w:next w:val="7"/>
    <w:qFormat/>
    <w:uiPriority w:val="0"/>
    <w:pPr>
      <w:spacing w:after="120" w:line="240" w:lineRule="auto"/>
      <w:ind w:firstLine="100" w:firstLineChars="100"/>
    </w:pPr>
    <w:rPr>
      <w:szCs w:val="24"/>
    </w:rPr>
  </w:style>
  <w:style w:type="paragraph" w:styleId="5">
    <w:name w:val="Body Text"/>
    <w:basedOn w:val="1"/>
    <w:next w:val="6"/>
    <w:qFormat/>
    <w:uiPriority w:val="0"/>
    <w:pPr>
      <w:widowControl w:val="0"/>
      <w:jc w:val="both"/>
    </w:pPr>
    <w:rPr>
      <w:kern w:val="2"/>
      <w:sz w:val="28"/>
    </w:rPr>
  </w:style>
  <w:style w:type="paragraph" w:customStyle="1" w:styleId="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7">
    <w:name w:val="Body Text First Indent 2"/>
    <w:basedOn w:val="8"/>
    <w:next w:val="1"/>
    <w:qFormat/>
    <w:uiPriority w:val="0"/>
    <w:pPr>
      <w:spacing w:after="120"/>
      <w:ind w:left="200" w:leftChars="200" w:firstLine="200" w:firstLineChars="200"/>
    </w:pPr>
    <w:rPr>
      <w:rFonts w:ascii="Times New Roman" w:eastAsia="宋体"/>
      <w:sz w:val="21"/>
      <w:szCs w:val="24"/>
    </w:rPr>
  </w:style>
  <w:style w:type="paragraph" w:styleId="8">
    <w:name w:val="Body Text Indent"/>
    <w:basedOn w:val="1"/>
    <w:qFormat/>
    <w:uiPriority w:val="0"/>
    <w:pPr>
      <w:ind w:firstLine="352" w:firstLineChars="352"/>
    </w:pPr>
    <w:rPr>
      <w:rFonts w:ascii="仿宋_GB2312" w:eastAsia="仿宋_GB2312"/>
      <w:sz w:val="32"/>
      <w:szCs w:val="20"/>
    </w:rPr>
  </w:style>
  <w:style w:type="paragraph" w:styleId="9">
    <w:name w:val="Normal Indent"/>
    <w:basedOn w:val="1"/>
    <w:qFormat/>
    <w:uiPriority w:val="0"/>
    <w:pPr>
      <w:ind w:left="720"/>
    </w:pPr>
  </w:style>
  <w:style w:type="paragraph" w:styleId="10">
    <w:name w:val="annotation text"/>
    <w:basedOn w:val="1"/>
    <w:qFormat/>
    <w:uiPriority w:val="99"/>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5">
    <w:name w:val="Table Grid"/>
    <w:basedOn w:val="14"/>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表格文字"/>
    <w:basedOn w:val="1"/>
    <w:next w:val="5"/>
    <w:qFormat/>
    <w:uiPriority w:val="0"/>
    <w:pPr>
      <w:widowControl w:val="0"/>
      <w:spacing w:before="25" w:beforeLines="0" w:after="25" w:afterLines="0" w:line="300" w:lineRule="auto"/>
      <w:jc w:val="both"/>
    </w:pPr>
    <w:rPr>
      <w:rFonts w:ascii="Times" w:hAnsi="Times"/>
      <w:spacing w:val="10"/>
      <w:sz w:val="24"/>
    </w:rPr>
  </w:style>
  <w:style w:type="paragraph" w:customStyle="1" w:styleId="17">
    <w:name w:val="投标正文小四"/>
    <w:basedOn w:val="1"/>
    <w:qFormat/>
    <w:uiPriority w:val="0"/>
    <w:pPr>
      <w:spacing w:line="360" w:lineRule="auto"/>
      <w:ind w:firstLine="200" w:firstLineChars="200"/>
    </w:pPr>
    <w:rPr>
      <w:sz w:val="24"/>
    </w:rPr>
  </w:style>
  <w:style w:type="paragraph" w:customStyle="1" w:styleId="18">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character" w:customStyle="1" w:styleId="19">
    <w:name w:val="font31"/>
    <w:basedOn w:val="13"/>
    <w:qFormat/>
    <w:uiPriority w:val="0"/>
    <w:rPr>
      <w:rFonts w:hint="eastAsia" w:ascii="宋体" w:hAnsi="宋体" w:eastAsia="宋体" w:cs="宋体"/>
      <w:color w:val="000000"/>
      <w:sz w:val="21"/>
      <w:szCs w:val="21"/>
      <w:u w:val="none"/>
    </w:rPr>
  </w:style>
  <w:style w:type="character" w:customStyle="1" w:styleId="20">
    <w:name w:val="font21"/>
    <w:basedOn w:val="13"/>
    <w:qFormat/>
    <w:uiPriority w:val="0"/>
    <w:rPr>
      <w:rFonts w:hint="eastAsia" w:ascii="宋体" w:hAnsi="宋体" w:eastAsia="宋体" w:cs="宋体"/>
      <w:color w:val="000000"/>
      <w:sz w:val="22"/>
      <w:szCs w:val="22"/>
      <w:u w:val="none"/>
    </w:rPr>
  </w:style>
  <w:style w:type="paragraph" w:customStyle="1" w:styleId="21">
    <w:name w:val="null3"/>
    <w:qFormat/>
    <w:uiPriority w:val="0"/>
    <w:rPr>
      <w:rFonts w:hint="eastAsia" w:ascii="Calibri" w:hAnsi="Calibri" w:eastAsia="宋体" w:cs="Times New Roman"/>
      <w:lang w:val="en-US" w:eastAsia="zh-Hans"/>
    </w:rPr>
  </w:style>
  <w:style w:type="character" w:customStyle="1" w:styleId="22">
    <w:name w:val="font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2537</Words>
  <Characters>2811</Characters>
  <Lines>0</Lines>
  <Paragraphs>0</Paragraphs>
  <ScaleCrop>false</ScaleCrop>
  <LinksUpToDate>false</LinksUpToDate>
  <CharactersWithSpaces>2832</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2025-02-24T01:22:00Z</dcterms:created>
  <dc:creator>Administrator</dc:creator>
  <cp:lastModifiedBy>赖宇娟</cp:lastModifiedBy>
  <dcterms:modified xsi:type="dcterms:W3CDTF">2026-07-24T09:54:18Z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DF1A59171D984C018569EF421D18FFE9_13</vt:lpwstr>
  </property>
  <property fmtid="{D5CDD505-2E9C-101B-9397-08002B2CF9AE}" pid="4" name="KSOTemplateDocerSaveRecord">
    <vt:lpwstr>eyJoZGlkIjoiZDg2NTNlNzdjOGUyZDk4NmVlYmY0NDNkZDZkMzA2MzcifQ==</vt:lpwstr>
  </property>
</Properties>
</file>