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firstLine="0" w:firstLineChars="0"/>
        <w:jc w:val="both"/>
        <w:rPr>
          <w:rFonts w:hint="default"/>
          <w:b w:val="0"/>
          <w:bCs w:val="0"/>
          <w:sz w:val="24"/>
          <w:szCs w:val="24"/>
          <w:lang w:val="en-US" w:eastAsia="zh-CN"/>
        </w:rPr>
      </w:pPr>
      <w:bookmarkStart w:id="0" w:name="OLE_LINK3"/>
      <w:r>
        <w:rPr>
          <w:rFonts w:hint="eastAsia"/>
          <w:b w:val="0"/>
          <w:bCs w:val="0"/>
          <w:sz w:val="24"/>
          <w:szCs w:val="24"/>
          <w:lang w:val="en-US" w:eastAsia="zh-CN"/>
        </w:rPr>
        <w:t>附件1：</w:t>
      </w:r>
    </w:p>
    <w:p>
      <w:pPr>
        <w:ind w:left="0" w:firstLine="0" w:firstLineChars="0"/>
        <w:jc w:val="center"/>
        <w:rPr>
          <w:rFonts w:hint="default" w:eastAsia="宋体"/>
          <w:b/>
          <w:bCs/>
          <w:sz w:val="40"/>
          <w:szCs w:val="36"/>
          <w:lang w:val="en-US" w:eastAsia="zh-CN"/>
        </w:rPr>
      </w:pPr>
      <w:r>
        <w:rPr>
          <w:rFonts w:hint="eastAsia"/>
          <w:b/>
          <w:bCs/>
          <w:sz w:val="32"/>
          <w:szCs w:val="32"/>
          <w:lang w:val="en-US" w:eastAsia="zh-CN"/>
        </w:rPr>
        <w:t>用户需求书</w:t>
      </w:r>
    </w:p>
    <w:p>
      <w:pPr>
        <w:pStyle w:val="2"/>
        <w:ind w:firstLine="602"/>
      </w:pPr>
      <w:r>
        <w:t>一、项目基本信息</w:t>
      </w:r>
    </w:p>
    <w:p>
      <w:pPr>
        <w:rPr>
          <w:rFonts w:hint="eastAsia"/>
          <w:lang w:eastAsia="zh-CN"/>
        </w:rPr>
      </w:pPr>
      <w:r>
        <w:rPr>
          <w:rFonts w:hint="eastAsia"/>
        </w:rPr>
        <w:t>1. 项目名称：中山市黄圃人民医院</w:t>
      </w:r>
      <w:bookmarkStart w:id="1" w:name="OLE_LINK4"/>
      <w:r>
        <w:rPr>
          <w:rFonts w:hint="eastAsia"/>
          <w:lang w:eastAsia="zh-CN"/>
        </w:rPr>
        <w:t>本地容灾备份中心建设项目</w:t>
      </w:r>
      <w:bookmarkEnd w:id="1"/>
    </w:p>
    <w:p>
      <w:pPr>
        <w:rPr>
          <w:rFonts w:hint="eastAsia"/>
        </w:rPr>
      </w:pPr>
      <w:r>
        <w:rPr>
          <w:rFonts w:hint="eastAsia"/>
        </w:rPr>
        <w:t>2. 预算金额：90万元</w:t>
      </w:r>
    </w:p>
    <w:p>
      <w:pPr>
        <w:rPr>
          <w:rFonts w:hint="eastAsia"/>
        </w:rPr>
      </w:pPr>
      <w:r>
        <w:rPr>
          <w:rFonts w:hint="eastAsia"/>
        </w:rPr>
        <w:t>3. 本项目不接受联合体响应</w:t>
      </w:r>
    </w:p>
    <w:p>
      <w:pPr>
        <w:rPr>
          <w:rFonts w:hint="eastAsia"/>
        </w:rPr>
      </w:pPr>
      <w:r>
        <w:rPr>
          <w:rFonts w:hint="eastAsia"/>
        </w:rPr>
        <w:t>4. 本项目</w:t>
      </w:r>
      <w:bookmarkStart w:id="40" w:name="_GoBack"/>
      <w:r>
        <w:rPr>
          <w:rFonts w:hint="eastAsia"/>
        </w:rPr>
        <w:t>统一组织现场踏勘</w:t>
      </w:r>
      <w:bookmarkEnd w:id="40"/>
    </w:p>
    <w:p>
      <w:pPr>
        <w:pStyle w:val="2"/>
        <w:ind w:firstLine="602"/>
      </w:pPr>
      <w:r>
        <w:rPr>
          <w:rFonts w:hint="eastAsia"/>
        </w:rPr>
        <w:t>二、项目背景</w:t>
      </w:r>
    </w:p>
    <w:p>
      <w:pPr>
        <w:rPr>
          <w:rFonts w:hint="eastAsia"/>
        </w:rPr>
      </w:pPr>
      <w:r>
        <w:rPr>
          <w:rFonts w:hint="eastAsia"/>
        </w:rPr>
        <w:t>中山市黄圃人民医院已建设独立机房部署相应网络、服务器、存储设备、网络安全设备，满足目前医院开展的业务系统应用。但现有我院机房架构的应急恢复、系统容灾未够完善。</w:t>
      </w:r>
    </w:p>
    <w:p>
      <w:pPr>
        <w:rPr>
          <w:rFonts w:hint="eastAsia"/>
        </w:rPr>
      </w:pPr>
      <w:r>
        <w:rPr>
          <w:rFonts w:hint="eastAsia"/>
        </w:rPr>
        <w:t>国家卫生健康委员会发布的《医院信息系统建设技术规范》《网络安全法》《数据安全法》《关键信息基础设施安全保护条例》相继施行后，医疗卫生机构被明确纳入关键信息基础设施保护范围，信息系统的安全建设</w:t>
      </w:r>
      <w:r>
        <w:rPr>
          <w:rFonts w:hint="eastAsia"/>
          <w:lang w:val="en-US" w:eastAsia="zh-CN"/>
        </w:rPr>
        <w:t>标</w:t>
      </w:r>
      <w:r>
        <w:rPr>
          <w:rFonts w:hint="eastAsia"/>
        </w:rPr>
        <w:t>准，均对医院信息系统容灾能力提出了具体要求，核心业务数据需具备可恢复性和业务连续性保障。</w:t>
      </w:r>
    </w:p>
    <w:p>
      <w:pPr>
        <w:rPr>
          <w:rFonts w:hint="eastAsia"/>
        </w:rPr>
      </w:pPr>
      <w:r>
        <w:rPr>
          <w:rFonts w:hint="eastAsia"/>
        </w:rPr>
        <w:t>按照医疗行业相关规范，医院核心业务系统（HIS、PACS、LIS等）需根据业务重要性设定合理的RTO（恢复时间目标）和RPO（恢复点目标），并配套建设标准化容灾基础设施。本次容灾机房建设严格依据国家等保、医疗行业规范开展，全面补齐医院业务容灾与业务连续性能力短板。</w:t>
      </w:r>
    </w:p>
    <w:p>
      <w:pPr>
        <w:pStyle w:val="2"/>
        <w:ind w:firstLine="602"/>
      </w:pPr>
      <w:r>
        <w:rPr>
          <w:rFonts w:hint="eastAsia"/>
        </w:rPr>
        <w:t>三、建设目标</w:t>
      </w:r>
    </w:p>
    <w:p>
      <w:pPr>
        <w:pStyle w:val="17"/>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为满足医院信息系统安全等级保护要求，消除单点故障隐患，本院拟在现有信息中心机房基础上，新建本地容灾备份中心。本项目旨在构建一套技术先进、成熟可靠的院内容灾体系，具体建设目标如下：</w:t>
      </w:r>
    </w:p>
    <w:p>
      <w:pPr>
        <w:pStyle w:val="17"/>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1. 实现数据级全面保护：针对HIS、LIS、PACS、EMR等核心业务系统，建立高效的数据复制与同步机制。确保在任意时刻，核心业务数据在本地容灾节点保有完整副本，实现核心数据零丢失（RPO≈0），有效抵御硬件故障、逻辑错误及勒索病毒攻击。</w:t>
      </w:r>
    </w:p>
    <w:p>
      <w:pPr>
        <w:pStyle w:val="17"/>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2. 达成业务分钟级恢复：搭建自动化容灾切换架构。当主信息中心机房发生断电、火灾、空调失效或核心网络中断等灾难时，容灾备份中心应具备快速接管能力，实现核心业务系统在分钟级内（RTO≤</w:t>
      </w:r>
      <w:r>
        <w:rPr>
          <w:rFonts w:hint="eastAsia" w:cs="宋体"/>
          <w:sz w:val="24"/>
          <w:szCs w:val="22"/>
          <w:lang w:val="en-US" w:eastAsia="zh-CN" w:bidi="ar-SA"/>
        </w:rPr>
        <w:t>1</w:t>
      </w:r>
      <w:r>
        <w:rPr>
          <w:rFonts w:hint="eastAsia" w:ascii="宋体" w:hAnsi="宋体" w:eastAsia="宋体" w:cs="宋体"/>
          <w:sz w:val="24"/>
          <w:szCs w:val="22"/>
          <w:lang w:val="en-US" w:eastAsia="zh-CN" w:bidi="ar-SA"/>
        </w:rPr>
        <w:t>5分钟）完成切换并恢复运行，保障门诊、急诊、住院等关键环节业务不中断。</w:t>
      </w:r>
    </w:p>
    <w:p>
      <w:pPr>
        <w:pStyle w:val="17"/>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3. 确保架构平滑兼容：新建容灾中心需充分利用现有信息化基础设施（含现有网络架构、安全设备及海康威视门禁监控体系），确保新增软硬件与现有环境无缝对接，实现架构融合、统一管理，避免重复建设。</w:t>
      </w:r>
    </w:p>
    <w:p>
      <w:pPr>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4. 具备持续验证能力：系统需提供直观的可视化管理平台，支持对数据复制链路、设备运行状态及业务切换预案进行实时监控。</w:t>
      </w:r>
    </w:p>
    <w:p>
      <w:pPr>
        <w:rPr>
          <w:rFonts w:hint="eastAsia"/>
        </w:rPr>
      </w:pPr>
      <w:r>
        <w:rPr>
          <w:rFonts w:hint="eastAsia"/>
          <w:lang w:val="en-US" w:eastAsia="zh-CN"/>
        </w:rPr>
        <w:t>5</w:t>
      </w:r>
      <w:r>
        <w:rPr>
          <w:rFonts w:hint="eastAsia"/>
        </w:rPr>
        <w:t>. 容灾机房基础设施建设：完成标准化容灾机房搭建，涵盖机柜部署</w:t>
      </w:r>
      <w:r>
        <w:rPr>
          <w:rFonts w:hint="eastAsia"/>
          <w:color w:val="FF0000"/>
        </w:rPr>
        <w:t>、</w:t>
      </w:r>
      <w:r>
        <w:rPr>
          <w:rFonts w:hint="eastAsia"/>
        </w:rPr>
        <w:t>行级精密空调、精密配电、UPS不间断电源、防雷接地、动环监控、洁净气体消防、视频监控、门禁系统、机房基础装修等全套基础设施。</w:t>
      </w:r>
    </w:p>
    <w:p>
      <w:pPr>
        <w:rPr>
          <w:rFonts w:hint="eastAsia"/>
        </w:rPr>
      </w:pPr>
      <w:r>
        <w:rPr>
          <w:rFonts w:hint="eastAsia"/>
          <w:lang w:val="en-US" w:eastAsia="zh-CN"/>
        </w:rPr>
        <w:t>6</w:t>
      </w:r>
      <w:r>
        <w:rPr>
          <w:rFonts w:hint="eastAsia"/>
        </w:rPr>
        <w:t>. 电力电缆工程：完成主楼机房至备用容灾机房160米电力主干电缆敷设、两端标准化接入及调试施工。</w:t>
      </w:r>
    </w:p>
    <w:p>
      <w:pPr>
        <w:rPr>
          <w:rFonts w:hint="eastAsia"/>
        </w:rPr>
      </w:pPr>
      <w:r>
        <w:rPr>
          <w:rFonts w:hint="eastAsia"/>
          <w:lang w:val="en-US" w:eastAsia="zh-CN"/>
        </w:rPr>
        <w:t>7</w:t>
      </w:r>
      <w:r>
        <w:rPr>
          <w:rFonts w:hint="eastAsia"/>
        </w:rPr>
        <w:t>. 建筑群光纤骨干工程：</w:t>
      </w:r>
    </w:p>
    <w:p>
      <w:pPr>
        <w:spacing w:line="240" w:lineRule="auto"/>
        <w:rPr>
          <w:rFonts w:hint="eastAsia"/>
        </w:rPr>
      </w:pPr>
      <w:r>
        <w:rPr>
          <w:rFonts w:hint="eastAsia"/>
        </w:rPr>
        <w:t>（1）备用机房→主楼机房：敷设1根48芯单模光缆，单根长度350m，主楼机房配置48口 ODF配线架</w:t>
      </w:r>
      <w:r>
        <w:rPr>
          <w:rFonts w:hint="eastAsia"/>
          <w:lang w:eastAsia="zh-CN"/>
        </w:rPr>
        <w:t>。</w:t>
      </w:r>
    </w:p>
    <w:p>
      <w:pPr>
        <w:rPr>
          <w:rFonts w:hint="eastAsia"/>
        </w:rPr>
      </w:pPr>
      <w:r>
        <w:rPr>
          <w:rFonts w:hint="eastAsia"/>
        </w:rPr>
        <w:t>（2）备用机房→综合楼5楼弱电间：敷设1根48芯单模光缆，单根长度500m，综合楼一楼弱电间配置48口 ODF配线架，综合楼16层对应的弱电间所需交换机设备配置1对光纤跳线至5层弱电间。</w:t>
      </w:r>
    </w:p>
    <w:p>
      <w:pPr>
        <w:rPr>
          <w:rFonts w:hint="eastAsia"/>
        </w:rPr>
      </w:pPr>
      <w:r>
        <w:rPr>
          <w:rFonts w:hint="eastAsia"/>
        </w:rPr>
        <w:t>（3）备用机房→医技楼1楼：敷设1根48芯单模光缆，单根长度350m；备用机房配置48口 ODF配线架，医技楼1-6层对应的弱电间所需交换机设备配置1对光纤跳线至1楼弱电间；七楼弱电间敷设1根6芯单模光缆至1楼，单根长度100m,各配置1个12口光纤配线架。</w:t>
      </w:r>
    </w:p>
    <w:p>
      <w:pPr>
        <w:rPr>
          <w:rFonts w:hint="eastAsia"/>
        </w:rPr>
      </w:pPr>
      <w:r>
        <w:rPr>
          <w:rFonts w:hint="eastAsia"/>
          <w:lang w:val="en-US" w:eastAsia="zh-CN"/>
        </w:rPr>
        <w:t>8</w:t>
      </w:r>
      <w:r>
        <w:rPr>
          <w:rFonts w:hint="eastAsia"/>
        </w:rPr>
        <w:t>. 配套管线、桥架、光纤熔接配线、标识、测试、施工、质保、运维培训全流程服务。</w:t>
      </w:r>
    </w:p>
    <w:p>
      <w:pPr>
        <w:rPr>
          <w:rFonts w:hint="eastAsia"/>
        </w:rPr>
      </w:pPr>
      <w:r>
        <w:rPr>
          <w:rFonts w:hint="eastAsia"/>
          <w:lang w:val="en-US" w:eastAsia="zh-CN"/>
        </w:rPr>
        <w:t>9</w:t>
      </w:r>
      <w:r>
        <w:rPr>
          <w:rFonts w:hint="eastAsia"/>
        </w:rPr>
        <w:t>. 整体配套服务：提供项目深化设计、设备供货、现场安装调试、运维人员培训、竣工交付等全套服务；整体质保体系为3年项目整体质保。</w:t>
      </w:r>
    </w:p>
    <w:p>
      <w:pPr>
        <w:rPr>
          <w:rFonts w:hint="eastAsia"/>
        </w:rPr>
      </w:pPr>
      <w:r>
        <w:rPr>
          <w:rFonts w:hint="eastAsia"/>
          <w:lang w:val="en-US" w:eastAsia="zh-CN"/>
        </w:rPr>
        <w:t>10</w:t>
      </w:r>
      <w:r>
        <w:rPr>
          <w:rFonts w:hint="eastAsia"/>
        </w:rPr>
        <w:t>. 安全产品部署：</w:t>
      </w:r>
      <w:r>
        <w:t>防火墙</w:t>
      </w:r>
      <w:r>
        <w:rPr>
          <w:rFonts w:hint="eastAsia"/>
          <w:lang w:eastAsia="zh-CN"/>
        </w:rPr>
        <w:t>，</w:t>
      </w:r>
      <w:r>
        <w:rPr>
          <w:rFonts w:hint="eastAsia"/>
        </w:rPr>
        <w:t>网络安全准入系统，日志审计系统扩容或新购。</w:t>
      </w:r>
    </w:p>
    <w:p>
      <w:pPr>
        <w:pStyle w:val="2"/>
        <w:ind w:firstLine="602"/>
      </w:pPr>
      <w:r>
        <w:rPr>
          <w:rFonts w:hint="eastAsia"/>
        </w:rPr>
        <w:t>四、行业技术标准规范</w:t>
      </w:r>
    </w:p>
    <w:p>
      <w:pPr>
        <w:rPr>
          <w:rFonts w:hint="eastAsia"/>
        </w:rPr>
      </w:pPr>
      <w:r>
        <w:rPr>
          <w:rFonts w:hint="eastAsia"/>
        </w:rPr>
        <w:t>本次容灾机房建设、设备供货、现场施工、系统调试、验收运维全过程，严格遵循国家、行业现行标准及医疗专项规范，核心依据如下：</w:t>
      </w:r>
    </w:p>
    <w:p>
      <w:pPr>
        <w:rPr>
          <w:rFonts w:hint="eastAsia"/>
        </w:rPr>
      </w:pPr>
      <w:r>
        <w:rPr>
          <w:rFonts w:hint="eastAsia"/>
        </w:rPr>
        <w:t>1. GB 50174-2017《数据中心设计规范》（机房按B级标准建设，符合三甲医院机房建设要求）</w:t>
      </w:r>
    </w:p>
    <w:p>
      <w:pPr>
        <w:rPr>
          <w:rFonts w:hint="eastAsia"/>
        </w:rPr>
      </w:pPr>
      <w:r>
        <w:rPr>
          <w:rFonts w:hint="eastAsia"/>
        </w:rPr>
        <w:t>2. GB 50462-2024《数据中心基础设施施工及验收标准》</w:t>
      </w:r>
    </w:p>
    <w:p>
      <w:pPr>
        <w:rPr>
          <w:rFonts w:hint="eastAsia"/>
        </w:rPr>
      </w:pPr>
      <w:r>
        <w:rPr>
          <w:rFonts w:hint="eastAsia"/>
        </w:rPr>
        <w:t>3. GB/T 22239-2019《信息安全技术 网络安全等级保护基本要求》（等保三级）</w:t>
      </w:r>
    </w:p>
    <w:p>
      <w:pPr>
        <w:rPr>
          <w:rFonts w:hint="eastAsia"/>
        </w:rPr>
      </w:pPr>
      <w:r>
        <w:rPr>
          <w:rFonts w:hint="eastAsia"/>
        </w:rPr>
        <w:t>4. GB 50343-2012《建筑物电子信息系统防雷技术规范》</w:t>
      </w:r>
    </w:p>
    <w:p>
      <w:pPr>
        <w:rPr>
          <w:rFonts w:hint="eastAsia"/>
        </w:rPr>
      </w:pPr>
      <w:r>
        <w:rPr>
          <w:rFonts w:hint="eastAsia"/>
        </w:rPr>
        <w:t>5. GB 50370-2007《气体灭火系统设计规范》</w:t>
      </w:r>
    </w:p>
    <w:p>
      <w:pPr>
        <w:rPr>
          <w:rFonts w:hint="eastAsia"/>
        </w:rPr>
      </w:pPr>
      <w:r>
        <w:rPr>
          <w:rFonts w:hint="eastAsia"/>
        </w:rPr>
        <w:t>6. GB 2887-2011《计算机场地通用规范》</w:t>
      </w:r>
    </w:p>
    <w:p>
      <w:pPr>
        <w:rPr>
          <w:rFonts w:hint="eastAsia"/>
        </w:rPr>
      </w:pPr>
      <w:r>
        <w:rPr>
          <w:rFonts w:hint="eastAsia"/>
        </w:rPr>
        <w:t>7.《医疗机构信息系统容灾备份建设指南》《医疗卫生机构网络安全管理办法》</w:t>
      </w:r>
    </w:p>
    <w:p>
      <w:pPr>
        <w:pStyle w:val="2"/>
        <w:ind w:firstLine="602"/>
      </w:pPr>
      <w:r>
        <w:rPr>
          <w:rFonts w:hint="eastAsia"/>
        </w:rPr>
        <w:t>五、</w:t>
      </w:r>
      <w:r>
        <w:t>总体技术要求</w:t>
      </w:r>
    </w:p>
    <w:p>
      <w:pPr>
        <w:ind w:firstLine="482"/>
        <w:rPr>
          <w:rFonts w:hint="eastAsia"/>
        </w:rPr>
      </w:pPr>
      <w:bookmarkStart w:id="2" w:name="heading_5"/>
      <w:r>
        <w:rPr>
          <w:rFonts w:hint="eastAsia"/>
          <w:lang w:val="en-US" w:eastAsia="zh-CN"/>
        </w:rPr>
        <w:t>1.</w:t>
      </w:r>
      <w:r>
        <w:rPr>
          <w:b/>
        </w:rPr>
        <w:t>成本控制原则</w:t>
      </w:r>
      <w:bookmarkEnd w:id="2"/>
    </w:p>
    <w:p>
      <w:pPr>
        <w:rPr>
          <w:rFonts w:hint="eastAsia"/>
        </w:rPr>
      </w:pPr>
      <w:r>
        <w:t>本项目固定预算90万元，需在保障系统稳定、功能完整、合规达标的前提下，科学管控整体建设成本，遵循以下原则：</w:t>
      </w:r>
    </w:p>
    <w:p>
      <w:pPr>
        <w:rPr>
          <w:rFonts w:hint="eastAsia"/>
        </w:rPr>
      </w:pPr>
      <w:r>
        <w:t>（1）设备配置以实际业务需求为依据，参考未来5-8年的发展规划确定冗余等级，不做无谓的超配。</w:t>
      </w:r>
    </w:p>
    <w:p>
      <w:pPr>
        <w:rPr>
          <w:rFonts w:hint="eastAsia"/>
        </w:rPr>
      </w:pPr>
      <w:r>
        <w:t>（2）医院现有的可用设备尽量利旧——经检测评估后，能用的搬迁复用，降低设备采购量。</w:t>
      </w:r>
    </w:p>
    <w:p>
      <w:pPr>
        <w:rPr>
          <w:rFonts w:hint="eastAsia"/>
        </w:rPr>
      </w:pPr>
      <w:r>
        <w:t>（3）实施节奏上，根据预算到位情况和业务紧迫程度分批次推进，避免一次性投资压力过大。</w:t>
      </w:r>
    </w:p>
    <w:p>
      <w:pPr>
        <w:rPr>
          <w:rFonts w:hint="eastAsia"/>
        </w:rPr>
      </w:pPr>
      <w:r>
        <w:t>（4）设备选型上，同等功能和性能条件下优先考虑国产成熟产品，采购和后续运维成本相对可控。</w:t>
      </w:r>
    </w:p>
    <w:p>
      <w:pPr>
        <w:pStyle w:val="4"/>
        <w:rPr>
          <w:rFonts w:hint="eastAsia"/>
        </w:rPr>
      </w:pPr>
      <w:bookmarkStart w:id="3" w:name="heading_7"/>
      <w:r>
        <w:rPr>
          <w:rFonts w:hint="eastAsia"/>
          <w:lang w:val="en-US" w:eastAsia="zh-CN"/>
        </w:rPr>
        <w:t>2.</w:t>
      </w:r>
      <w:r>
        <w:t>机房平面深化</w:t>
      </w:r>
      <w:r>
        <w:rPr>
          <w:rFonts w:hint="eastAsia" w:cs="微软雅黑"/>
        </w:rPr>
        <w:t>设计</w:t>
      </w:r>
      <w:bookmarkEnd w:id="3"/>
    </w:p>
    <w:p>
      <w:pPr>
        <w:rPr>
          <w:rFonts w:hint="eastAsia"/>
        </w:rPr>
      </w:pPr>
      <w:r>
        <w:t>根据甲方提供的6号楼二层建筑平面图，供应商需结合自身技术方案对机房平面进行深化设计。具体要求分几点说明：</w:t>
      </w:r>
    </w:p>
    <w:p>
      <w:pPr>
        <w:rPr>
          <w:rFonts w:hint="eastAsia"/>
        </w:rPr>
      </w:pPr>
      <w:r>
        <w:t>（1）投标需提供：设备布局图、供配电系统图、光线线路敷设图、接地系统图、空调气流组织图、消防系统布局图、机房装修平面图等全套施工示意图；</w:t>
      </w:r>
    </w:p>
    <w:p>
      <w:pPr>
        <w:rPr>
          <w:rFonts w:hint="eastAsia"/>
        </w:rPr>
      </w:pPr>
      <w:r>
        <w:t>（2）设计需充分结合现场层高、承重、水电接入等硬性条件，方案具备100%可落地性，严禁脱离现场实际设计；</w:t>
      </w:r>
    </w:p>
    <w:p>
      <w:pPr>
        <w:rPr>
          <w:rFonts w:hint="eastAsia"/>
        </w:rPr>
      </w:pPr>
      <w:r>
        <w:t>（3）所有深化设计成果需报审确认，留存归档，作为施工及验收依据。</w:t>
      </w:r>
    </w:p>
    <w:p>
      <w:pPr>
        <w:pStyle w:val="4"/>
        <w:rPr>
          <w:rFonts w:hint="eastAsia"/>
        </w:rPr>
      </w:pPr>
      <w:r>
        <w:rPr>
          <w:rFonts w:hint="eastAsia"/>
          <w:lang w:val="en-US" w:eastAsia="zh-CN"/>
        </w:rPr>
        <w:t>3.</w:t>
      </w:r>
      <w:r>
        <w:t>网络架构设计</w:t>
      </w:r>
    </w:p>
    <w:p>
      <w:pPr>
        <w:rPr>
          <w:rFonts w:hint="eastAsia"/>
        </w:rPr>
      </w:pPr>
      <w:r>
        <w:t>供应商投标时需根据院方原有的网络架构结合本项目网络系统，出具最新的院内网络架构图（含内、外办公网，智能网）</w:t>
      </w:r>
    </w:p>
    <w:p>
      <w:pPr>
        <w:pStyle w:val="3"/>
        <w:ind w:firstLine="1041" w:firstLineChars="432"/>
        <w:rPr>
          <w:rFonts w:hint="eastAsia"/>
        </w:rPr>
      </w:pPr>
      <w:r>
        <w:rPr>
          <w:rFonts w:hint="eastAsia" w:cs="宋体"/>
          <w:b/>
          <w:bCs/>
          <w:sz w:val="24"/>
          <w:szCs w:val="24"/>
          <w:lang w:val="en-US" w:eastAsia="zh-CN" w:bidi="ar-SA"/>
        </w:rPr>
        <w:t>4.</w:t>
      </w:r>
      <w:r>
        <w:rPr>
          <w:rFonts w:hint="eastAsia" w:ascii="宋体" w:hAnsi="宋体" w:eastAsia="宋体" w:cs="宋体"/>
          <w:b/>
          <w:bCs/>
          <w:sz w:val="24"/>
          <w:szCs w:val="24"/>
          <w:lang w:val="en-US" w:eastAsia="zh-CN" w:bidi="ar-SA"/>
        </w:rPr>
        <w:t>试运行驻点服务要求</w:t>
      </w:r>
    </w:p>
    <w:p>
      <w:pPr>
        <w:rPr>
          <w:rFonts w:hint="eastAsia"/>
        </w:rPr>
      </w:pPr>
      <w:r>
        <w:t>项目初验合格后进入不少于3个月试运行阶段，</w:t>
      </w:r>
      <w:r>
        <w:rPr>
          <w:rFonts w:hint="eastAsia"/>
          <w:lang w:eastAsia="zh-CN"/>
        </w:rPr>
        <w:t>供应商</w:t>
      </w:r>
      <w:r>
        <w:t>需提供专职工程师驻场运维，保障系统稳定运行。</w:t>
      </w:r>
    </w:p>
    <w:p>
      <w:pPr>
        <w:rPr>
          <w:rFonts w:hint="eastAsia"/>
        </w:rPr>
      </w:pPr>
      <w:r>
        <w:t>（1）试运行周期自初验合格之日起计算，全程不少于3个月；</w:t>
      </w:r>
    </w:p>
    <w:p>
      <w:pPr>
        <w:rPr>
          <w:rFonts w:hint="eastAsia"/>
        </w:rPr>
      </w:pPr>
      <w:r>
        <w:t>（2）驻场要求：工作日8:</w:t>
      </w:r>
      <w:r>
        <w:rPr>
          <w:rFonts w:hint="eastAsia"/>
          <w:lang w:val="en-US" w:eastAsia="zh-CN"/>
        </w:rPr>
        <w:t>0</w:t>
      </w:r>
      <w:r>
        <w:t>0-17:</w:t>
      </w:r>
      <w:r>
        <w:rPr>
          <w:rFonts w:hint="eastAsia"/>
          <w:lang w:val="en-US" w:eastAsia="zh-CN"/>
        </w:rPr>
        <w:t>0</w:t>
      </w:r>
      <w:r>
        <w:t>0专人驻场，每日巡查供配电、UPS、空调、消防、动环、网络全系统设备，做好运行记录与状态评估；</w:t>
      </w:r>
    </w:p>
    <w:p>
      <w:pPr>
        <w:rPr>
          <w:rFonts w:hint="eastAsia"/>
        </w:rPr>
      </w:pPr>
      <w:r>
        <w:t>（3）驻场工程师需具备高级及以上专业技术职称</w:t>
      </w:r>
      <w:r>
        <w:rPr>
          <w:rFonts w:hint="eastAsia"/>
        </w:rPr>
        <w:t>或</w:t>
      </w:r>
      <w:r>
        <w:t>网络安全设备生产厂家技术认证，熟练掌握设备运维、故障排查技能；</w:t>
      </w:r>
    </w:p>
    <w:p>
      <w:pPr>
        <w:rPr>
          <w:rFonts w:hint="eastAsia"/>
        </w:rPr>
      </w:pPr>
      <w:r>
        <w:t>（4）隐患问题全程建档，定期出具运行报告，重大故障2小时内响应并提交专项处置方案；</w:t>
      </w:r>
    </w:p>
    <w:p>
      <w:pPr>
        <w:rPr>
          <w:rFonts w:hint="eastAsia"/>
        </w:rPr>
      </w:pPr>
      <w:r>
        <w:t>（5）试运行期满、系统运行稳定达标后，由甲方组织竣工验收。</w:t>
      </w:r>
    </w:p>
    <w:p>
      <w:pPr>
        <w:pStyle w:val="3"/>
        <w:ind w:firstLine="1041" w:firstLineChars="432"/>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5.设备搬迁与利旧要求</w:t>
      </w:r>
    </w:p>
    <w:p>
      <w:pPr>
        <w:rPr>
          <w:rFonts w:hint="eastAsia"/>
        </w:rPr>
      </w:pPr>
      <w:r>
        <w:rPr>
          <w:rFonts w:hint="eastAsia"/>
          <w:lang w:eastAsia="zh-CN"/>
        </w:rPr>
        <w:t>供应商</w:t>
      </w:r>
      <w:r>
        <w:t>全权承担甲方指定利旧设备的勘查、检测、搬迁、安装、调试全流程工作，保障设备完好并实现正常复用，具体要求如下：</w:t>
      </w:r>
    </w:p>
    <w:p>
      <w:pPr>
        <w:rPr>
          <w:rFonts w:hint="eastAsia"/>
        </w:rPr>
      </w:pPr>
      <w:r>
        <w:t>（</w:t>
      </w:r>
      <w:r>
        <w:rPr>
          <w:rFonts w:hint="eastAsia"/>
        </w:rPr>
        <w:t>1</w:t>
      </w:r>
      <w:r>
        <w:t>）开展现场勘查与功能检测。对甲方指定的利旧设备逐台实施现场勘查及功能性检测，评估每台设备的实际运行状态，并出具正式检测报告。</w:t>
      </w:r>
    </w:p>
    <w:p>
      <w:pPr>
        <w:rPr>
          <w:rFonts w:hint="eastAsia"/>
        </w:rPr>
      </w:pPr>
      <w:r>
        <w:t>（</w:t>
      </w:r>
      <w:r>
        <w:rPr>
          <w:rFonts w:hint="eastAsia"/>
        </w:rPr>
        <w:t>2</w:t>
      </w:r>
      <w:r>
        <w:t>）编制专项搬迁实施方案。针对设备拆卸、包装、运输、安装、调试各环节制定完备的防护管控措施，严格落实设备保护要求，杜绝搬迁过程中造成设备损坏。</w:t>
      </w:r>
    </w:p>
    <w:p>
      <w:pPr>
        <w:rPr>
          <w:rFonts w:hint="eastAsia"/>
        </w:rPr>
      </w:pPr>
      <w:r>
        <w:t>（</w:t>
      </w:r>
      <w:r>
        <w:rPr>
          <w:rFonts w:hint="eastAsia"/>
        </w:rPr>
        <w:t>3</w:t>
      </w:r>
      <w:r>
        <w:t>）实施清洁保养与性能验证。利旧设备安装就位后，完成必要的清洁保养及性能测试工作，确认设备在新部署环境下运行稳定，各项性能指标满足使用要求。</w:t>
      </w:r>
    </w:p>
    <w:p>
      <w:pPr>
        <w:rPr>
          <w:rFonts w:hint="eastAsia"/>
        </w:rPr>
      </w:pPr>
      <w:r>
        <w:t>（</w:t>
      </w:r>
      <w:r>
        <w:rPr>
          <w:rFonts w:hint="eastAsia"/>
        </w:rPr>
        <w:t>4</w:t>
      </w:r>
      <w:r>
        <w:t>）统筹纳入系统整体调试。利旧设备的安装调试工作须统一纳入新系统整体调试计划，不得独立组织实施，确保与新系统同步开展联合调试及试运行，保障系统整体协同运行。</w:t>
      </w:r>
    </w:p>
    <w:p>
      <w:pPr>
        <w:pStyle w:val="2"/>
        <w:ind w:firstLine="602"/>
        <w:rPr>
          <w:rFonts w:hint="eastAsia"/>
        </w:rPr>
      </w:pPr>
      <w:bookmarkStart w:id="4" w:name="heading_11"/>
      <w:r>
        <w:rPr>
          <w:rFonts w:hint="eastAsia"/>
        </w:rPr>
        <w:t>六、通用实施与验收要求</w:t>
      </w:r>
      <w:bookmarkEnd w:id="4"/>
    </w:p>
    <w:p>
      <w:pPr>
        <w:rPr>
          <w:rFonts w:hint="eastAsia"/>
        </w:rPr>
      </w:pPr>
      <w:r>
        <w:t>1. 项目实施需遵循“不影响现有业务正常运行”的原则，所有硬件部署、系统迁移、软件调试、容灾测试等工作需避开临床诊疗高峰时段，制定详细的实施计划及应急预案，确保项目顺利推进。</w:t>
      </w:r>
    </w:p>
    <w:p>
      <w:pPr>
        <w:rPr>
          <w:rFonts w:hint="eastAsia"/>
        </w:rPr>
      </w:pPr>
      <w:r>
        <w:t>2. 提交项目报价初步方案需明确列明本次项目所需各类硬件的详细配置、采购数量及对应单价，清晰说明费用构成。</w:t>
      </w:r>
    </w:p>
    <w:p>
      <w:pPr>
        <w:rPr>
          <w:rFonts w:hint="eastAsia"/>
        </w:rPr>
      </w:pPr>
      <w:r>
        <w:t>3. 提供机房平面布置图、供配电单线图、网络拓扑图、实施割接方案、应急回退方案。</w:t>
      </w:r>
    </w:p>
    <w:p>
      <w:pPr>
        <w:rPr>
          <w:rFonts w:hint="eastAsia"/>
        </w:rPr>
      </w:pPr>
      <w:r>
        <w:t>4. 风险责任承诺，因设备兼容、系统迁移、网络割接操作不当造成的业务中断、设备损坏，由</w:t>
      </w:r>
      <w:r>
        <w:rPr>
          <w:rFonts w:hint="eastAsia"/>
          <w:lang w:eastAsia="zh-CN"/>
        </w:rPr>
        <w:t>供应商</w:t>
      </w:r>
      <w:r>
        <w:t>全权承担全部整改及损失费用。</w:t>
      </w:r>
    </w:p>
    <w:p>
      <w:pPr>
        <w:rPr>
          <w:rFonts w:hint="eastAsia"/>
        </w:rPr>
      </w:pPr>
      <w:r>
        <w:rPr>
          <w:rFonts w:hint="eastAsia"/>
        </w:rPr>
        <w:t>5</w:t>
      </w:r>
      <w:r>
        <w:t>. 竣工移交要求：验收前完成竣工图、IP规划表、设备配置备份、账号清单、测试报告、培训资料、应急预案等全套资料及资产移交。</w:t>
      </w:r>
    </w:p>
    <w:p>
      <w:pPr>
        <w:rPr>
          <w:rFonts w:hint="eastAsia"/>
        </w:rPr>
      </w:pPr>
      <w:r>
        <w:rPr>
          <w:rFonts w:hint="eastAsia"/>
        </w:rPr>
        <w:t>6</w:t>
      </w:r>
      <w:r>
        <w:t>. 货物通用质量要求：所有供货设备为全新原装、未启封正品，符合国家及行业标准，无知识产权侵权，包装规范、运输无损，严格遵守国家三包规定。</w:t>
      </w:r>
    </w:p>
    <w:p>
      <w:pPr>
        <w:pStyle w:val="2"/>
        <w:ind w:firstLine="602"/>
        <w:rPr>
          <w:rFonts w:hint="eastAsia"/>
        </w:rPr>
      </w:pPr>
      <w:bookmarkStart w:id="5" w:name="heading_12"/>
      <w:r>
        <w:rPr>
          <w:rFonts w:hint="eastAsia"/>
        </w:rPr>
        <w:t>七、项目约束与工期要求</w:t>
      </w:r>
      <w:bookmarkEnd w:id="5"/>
    </w:p>
    <w:p>
      <w:pPr>
        <w:rPr>
          <w:rFonts w:hint="eastAsia"/>
        </w:rPr>
      </w:pPr>
      <w:r>
        <w:rPr>
          <w:rFonts w:hint="eastAsia"/>
        </w:rPr>
        <w:t>1</w:t>
      </w:r>
      <w:r>
        <w:t>. 工期约束：</w:t>
      </w:r>
      <w:r>
        <w:rPr>
          <w:b/>
        </w:rPr>
        <w:t>合同签订后90个日历天内</w:t>
      </w:r>
      <w:r>
        <w:t>，完成全部设备供货、安装调试、系统联调、整改优化、竣工验收交付全部工作（商务交货期统一以此工期为准，全文唯一工期标准）。</w:t>
      </w:r>
    </w:p>
    <w:p>
      <w:pPr>
        <w:rPr>
          <w:rFonts w:hint="eastAsia"/>
        </w:rPr>
      </w:pPr>
      <w:r>
        <w:rPr>
          <w:rFonts w:hint="eastAsia"/>
        </w:rPr>
        <w:t>2</w:t>
      </w:r>
      <w:r>
        <w:t>. 预算约束：项目总价包干，包含方案设计、设备采购、材料供货、施工安装、系统调试、培训、质保、验收所有费用，无任何隐形增项。</w:t>
      </w:r>
    </w:p>
    <w:p>
      <w:pPr>
        <w:rPr>
          <w:rFonts w:hint="eastAsia"/>
        </w:rPr>
      </w:pPr>
      <w:r>
        <w:rPr>
          <w:rFonts w:hint="eastAsia"/>
        </w:rPr>
        <w:t>3</w:t>
      </w:r>
      <w:r>
        <w:t>. 文档约束：所有技术参数、方案条款需逐条响应需求书及国标，完整提供参数偏离表。</w:t>
      </w:r>
    </w:p>
    <w:p>
      <w:pPr>
        <w:pStyle w:val="2"/>
        <w:ind w:firstLine="602"/>
        <w:rPr>
          <w:rFonts w:hint="eastAsia"/>
        </w:rPr>
      </w:pPr>
      <w:bookmarkStart w:id="6" w:name="heading_13"/>
      <w:r>
        <w:rPr>
          <w:rFonts w:hint="eastAsia"/>
        </w:rPr>
        <w:t>八、核心基础设施技术参数</w:t>
      </w:r>
      <w:bookmarkEnd w:id="6"/>
    </w:p>
    <w:p>
      <w:pPr>
        <w:pStyle w:val="3"/>
        <w:rPr>
          <w:rFonts w:hint="eastAsia"/>
        </w:rPr>
      </w:pPr>
      <w:r>
        <w:rPr>
          <w:rFonts w:hint="eastAsia"/>
          <w:lang w:val="en-US" w:eastAsia="zh-CN"/>
        </w:rPr>
        <w:t>1.</w:t>
      </w:r>
      <w:r>
        <w:rPr>
          <w:rFonts w:hint="eastAsia"/>
        </w:rPr>
        <w:t>服务器机柜</w:t>
      </w:r>
    </w:p>
    <w:p>
      <w:pPr>
        <w:rPr>
          <w:rFonts w:hint="eastAsia"/>
        </w:rPr>
      </w:pPr>
      <w:r>
        <w:t>容灾机房需配置服务器机柜，用于安装核心网络设备及服务器。供应商所提供的机柜应满足以下技术要求：</w:t>
      </w:r>
    </w:p>
    <w:p>
      <w:pPr>
        <w:pStyle w:val="144"/>
        <w:numPr>
          <w:ilvl w:val="0"/>
          <w:numId w:val="7"/>
        </w:numPr>
        <w:ind w:firstLineChars="0"/>
        <w:rPr>
          <w:rFonts w:hint="eastAsia"/>
        </w:rPr>
      </w:pPr>
      <w:r>
        <w:t>规格参数：机柜尺寸应为800×1200×2055mm（宽×深×高），42U标准机柜；内含2根竖装理线槽、3块层板、4个风扇、4个支脚、4个重型脚轮、40套螺母螺钉；方孔条2.0mm、横梁1.5mm、其他1.2mm，承重不低于800kg</w:t>
      </w:r>
      <w:bookmarkStart w:id="7" w:name="OLE_LINK11"/>
      <w:r>
        <w:t>。</w:t>
      </w:r>
      <w:bookmarkEnd w:id="7"/>
    </w:p>
    <w:p>
      <w:pPr>
        <w:pStyle w:val="144"/>
        <w:numPr>
          <w:ilvl w:val="0"/>
          <w:numId w:val="7"/>
        </w:numPr>
        <w:ind w:firstLineChars="0"/>
        <w:rPr>
          <w:rFonts w:hint="eastAsia"/>
        </w:rPr>
      </w:pPr>
      <w:r>
        <w:rPr>
          <w:rFonts w:hint="eastAsia"/>
        </w:rPr>
        <w:t>数量：6台</w:t>
      </w:r>
    </w:p>
    <w:p>
      <w:pPr>
        <w:pStyle w:val="3"/>
        <w:rPr>
          <w:rFonts w:hint="eastAsia"/>
        </w:rPr>
      </w:pPr>
      <w:r>
        <w:rPr>
          <w:rFonts w:hint="eastAsia"/>
          <w:lang w:val="en-US" w:eastAsia="zh-CN"/>
        </w:rPr>
        <w:t>2.</w:t>
      </w:r>
      <w:r>
        <w:rPr>
          <w:rFonts w:hint="eastAsia"/>
        </w:rPr>
        <w:t xml:space="preserve"> PDU插座</w:t>
      </w:r>
    </w:p>
    <w:p>
      <w:pPr>
        <w:rPr>
          <w:rFonts w:hint="eastAsia"/>
        </w:rPr>
      </w:pPr>
      <w:r>
        <w:t>机柜应配套PDU插座，为本机柜内设备提供稳定配电。PDU插座应满足以下要求：</w:t>
      </w:r>
    </w:p>
    <w:p>
      <w:pPr>
        <w:rPr>
          <w:rFonts w:hint="eastAsia"/>
          <w:highlight w:val="none"/>
        </w:rPr>
      </w:pPr>
      <w:r>
        <w:t>（1）规格参数：</w:t>
      </w:r>
      <w:r>
        <w:rPr>
          <w:rFonts w:hint="eastAsia"/>
        </w:rPr>
        <w:t>每个机柜配备2个PDU,</w:t>
      </w:r>
      <w:r>
        <w:t>应采用</w:t>
      </w:r>
      <w:r>
        <w:rPr>
          <w:rFonts w:hint="eastAsia"/>
        </w:rPr>
        <w:t>20</w:t>
      </w:r>
      <w:r>
        <w:t>位PDU</w:t>
      </w:r>
      <w:bookmarkStart w:id="8" w:name="OLE_LINK10"/>
      <w:r>
        <w:t>，</w:t>
      </w:r>
      <w:bookmarkEnd w:id="8"/>
      <w:r>
        <w:rPr>
          <w:rFonts w:hint="eastAsia"/>
        </w:rPr>
        <w:t>32</w:t>
      </w:r>
      <w:r>
        <w:rPr>
          <w:highlight w:val="none"/>
        </w:rPr>
        <w:t>A输入，</w:t>
      </w:r>
      <w:r>
        <w:rPr>
          <w:rFonts w:hint="eastAsia"/>
          <w:highlight w:val="none"/>
          <w:lang w:val="en-US" w:eastAsia="zh-CN"/>
        </w:rPr>
        <w:t>16</w:t>
      </w:r>
      <w:r>
        <w:rPr>
          <w:highlight w:val="none"/>
        </w:rPr>
        <w:t>位10A输出</w:t>
      </w:r>
      <w:r>
        <w:rPr>
          <w:rFonts w:hint="eastAsia"/>
          <w:highlight w:val="none"/>
          <w:lang w:val="en-US" w:eastAsia="zh-CN"/>
        </w:rPr>
        <w:t>,</w:t>
      </w:r>
      <w:bookmarkStart w:id="9" w:name="OLE_LINK8"/>
      <w:r>
        <w:rPr>
          <w:rFonts w:hint="eastAsia"/>
          <w:highlight w:val="none"/>
          <w:lang w:val="en-US" w:eastAsia="zh-CN"/>
        </w:rPr>
        <w:t>2位</w:t>
      </w:r>
      <w:bookmarkEnd w:id="9"/>
      <w:r>
        <w:rPr>
          <w:rFonts w:hint="eastAsia"/>
          <w:highlight w:val="none"/>
          <w:lang w:val="en-US" w:eastAsia="zh-CN"/>
        </w:rPr>
        <w:t>16A</w:t>
      </w:r>
      <w:bookmarkStart w:id="10" w:name="OLE_LINK9"/>
      <w:r>
        <w:rPr>
          <w:rFonts w:hint="eastAsia"/>
          <w:highlight w:val="none"/>
          <w:lang w:val="en-US" w:eastAsia="zh-CN"/>
        </w:rPr>
        <w:t>输出</w:t>
      </w:r>
      <w:bookmarkEnd w:id="10"/>
      <w:r>
        <w:t>，</w:t>
      </w:r>
      <w:bookmarkStart w:id="11" w:name="OLE_LINK12"/>
      <w:r>
        <w:rPr>
          <w:rFonts w:hint="eastAsia"/>
          <w:highlight w:val="none"/>
          <w:lang w:val="en-US" w:eastAsia="zh-CN"/>
        </w:rPr>
        <w:t>2位</w:t>
      </w:r>
      <w:r>
        <w:rPr>
          <w:rFonts w:ascii="宋体" w:hAnsi="宋体" w:eastAsia="宋体" w:cs="宋体"/>
          <w:sz w:val="24"/>
          <w:szCs w:val="24"/>
        </w:rPr>
        <w:t>C19</w:t>
      </w:r>
      <w:r>
        <w:rPr>
          <w:rFonts w:hint="eastAsia"/>
          <w:lang w:val="en-US" w:eastAsia="zh-CN"/>
        </w:rPr>
        <w:t xml:space="preserve"> (</w:t>
      </w:r>
      <w:r>
        <w:rPr>
          <w:rFonts w:ascii="宋体" w:hAnsi="宋体" w:eastAsia="宋体" w:cs="宋体"/>
          <w:sz w:val="24"/>
          <w:szCs w:val="24"/>
        </w:rPr>
        <w:t>20A</w:t>
      </w:r>
      <w:r>
        <w:rPr>
          <w:rFonts w:hint="eastAsia" w:cs="宋体"/>
          <w:sz w:val="24"/>
          <w:szCs w:val="24"/>
          <w:lang w:val="en-US" w:eastAsia="zh-CN"/>
        </w:rPr>
        <w:t>)</w:t>
      </w:r>
      <w:r>
        <w:rPr>
          <w:rFonts w:ascii="宋体" w:hAnsi="宋体" w:eastAsia="宋体" w:cs="宋体"/>
          <w:sz w:val="24"/>
          <w:szCs w:val="24"/>
        </w:rPr>
        <w:t xml:space="preserve"> </w:t>
      </w:r>
      <w:r>
        <w:rPr>
          <w:rFonts w:hint="eastAsia"/>
          <w:highlight w:val="none"/>
          <w:lang w:val="en-US" w:eastAsia="zh-CN"/>
        </w:rPr>
        <w:t>输出</w:t>
      </w:r>
      <w:bookmarkEnd w:id="11"/>
      <w:r>
        <w:t>。</w:t>
      </w:r>
    </w:p>
    <w:p>
      <w:pPr>
        <w:pStyle w:val="3"/>
        <w:rPr>
          <w:rFonts w:hint="eastAsia"/>
        </w:rPr>
      </w:pPr>
      <w:r>
        <w:rPr>
          <w:rFonts w:hint="eastAsia"/>
          <w:lang w:val="en-US" w:eastAsia="zh-CN"/>
        </w:rPr>
        <w:t>3.</w:t>
      </w:r>
      <w:r>
        <w:rPr>
          <w:rFonts w:hint="eastAsia"/>
        </w:rPr>
        <w:t>精密空调</w:t>
      </w:r>
    </w:p>
    <w:p>
      <w:pPr>
        <w:rPr>
          <w:rFonts w:hint="eastAsia"/>
        </w:rPr>
      </w:pPr>
      <w:r>
        <w:t>容灾机房需配置精密空调，保障机房温湿度环境持续稳定。供应商所提供的精密空调应满足以下技术要求：</w:t>
      </w:r>
    </w:p>
    <w:p>
      <w:pPr>
        <w:pStyle w:val="144"/>
        <w:numPr>
          <w:ilvl w:val="0"/>
          <w:numId w:val="8"/>
        </w:numPr>
        <w:ind w:firstLineChars="0"/>
        <w:rPr>
          <w:rFonts w:hint="eastAsia"/>
        </w:rPr>
      </w:pPr>
      <w:r>
        <w:t>系统形式：精密空调应采用单系统单压缩机、风冷型，单台制冷量不低于17.5kW，显冷量不低于15.75kW，显热比不低于0.9，标准风量不低于5000m³/h</w:t>
      </w:r>
      <w:r>
        <w:rPr>
          <w:rFonts w:hint="eastAsia"/>
          <w:lang w:eastAsia="zh-CN"/>
        </w:rPr>
        <w:t>。</w:t>
      </w:r>
      <w:r>
        <w:rPr>
          <w:rFonts w:hint="eastAsia"/>
        </w:rPr>
        <w:t xml:space="preserve"> </w:t>
      </w:r>
    </w:p>
    <w:p>
      <w:pPr>
        <w:pStyle w:val="144"/>
        <w:numPr>
          <w:ilvl w:val="0"/>
          <w:numId w:val="8"/>
        </w:numPr>
        <w:ind w:firstLineChars="0"/>
        <w:rPr>
          <w:rFonts w:hint="eastAsia"/>
        </w:rPr>
      </w:pPr>
      <w:r>
        <w:rPr>
          <w:rFonts w:hint="eastAsia"/>
        </w:rPr>
        <w:t>下送风机型需配备专用风管，上送风机型需配备区域热交换设备</w:t>
      </w:r>
      <w:r>
        <w:rPr>
          <w:rFonts w:hint="eastAsia"/>
          <w:lang w:eastAsia="zh-CN"/>
        </w:rPr>
        <w:t>。</w:t>
      </w:r>
    </w:p>
    <w:p>
      <w:pPr>
        <w:pStyle w:val="144"/>
        <w:numPr>
          <w:ilvl w:val="0"/>
          <w:numId w:val="8"/>
        </w:numPr>
        <w:ind w:firstLineChars="0"/>
        <w:rPr>
          <w:rFonts w:hint="eastAsia"/>
        </w:rPr>
      </w:pPr>
      <w:r>
        <w:rPr>
          <w:rFonts w:hint="eastAsia"/>
        </w:rPr>
        <w:t>业务连续性要求：本次项目要求配备双机冗余配置</w:t>
      </w:r>
      <w:r>
        <w:rPr>
          <w:rFonts w:hint="eastAsia"/>
          <w:lang w:eastAsia="zh-CN"/>
        </w:rPr>
        <w:t>。</w:t>
      </w:r>
    </w:p>
    <w:p>
      <w:pPr>
        <w:ind w:left="1044" w:leftChars="435" w:firstLine="0" w:firstLineChars="0"/>
        <w:rPr>
          <w:rFonts w:hint="eastAsia"/>
        </w:rPr>
      </w:pPr>
      <w:r>
        <w:t>（</w:t>
      </w:r>
      <w:r>
        <w:rPr>
          <w:rFonts w:hint="eastAsia"/>
          <w:lang w:val="en-US" w:eastAsia="zh-CN"/>
        </w:rPr>
        <w:t>4</w:t>
      </w:r>
      <w:r>
        <w:t>）压缩机要求：压缩机应采用国际知名品牌（如艾默生、松下、日立等）</w:t>
      </w:r>
      <w:r>
        <w:rPr>
          <w:rFonts w:hint="eastAsia"/>
          <w:lang w:eastAsia="zh-CN"/>
        </w:rPr>
        <w:t>。</w:t>
      </w:r>
      <w:r>
        <w:t>（</w:t>
      </w:r>
      <w:r>
        <w:rPr>
          <w:rFonts w:hint="eastAsia"/>
          <w:lang w:val="en-US" w:eastAsia="zh-CN"/>
        </w:rPr>
        <w:t>5</w:t>
      </w:r>
      <w:r>
        <w:t>）EC风机：机组应采用全金属高效EC风机，可实现冷量输出在30%~100%范围内无级调节。</w:t>
      </w:r>
    </w:p>
    <w:p>
      <w:pPr>
        <w:rPr>
          <w:rFonts w:hint="eastAsia"/>
        </w:rPr>
      </w:pPr>
      <w:r>
        <w:t>（</w:t>
      </w:r>
      <w:r>
        <w:rPr>
          <w:rFonts w:hint="eastAsia"/>
          <w:lang w:val="en-US" w:eastAsia="zh-CN"/>
        </w:rPr>
        <w:t>6</w:t>
      </w:r>
      <w:r>
        <w:t>）换热器：换热器应搭载蓝色亲水膜铝箔翅片，表面气液流动更迅速，增强防腐蚀性能，提升整机换热效率；同时采用高效内螺纹铜管设计，增大管道内侧表面积，加速冷媒流动速度，提高空调机组能效。</w:t>
      </w:r>
    </w:p>
    <w:p>
      <w:pPr>
        <w:rPr>
          <w:rFonts w:hint="eastAsia"/>
        </w:rPr>
      </w:pPr>
      <w:r>
        <w:t>（</w:t>
      </w:r>
      <w:r>
        <w:rPr>
          <w:rFonts w:hint="eastAsia"/>
          <w:lang w:val="en-US" w:eastAsia="zh-CN"/>
        </w:rPr>
        <w:t>7</w:t>
      </w:r>
      <w:r>
        <w:t>）电子膨胀阀：应采用电子膨胀阀，有利于精准控制、更加高效节能，不接受热力膨胀阀等其他形式。</w:t>
      </w:r>
    </w:p>
    <w:p>
      <w:pPr>
        <w:rPr>
          <w:rFonts w:hint="eastAsia"/>
        </w:rPr>
      </w:pPr>
      <w:r>
        <w:t>（</w:t>
      </w:r>
      <w:r>
        <w:rPr>
          <w:rFonts w:hint="eastAsia"/>
          <w:lang w:val="en-US" w:eastAsia="zh-CN"/>
        </w:rPr>
        <w:t>8</w:t>
      </w:r>
      <w:r>
        <w:t>）机房空调标准：精密空调应满足GB/T 19413《中国机房空调专业认证》标准要求。</w:t>
      </w:r>
    </w:p>
    <w:p>
      <w:pPr>
        <w:rPr>
          <w:rFonts w:hint="eastAsia"/>
        </w:rPr>
      </w:pPr>
      <w:r>
        <w:t>（</w:t>
      </w:r>
      <w:r>
        <w:rPr>
          <w:rFonts w:hint="eastAsia"/>
          <w:lang w:val="en-US" w:eastAsia="zh-CN"/>
        </w:rPr>
        <w:t>9</w:t>
      </w:r>
      <w:r>
        <w:t>）OEM及环保证书：</w:t>
      </w:r>
      <w:r>
        <w:rPr>
          <w:highlight w:val="none"/>
        </w:rPr>
        <w:t>本项目拒绝采用OEM、ODM产品；</w:t>
      </w:r>
      <w:r>
        <w:t>精密空调应满足中国环境标志产品认证实施规则（工商用制冷设备ECC-1026EL）要求。</w:t>
      </w:r>
    </w:p>
    <w:p>
      <w:pPr>
        <w:rPr>
          <w:rFonts w:hint="eastAsia"/>
        </w:rPr>
      </w:pPr>
      <w:r>
        <w:t>（</w:t>
      </w:r>
      <w:r>
        <w:rPr>
          <w:rFonts w:hint="eastAsia"/>
          <w:lang w:val="en-US" w:eastAsia="zh-CN"/>
        </w:rPr>
        <w:t>10</w:t>
      </w:r>
      <w:r>
        <w:t>）制冷剂：应采用国产R410A环保型制冷剂，为无氯混合工质，不破坏臭氧层，符合环保及机房设备运行要求；含水量、含油量控制在行业标准范围内，保障空调机组换热效率与长期运行稳定性。每台机组配置足量制冷剂，含机组系统抽真空、保压、加注及调试过程中的损耗。</w:t>
      </w:r>
    </w:p>
    <w:p>
      <w:pPr>
        <w:rPr>
          <w:rFonts w:hint="eastAsia"/>
        </w:rPr>
      </w:pPr>
      <w:r>
        <w:t>（</w:t>
      </w:r>
      <w:r>
        <w:rPr>
          <w:rFonts w:hint="eastAsia"/>
          <w:lang w:val="en-US" w:eastAsia="zh-CN"/>
        </w:rPr>
        <w:t>11</w:t>
      </w:r>
      <w:r>
        <w:t>）技术服务：供应商应提供以下技术服务：①包含室外机承重支架、室内外机连接电缆、进出水排水管、存油弯、反向弯、冷冻油、全套五金杂件（膨胀螺栓、固定件等）及安装所需氮气、氧气、焊材等辅材；②负责空调设备的运输、卸车及室内外就位搬运；③包含室内外机固定、管路连接、线缆敷设、保温施工、冷凝水管路安装等全流程安装施工；④包含系统抽真空、保压检漏、制冷剂加注、机组通电调试、运行参数校准、机组联动测试，确保空调机组运行稳定、温湿度控制达标</w:t>
      </w:r>
      <w:r>
        <w:rPr>
          <w:rFonts w:hint="eastAsia"/>
          <w:lang w:eastAsia="zh-CN"/>
        </w:rPr>
        <w:t>。</w:t>
      </w:r>
      <w:r>
        <w:rPr>
          <w:rFonts w:hint="eastAsia"/>
        </w:rPr>
        <w:t xml:space="preserve"> </w:t>
      </w:r>
    </w:p>
    <w:p>
      <w:pPr>
        <w:pStyle w:val="3"/>
        <w:rPr>
          <w:rFonts w:hint="eastAsia"/>
        </w:rPr>
      </w:pPr>
      <w:r>
        <w:rPr>
          <w:rFonts w:hint="eastAsia"/>
          <w:lang w:val="en-US" w:eastAsia="zh-CN"/>
        </w:rPr>
        <w:t>4.</w:t>
      </w:r>
      <w:r>
        <w:rPr>
          <w:rFonts w:hint="eastAsia"/>
        </w:rPr>
        <w:t xml:space="preserve"> UPS主机</w:t>
      </w:r>
    </w:p>
    <w:p>
      <w:pPr>
        <w:rPr>
          <w:rFonts w:hint="eastAsia"/>
        </w:rPr>
      </w:pPr>
      <w:r>
        <w:t>为保障核心业务系统供电连续性，容灾机房需配置在线式UPS主机。供应商所提供的UPS主机应满足以下技术要求：</w:t>
      </w:r>
    </w:p>
    <w:p>
      <w:pPr>
        <w:pStyle w:val="144"/>
        <w:numPr>
          <w:ilvl w:val="0"/>
          <w:numId w:val="9"/>
        </w:numPr>
        <w:ind w:firstLineChars="0"/>
        <w:rPr>
          <w:rFonts w:hint="eastAsia"/>
        </w:rPr>
      </w:pPr>
      <w:r>
        <w:t>基本要求：应采用在</w:t>
      </w:r>
      <w:bookmarkStart w:id="12" w:name="OLE_LINK2"/>
      <w:r>
        <w:t>线式双变换高频型UPS，三进三出，容量不低于30k</w:t>
      </w:r>
      <w:bookmarkEnd w:id="12"/>
      <w:r>
        <w:t>VA，额定输出功率因数不低于0.9。</w:t>
      </w:r>
    </w:p>
    <w:p>
      <w:pPr>
        <w:pStyle w:val="144"/>
        <w:numPr>
          <w:ilvl w:val="0"/>
          <w:numId w:val="9"/>
        </w:numPr>
        <w:ind w:firstLineChars="0"/>
        <w:rPr>
          <w:rFonts w:hint="eastAsia"/>
        </w:rPr>
      </w:pPr>
      <w:r>
        <w:rPr>
          <w:rFonts w:hint="eastAsia"/>
        </w:rPr>
        <w:t>业务连续性要求：</w:t>
      </w:r>
      <w:r>
        <w:t>UPS系统续航时长≥</w:t>
      </w:r>
      <w:r>
        <w:rPr>
          <w:rFonts w:hint="eastAsia"/>
          <w:lang w:val="en-US" w:eastAsia="zh-CN"/>
        </w:rPr>
        <w:t>2小时</w:t>
      </w:r>
      <w:r>
        <w:rPr>
          <w:rFonts w:hint="eastAsia"/>
        </w:rPr>
        <w:t>，本次项目要求配备</w:t>
      </w:r>
      <w:bookmarkStart w:id="13" w:name="OLE_LINK15"/>
      <w:r>
        <w:rPr>
          <w:rFonts w:hint="eastAsia"/>
        </w:rPr>
        <w:t>2台设</w:t>
      </w:r>
      <w:bookmarkEnd w:id="13"/>
      <w:r>
        <w:rPr>
          <w:rFonts w:hint="eastAsia"/>
        </w:rPr>
        <w:t>备实现双机并机配置</w:t>
      </w:r>
      <w:r>
        <w:rPr>
          <w:rFonts w:hint="eastAsia"/>
          <w:lang w:eastAsia="zh-CN"/>
        </w:rPr>
        <w:t>。</w:t>
      </w:r>
    </w:p>
    <w:p>
      <w:pPr>
        <w:rPr>
          <w:rFonts w:hint="eastAsia"/>
        </w:rPr>
      </w:pPr>
      <w:r>
        <w:t>（</w:t>
      </w:r>
      <w:r>
        <w:rPr>
          <w:rFonts w:hint="eastAsia"/>
          <w:lang w:val="en-US" w:eastAsia="zh-CN"/>
        </w:rPr>
        <w:t>3</w:t>
      </w:r>
      <w:r>
        <w:t>）额定电压：输出额定电压应为380/400/415VAC可调。</w:t>
      </w:r>
    </w:p>
    <w:p>
      <w:pPr>
        <w:rPr>
          <w:rFonts w:hint="eastAsia"/>
        </w:rPr>
      </w:pPr>
      <w:r>
        <w:t>（</w:t>
      </w:r>
      <w:r>
        <w:rPr>
          <w:rFonts w:hint="eastAsia"/>
          <w:lang w:val="en-US" w:eastAsia="zh-CN"/>
        </w:rPr>
        <w:t>4</w:t>
      </w:r>
      <w:r>
        <w:t>）输入功率因数：输入功率因数不低于0.99（100%、50%、30%非线性负载时）。</w:t>
      </w:r>
    </w:p>
    <w:p>
      <w:pPr>
        <w:rPr>
          <w:rFonts w:hint="eastAsia"/>
        </w:rPr>
      </w:pPr>
      <w:r>
        <w:t>（</w:t>
      </w:r>
      <w:r>
        <w:rPr>
          <w:rFonts w:hint="eastAsia"/>
          <w:lang w:val="en-US" w:eastAsia="zh-CN"/>
        </w:rPr>
        <w:t>5</w:t>
      </w:r>
      <w:r>
        <w:t>）输入电流谐波：输入电流谐波成份：100%额定非线性负载不大于2.6%，50%额定非线性负载不大于4.8%，30%额定非线性负载不大于6.6%；投标时须提供本项目同规格泰尔认证证书、同系列第三方检验报告复印件佐证，并加盖厂家公章。</w:t>
      </w:r>
    </w:p>
    <w:p>
      <w:pPr>
        <w:rPr>
          <w:rFonts w:hint="eastAsia"/>
        </w:rPr>
      </w:pPr>
      <w:r>
        <w:t>（</w:t>
      </w:r>
      <w:r>
        <w:rPr>
          <w:rFonts w:hint="eastAsia"/>
          <w:lang w:val="en-US" w:eastAsia="zh-CN"/>
        </w:rPr>
        <w:t>6</w:t>
      </w:r>
      <w:r>
        <w:t>）稳压精度：输出为空载和额定阻性负载、调节输入电压为UPS上/下限值时，其稳压精度绝对值应不大于0.25%。</w:t>
      </w:r>
    </w:p>
    <w:p>
      <w:pPr>
        <w:rPr>
          <w:rFonts w:hint="eastAsia"/>
        </w:rPr>
      </w:pPr>
      <w:r>
        <w:t>（</w:t>
      </w:r>
      <w:r>
        <w:rPr>
          <w:rFonts w:hint="eastAsia"/>
          <w:lang w:val="en-US" w:eastAsia="zh-CN"/>
        </w:rPr>
        <w:t>7</w:t>
      </w:r>
      <w:r>
        <w:t>）电压波形失真度：输入电压波形失真度不大于5%；输出额定阻性负载与非线性负载时，输出电压波形失真度应为：100%市电阻性负载不大于0.9%，100%市电非线性负载不大于1.5%；投标时须提供本项目同规格泰尔认证证书、同系列第三方检验报告复印件佐证，并加盖厂家公章。</w:t>
      </w:r>
    </w:p>
    <w:p>
      <w:pPr>
        <w:rPr>
          <w:rFonts w:hint="eastAsia"/>
        </w:rPr>
      </w:pPr>
      <w:r>
        <w:t>（</w:t>
      </w:r>
      <w:r>
        <w:rPr>
          <w:rFonts w:hint="eastAsia"/>
          <w:lang w:val="en-US" w:eastAsia="zh-CN"/>
        </w:rPr>
        <w:t>8</w:t>
      </w:r>
      <w:r>
        <w:t>）系统效率：输入电压为额定值、输出接额定阻性负载时，系统效率：100%阻性负载不低于95.8%，50%阻性负载不低于96.2%，30%阻性负载不低于95.6%。</w:t>
      </w:r>
    </w:p>
    <w:p>
      <w:pPr>
        <w:rPr>
          <w:rFonts w:hint="eastAsia"/>
        </w:rPr>
      </w:pPr>
      <w:r>
        <w:t>（</w:t>
      </w:r>
      <w:r>
        <w:rPr>
          <w:rFonts w:hint="eastAsia"/>
          <w:lang w:val="en-US" w:eastAsia="zh-CN"/>
        </w:rPr>
        <w:t>9</w:t>
      </w:r>
      <w:r>
        <w:t>）保护功能：应具备各种保护与报警功能，包括输出短路保护、输出过载保护、过温度保护、电池电压低保护、输出过欠压保护、风扇故障告警等，并具备防雷保护功能。</w:t>
      </w:r>
    </w:p>
    <w:p>
      <w:pPr>
        <w:rPr>
          <w:rFonts w:hint="eastAsia"/>
        </w:rPr>
      </w:pPr>
      <w:r>
        <w:t>（</w:t>
      </w:r>
      <w:r>
        <w:rPr>
          <w:rFonts w:hint="eastAsia"/>
          <w:lang w:val="en-US" w:eastAsia="zh-CN"/>
        </w:rPr>
        <w:t>10</w:t>
      </w:r>
      <w:r>
        <w:t>）手动维修旁路：内部应标配手动维修旁路，标配电池温度侦测外部告警接口，标配输入输出继电器及电池继电器；投标时需提供由厂商出具的详细说明及系统结构图，并加盖厂商公章。</w:t>
      </w:r>
    </w:p>
    <w:p>
      <w:pPr>
        <w:rPr>
          <w:rFonts w:hint="eastAsia"/>
        </w:rPr>
      </w:pPr>
      <w:r>
        <w:t>（</w:t>
      </w:r>
      <w:r>
        <w:rPr>
          <w:rFonts w:hint="eastAsia"/>
          <w:lang w:val="en-US" w:eastAsia="zh-CN"/>
        </w:rPr>
        <w:t>11</w:t>
      </w:r>
      <w:r>
        <w:t>）并机功能：应具备并机功能，支持不少于4台并机运行。</w:t>
      </w:r>
    </w:p>
    <w:p>
      <w:pPr>
        <w:rPr>
          <w:rFonts w:hint="eastAsia"/>
        </w:rPr>
      </w:pPr>
      <w:r>
        <w:t>（1</w:t>
      </w:r>
      <w:r>
        <w:rPr>
          <w:rFonts w:hint="eastAsia"/>
          <w:lang w:val="en-US" w:eastAsia="zh-CN"/>
        </w:rPr>
        <w:t>2</w:t>
      </w:r>
      <w:r>
        <w:t>）自老化功能：应具备自老化功能，在后端不接任何负载的情况下，UPS上电后只需通过操作面板设置即可自行老化；投标时须提供由厂家出具的实物截图及详细操作步骤的证明文件，并加盖厂家公章。</w:t>
      </w:r>
    </w:p>
    <w:p>
      <w:pPr>
        <w:rPr>
          <w:rFonts w:hint="eastAsia"/>
        </w:rPr>
      </w:pPr>
      <w:r>
        <w:t>（1</w:t>
      </w:r>
      <w:r>
        <w:rPr>
          <w:rFonts w:hint="eastAsia"/>
          <w:lang w:val="en-US" w:eastAsia="zh-CN"/>
        </w:rPr>
        <w:t>3</w:t>
      </w:r>
      <w:r>
        <w:t>）节能认证：须满足CQC3108-2011《不间断电源节能认证技术规范》标准要求，应提供包含本项目同规格、同型号的中国节能产品认证证书复印件，并加盖厂家公章。</w:t>
      </w:r>
    </w:p>
    <w:p>
      <w:pPr>
        <w:rPr>
          <w:rFonts w:hint="eastAsia"/>
        </w:rPr>
      </w:pPr>
      <w:r>
        <w:t>（1</w:t>
      </w:r>
      <w:r>
        <w:rPr>
          <w:rFonts w:hint="eastAsia"/>
          <w:lang w:val="en-US" w:eastAsia="zh-CN"/>
        </w:rPr>
        <w:t>4</w:t>
      </w:r>
      <w:r>
        <w:t>）技术服务：供应商应提供以下技术服务：①完成新电池柜、电池组及配套开关线缆的搬运、就位、安装，包含UPS主机与电池组的连接、线缆敷设、固定；②安装完成后进行UPS主机与电池组联动调试，确保系统运行正常</w:t>
      </w:r>
      <w:r>
        <w:rPr>
          <w:rFonts w:hint="eastAsia"/>
          <w:lang w:eastAsia="zh-CN"/>
        </w:rPr>
        <w:t>。</w:t>
      </w:r>
      <w:r>
        <w:rPr>
          <w:rFonts w:hint="eastAsia"/>
        </w:rPr>
        <w:t xml:space="preserve"> </w:t>
      </w:r>
    </w:p>
    <w:p>
      <w:pPr>
        <w:pStyle w:val="3"/>
        <w:rPr>
          <w:rFonts w:hint="eastAsia"/>
        </w:rPr>
      </w:pPr>
      <w:r>
        <w:rPr>
          <w:rFonts w:hint="eastAsia"/>
          <w:lang w:val="en-US" w:eastAsia="zh-CN"/>
        </w:rPr>
        <w:t>5.</w:t>
      </w:r>
      <w:r>
        <w:rPr>
          <w:rFonts w:hint="eastAsia"/>
        </w:rPr>
        <w:t>铅酸蓄电池</w:t>
      </w:r>
    </w:p>
    <w:p>
      <w:pPr>
        <w:rPr>
          <w:rFonts w:hint="eastAsia"/>
        </w:rPr>
      </w:pPr>
      <w:r>
        <w:t>UPS系统应配套阀控式密封铅酸蓄电池组，保障断电后的持续供电能力。蓄电池应满足以下技术要求：</w:t>
      </w:r>
    </w:p>
    <w:p>
      <w:pPr>
        <w:rPr>
          <w:rFonts w:hint="eastAsia"/>
        </w:rPr>
      </w:pPr>
      <w:r>
        <w:t>（1）电池类型：</w:t>
      </w:r>
      <w:r>
        <w:rPr>
          <w:rFonts w:hint="eastAsia"/>
        </w:rPr>
        <w:t>默认配备32节电池，</w:t>
      </w:r>
      <w:r>
        <w:t>应采用阀控式密封铅酸蓄电池，单节标称电压12V，单节容量不低于100Ah。</w:t>
      </w:r>
    </w:p>
    <w:p>
      <w:pPr>
        <w:rPr>
          <w:rFonts w:hint="eastAsia"/>
        </w:rPr>
      </w:pPr>
      <w:r>
        <w:t>（2）品牌与产地要求：UPS主机与蓄电池应为同一品牌，蓄电池必须由投标品牌原厂生产，不允许OEM、ODM贴牌生产；投标时必须提供产品制造商的原厂原产地申明文件，检验报告的申请单位与生产单位必须为同一法人机构或其控股子（分）公司。</w:t>
      </w:r>
    </w:p>
    <w:p>
      <w:pPr>
        <w:rPr>
          <w:rFonts w:hint="eastAsia"/>
        </w:rPr>
      </w:pPr>
      <w:r>
        <w:t>（3）安全阀要求：安全阀应具有自动开启和关闭功能，开启压力应在17.20~17.40kPa，关闭压力应在15.40~15.50kPa之间。</w:t>
      </w:r>
    </w:p>
    <w:p>
      <w:pPr>
        <w:rPr>
          <w:rFonts w:hint="eastAsia"/>
        </w:rPr>
      </w:pPr>
      <w:r>
        <w:t>（4）气体析出：在20℃及单体电压为Uflo(V)浮充条件下Ge≤0.007mL，在20℃及单体电压2.4(V)充电条件下Ge≤0.03mL；投标时须提供同系列盖有CMA和CNAS的第三方检验报告复印件佐证，并加盖厂家公章。</w:t>
      </w:r>
    </w:p>
    <w:p>
      <w:pPr>
        <w:rPr>
          <w:rFonts w:hint="eastAsia"/>
        </w:rPr>
      </w:pPr>
      <w:r>
        <w:t>（5）端电压均衡性：端电压均衡性，开路应不大于32mV，浮充应不大于4mV，放电应不大于0.14V；投标时须提供本项目同系列盖有CMA和CNAS的第三方检验报告复印件佐证，并加盖厂家公章。</w:t>
      </w:r>
    </w:p>
    <w:p>
      <w:pPr>
        <w:rPr>
          <w:rFonts w:hint="eastAsia"/>
        </w:rPr>
      </w:pPr>
      <w:r>
        <w:t>（6）热失控敏感性：经完全充电后，在（25±5）℃环境中，以（2.45±0.1）V/单体的恒定电压（不限流）连续充电168h，应满足蓄电池温度不大于29.6℃，每24h的电流增长率不大于30.60%。</w:t>
      </w:r>
    </w:p>
    <w:p>
      <w:pPr>
        <w:rPr>
          <w:rFonts w:hint="eastAsia"/>
        </w:rPr>
      </w:pPr>
      <w:r>
        <w:t>（7）短路电流与内阻：计算短路电流应不大于5750A。</w:t>
      </w:r>
    </w:p>
    <w:p>
      <w:pPr>
        <w:rPr>
          <w:rFonts w:hint="eastAsia"/>
        </w:rPr>
      </w:pPr>
      <w:r>
        <w:t>（8）阻燃性能：蓄电池壳、盖、安全阀、连接条保护罩应符合GB/T 2408-2021中第8.4.2条HB（水平级）和第9.4条V-0（垂直级）要求。</w:t>
      </w:r>
    </w:p>
    <w:p>
      <w:pPr>
        <w:pStyle w:val="3"/>
        <w:rPr>
          <w:rFonts w:hint="eastAsia" w:eastAsia="宋体"/>
          <w:lang w:val="en-US" w:eastAsia="zh-CN"/>
        </w:rPr>
      </w:pPr>
      <w:r>
        <w:rPr>
          <w:rFonts w:hint="eastAsia"/>
          <w:lang w:val="en-US" w:eastAsia="zh-CN"/>
        </w:rPr>
        <w:t>6.</w:t>
      </w:r>
      <w:r>
        <w:rPr>
          <w:rFonts w:hint="eastAsia"/>
        </w:rPr>
        <w:t>电池</w:t>
      </w:r>
      <w:r>
        <w:rPr>
          <w:rFonts w:hint="eastAsia"/>
          <w:lang w:val="en-US" w:eastAsia="zh-CN"/>
        </w:rPr>
        <w:t>架</w:t>
      </w:r>
    </w:p>
    <w:p>
      <w:pPr>
        <w:rPr>
          <w:rFonts w:hint="eastAsia"/>
        </w:rPr>
      </w:pPr>
      <w:r>
        <w:t>蓄电池组应安装于专用电池</w:t>
      </w:r>
      <w:r>
        <w:rPr>
          <w:rFonts w:hint="eastAsia"/>
          <w:lang w:val="en-US" w:eastAsia="zh-CN"/>
        </w:rPr>
        <w:t>架</w:t>
      </w:r>
      <w:r>
        <w:t>内，保障运行安全并便于维护。电池</w:t>
      </w:r>
      <w:r>
        <w:rPr>
          <w:rFonts w:hint="eastAsia"/>
          <w:lang w:val="en-US" w:eastAsia="zh-CN"/>
        </w:rPr>
        <w:t>架</w:t>
      </w:r>
      <w:r>
        <w:t>应满足以下要求：</w:t>
      </w:r>
    </w:p>
    <w:p>
      <w:pPr>
        <w:rPr>
          <w:rFonts w:hint="eastAsia"/>
        </w:rPr>
      </w:pPr>
      <w:r>
        <w:t>（1）电池容纳能力：标准配置可容纳32只12V/100Ah阀控式铅酸蓄电池，预留充足通风散热空间，避免电池因积热导致性能衰减。</w:t>
      </w:r>
    </w:p>
    <w:p>
      <w:pPr>
        <w:rPr>
          <w:rFonts w:hint="eastAsia"/>
        </w:rPr>
      </w:pPr>
      <w:r>
        <w:t>（2）承重与安全配置：标配高强度承重支架2组，可安全承载满配电池重量；设计有接地端子、线缆管理通道，保障运行安全。</w:t>
      </w:r>
    </w:p>
    <w:p>
      <w:pPr>
        <w:rPr>
          <w:rFonts w:hint="eastAsia"/>
        </w:rPr>
      </w:pPr>
      <w:r>
        <w:t>（3）电池开关：应包含直流专用空气开关，适配电池组直流回路，具备过流、短路保护功能，作为电池组主回路保护装置，在设备故障、过流或短路时可快速切断电源，有效保护后端UPS主机及负载设备，同时方便电池回路的检修与维护。</w:t>
      </w:r>
    </w:p>
    <w:p>
      <w:pPr>
        <w:pStyle w:val="3"/>
        <w:rPr>
          <w:rFonts w:hint="eastAsia"/>
        </w:rPr>
      </w:pPr>
      <w:r>
        <w:rPr>
          <w:rFonts w:hint="eastAsia"/>
          <w:lang w:val="en-US" w:eastAsia="zh-CN"/>
        </w:rPr>
        <w:t>7.</w:t>
      </w:r>
      <w:r>
        <w:rPr>
          <w:rFonts w:hint="eastAsia"/>
        </w:rPr>
        <w:t xml:space="preserve"> 配电柜</w:t>
      </w:r>
    </w:p>
    <w:p>
      <w:pPr>
        <w:pStyle w:val="4"/>
        <w:rPr>
          <w:rFonts w:hint="eastAsia"/>
        </w:rPr>
      </w:pPr>
      <w:r>
        <w:rPr>
          <w:rFonts w:hint="eastAsia"/>
          <w:lang w:val="en-US" w:eastAsia="zh-CN"/>
        </w:rPr>
        <w:t>（1）</w:t>
      </w:r>
      <w:r>
        <w:t>电气性能</w:t>
      </w:r>
    </w:p>
    <w:p>
      <w:pPr>
        <w:rPr>
          <w:rFonts w:hint="eastAsia"/>
        </w:rPr>
      </w:pPr>
      <w:r>
        <w:t>输入电压380V/400V/415V，适配UPS输出160A容量，支持IT专业配电；可监测总路及所有支路电力参数，配备C级防雷；机柜尺寸</w:t>
      </w:r>
      <w:r>
        <w:rPr>
          <w:rFonts w:hint="eastAsia"/>
          <w:lang w:val="en-US" w:eastAsia="zh-CN"/>
        </w:rPr>
        <w:t>大于或等于</w:t>
      </w:r>
      <w:r>
        <w:t>600*1200*2200mm。</w:t>
      </w:r>
    </w:p>
    <w:p>
      <w:pPr>
        <w:pStyle w:val="4"/>
        <w:rPr>
          <w:rFonts w:hint="eastAsia"/>
        </w:rPr>
      </w:pPr>
      <w:r>
        <w:rPr>
          <w:rFonts w:hint="eastAsia"/>
          <w:lang w:val="en-US" w:eastAsia="zh-CN"/>
        </w:rPr>
        <w:t>（2）</w:t>
      </w:r>
      <w:r>
        <w:t>工作环境</w:t>
      </w:r>
    </w:p>
    <w:p>
      <w:pPr>
        <w:rPr>
          <w:rFonts w:hint="eastAsia"/>
        </w:rPr>
      </w:pPr>
      <w:r>
        <w:t>防护等级IP20，工作温度0℃～+40℃，湿度≤95%无凝露；1000m海拔满负荷运行，抗震等级适配8-9烈度，提供第三方测试报告。</w:t>
      </w:r>
    </w:p>
    <w:p>
      <w:pPr>
        <w:pStyle w:val="4"/>
        <w:rPr>
          <w:rFonts w:hint="eastAsia"/>
        </w:rPr>
      </w:pPr>
      <w:r>
        <w:rPr>
          <w:rFonts w:hint="eastAsia"/>
          <w:lang w:val="en-US" w:eastAsia="zh-CN"/>
        </w:rPr>
        <w:t>（3）</w:t>
      </w:r>
      <w:r>
        <w:t>核心配件要求</w:t>
      </w:r>
    </w:p>
    <w:p>
      <w:pPr>
        <w:rPr>
          <w:rFonts w:hint="eastAsia"/>
        </w:rPr>
      </w:pPr>
      <w:r>
        <w:t>配电柜断路器采用国内一线知名品牌，保障供电稳定性。</w:t>
      </w:r>
    </w:p>
    <w:p>
      <w:pPr>
        <w:pStyle w:val="4"/>
        <w:rPr>
          <w:rFonts w:hint="eastAsia"/>
        </w:rPr>
      </w:pPr>
      <w:r>
        <w:rPr>
          <w:rFonts w:hint="eastAsia"/>
          <w:lang w:val="en-US" w:eastAsia="zh-CN"/>
        </w:rPr>
        <w:t>（4）</w:t>
      </w:r>
      <w:r>
        <w:t>输出配线</w:t>
      </w:r>
    </w:p>
    <w:p>
      <w:pPr>
        <w:rPr>
          <w:rFonts w:hint="eastAsia"/>
        </w:rPr>
      </w:pPr>
      <w:r>
        <w:rPr>
          <w:rFonts w:hint="eastAsia"/>
        </w:rPr>
        <w:t>每台</w:t>
      </w:r>
      <w:r>
        <w:t>UPS 输出到每个机柜的PDU配电采用独立回路，单个回路故障不影响其他机柜PDU供电。</w:t>
      </w:r>
    </w:p>
    <w:p>
      <w:pPr>
        <w:pStyle w:val="2"/>
        <w:ind w:firstLine="602"/>
        <w:rPr>
          <w:rFonts w:hint="eastAsia"/>
        </w:rPr>
      </w:pPr>
      <w:bookmarkStart w:id="14" w:name="heading_20"/>
      <w:r>
        <w:rPr>
          <w:rFonts w:hint="eastAsia"/>
        </w:rPr>
        <w:t>九、管线与光纤骨干工程技术标准</w:t>
      </w:r>
      <w:bookmarkEnd w:id="14"/>
    </w:p>
    <w:p>
      <w:pPr>
        <w:pStyle w:val="3"/>
        <w:rPr>
          <w:rFonts w:hint="eastAsia"/>
        </w:rPr>
      </w:pPr>
      <w:bookmarkStart w:id="15" w:name="heading_21"/>
      <w:r>
        <w:rPr>
          <w:rFonts w:hint="eastAsia"/>
          <w:lang w:val="en-US" w:eastAsia="zh-CN"/>
        </w:rPr>
        <w:t>1.</w:t>
      </w:r>
      <w:r>
        <w:t>电力电缆技术标准</w:t>
      </w:r>
      <w:bookmarkEnd w:id="15"/>
    </w:p>
    <w:p>
      <w:pPr>
        <w:rPr>
          <w:rFonts w:hint="eastAsia"/>
        </w:rPr>
      </w:pPr>
      <w:r>
        <w:rPr>
          <w:rFonts w:hint="eastAsia"/>
          <w:lang w:eastAsia="zh-CN"/>
        </w:rPr>
        <w:t>（</w:t>
      </w:r>
      <w:r>
        <w:rPr>
          <w:rFonts w:hint="eastAsia"/>
          <w:lang w:val="en-US" w:eastAsia="zh-CN"/>
        </w:rPr>
        <w:t>1</w:t>
      </w:r>
      <w:r>
        <w:rPr>
          <w:rFonts w:hint="eastAsia"/>
          <w:lang w:eastAsia="zh-CN"/>
        </w:rPr>
        <w:t>）</w:t>
      </w:r>
      <w:r>
        <w:t xml:space="preserve"> 线缆规格：采用国标铜芯阻燃耐火铠装电力电缆（ZR-YJV22），耐高低温、防腐蚀、抗老化，适配院区室外长期敷设；</w:t>
      </w:r>
    </w:p>
    <w:p>
      <w:pPr>
        <w:rPr>
          <w:rFonts w:hint="eastAsia"/>
        </w:rPr>
      </w:pPr>
      <w:r>
        <w:rPr>
          <w:rFonts w:hint="eastAsia"/>
          <w:lang w:eastAsia="zh-CN"/>
        </w:rPr>
        <w:t>（</w:t>
      </w:r>
      <w:r>
        <w:rPr>
          <w:rFonts w:hint="eastAsia"/>
          <w:lang w:val="en-US" w:eastAsia="zh-CN"/>
        </w:rPr>
        <w:t>2</w:t>
      </w:r>
      <w:r>
        <w:rPr>
          <w:rFonts w:hint="eastAsia"/>
          <w:lang w:eastAsia="zh-CN"/>
        </w:rPr>
        <w:t>）</w:t>
      </w:r>
      <w:r>
        <w:t xml:space="preserve"> 性能要求：载流量满足容灾机房满负荷运行功耗需求，冗余充足；</w:t>
      </w:r>
    </w:p>
    <w:p>
      <w:pPr>
        <w:rPr>
          <w:rFonts w:hint="eastAsia"/>
        </w:rPr>
      </w:pPr>
      <w:r>
        <w:rPr>
          <w:rFonts w:hint="eastAsia"/>
          <w:lang w:eastAsia="zh-CN"/>
        </w:rPr>
        <w:t>（</w:t>
      </w:r>
      <w:r>
        <w:rPr>
          <w:rFonts w:hint="eastAsia"/>
          <w:lang w:val="en-US" w:eastAsia="zh-CN"/>
        </w:rPr>
        <w:t>3</w:t>
      </w:r>
      <w:r>
        <w:rPr>
          <w:rFonts w:hint="eastAsia"/>
          <w:lang w:eastAsia="zh-CN"/>
        </w:rPr>
        <w:t>）</w:t>
      </w:r>
      <w:r>
        <w:t>敷设路由：沿院区封闭管沟、金属桥架敷设，避开积水区、医用气体管道、强辐射设备区域；</w:t>
      </w:r>
    </w:p>
    <w:p>
      <w:pPr>
        <w:rPr>
          <w:rFonts w:hint="eastAsia"/>
        </w:rPr>
      </w:pPr>
      <w:r>
        <w:rPr>
          <w:rFonts w:hint="eastAsia"/>
          <w:lang w:eastAsia="zh-CN"/>
        </w:rPr>
        <w:t>（</w:t>
      </w:r>
      <w:r>
        <w:rPr>
          <w:rFonts w:hint="eastAsia"/>
          <w:lang w:val="en-US" w:eastAsia="zh-CN"/>
        </w:rPr>
        <w:t>4</w:t>
      </w:r>
      <w:r>
        <w:rPr>
          <w:rFonts w:hint="eastAsia"/>
          <w:lang w:eastAsia="zh-CN"/>
        </w:rPr>
        <w:t>）</w:t>
      </w:r>
      <w:r>
        <w:t>施工规范：遵循GB50311标准，电缆弯曲半径</w:t>
      </w:r>
      <w:r>
        <w:rPr>
          <w:rFonts w:hint="eastAsia"/>
          <w:lang w:val="en-US" w:eastAsia="zh-CN"/>
        </w:rPr>
        <w:t>不低于</w:t>
      </w:r>
      <w:r>
        <w:t>10倍外径，桥架利用率≤40%，强弱电分层隔离、全程可靠接地；</w:t>
      </w:r>
    </w:p>
    <w:p>
      <w:pPr>
        <w:rPr>
          <w:rFonts w:hint="eastAsia"/>
        </w:rPr>
      </w:pPr>
      <w:r>
        <w:rPr>
          <w:rFonts w:hint="eastAsia"/>
          <w:lang w:eastAsia="zh-CN"/>
        </w:rPr>
        <w:t>（</w:t>
      </w:r>
      <w:r>
        <w:rPr>
          <w:rFonts w:hint="eastAsia"/>
          <w:lang w:val="en-US" w:eastAsia="zh-CN"/>
        </w:rPr>
        <w:t>5</w:t>
      </w:r>
      <w:r>
        <w:rPr>
          <w:rFonts w:hint="eastAsia"/>
          <w:lang w:eastAsia="zh-CN"/>
        </w:rPr>
        <w:t>）</w:t>
      </w:r>
      <w:r>
        <w:t xml:space="preserve"> 标识端接：两端规范端接，统一加装标准化标识牌，标注用途、路由、联系人</w:t>
      </w:r>
      <w:r>
        <w:rPr>
          <w:rFonts w:hint="eastAsia"/>
          <w:lang w:eastAsia="zh-CN"/>
        </w:rPr>
        <w:t>。</w:t>
      </w:r>
    </w:p>
    <w:p>
      <w:pPr>
        <w:pStyle w:val="3"/>
        <w:rPr>
          <w:rFonts w:hint="eastAsia"/>
        </w:rPr>
      </w:pPr>
      <w:bookmarkStart w:id="16" w:name="heading_22"/>
      <w:r>
        <w:rPr>
          <w:rFonts w:hint="eastAsia"/>
          <w:lang w:val="en-US" w:eastAsia="zh-CN"/>
        </w:rPr>
        <w:t>2.</w:t>
      </w:r>
      <w:r>
        <w:t xml:space="preserve"> 配套辅材需求</w:t>
      </w:r>
      <w:bookmarkEnd w:id="16"/>
    </w:p>
    <w:p>
      <w:pPr>
        <w:rPr>
          <w:rFonts w:hint="eastAsia"/>
        </w:rPr>
      </w:pPr>
      <w:r>
        <w:t>全套包含镀锌桥架、金属穿线管、防火封堵材料、接地铜带、接线端子、防水接头、标识标牌、管沟防水处理等所有配套辅材，全部为国标全新产品。</w:t>
      </w:r>
    </w:p>
    <w:p>
      <w:pPr>
        <w:pStyle w:val="3"/>
        <w:rPr>
          <w:rFonts w:hint="eastAsia"/>
        </w:rPr>
      </w:pPr>
      <w:bookmarkStart w:id="17" w:name="heading_23"/>
      <w:r>
        <w:rPr>
          <w:rFonts w:hint="eastAsia"/>
          <w:lang w:val="en-US" w:eastAsia="zh-CN"/>
        </w:rPr>
        <w:t>3.</w:t>
      </w:r>
      <w:r>
        <w:t xml:space="preserve"> 建筑群光纤骨干专项需求</w:t>
      </w:r>
      <w:bookmarkEnd w:id="17"/>
    </w:p>
    <w:p>
      <w:pPr>
        <w:pStyle w:val="4"/>
        <w:ind w:firstLine="480"/>
        <w:rPr>
          <w:rFonts w:hint="eastAsia"/>
          <w:b w:val="0"/>
          <w:bCs w:val="0"/>
          <w:szCs w:val="22"/>
        </w:rPr>
      </w:pPr>
      <w:r>
        <w:rPr>
          <w:b w:val="0"/>
          <w:bCs w:val="0"/>
          <w:szCs w:val="22"/>
        </w:rPr>
        <w:t>新建主楼综合楼、备用机房、综合楼医技楼、中心机房全网光纤骨干冗余链路，满足医疗大数据、影像业务高速稳定传输。</w:t>
      </w:r>
    </w:p>
    <w:p>
      <w:pPr>
        <w:pStyle w:val="4"/>
        <w:rPr>
          <w:rFonts w:hint="eastAsia"/>
        </w:rPr>
      </w:pPr>
      <w:bookmarkStart w:id="18" w:name="OLE_LINK5"/>
      <w:r>
        <w:rPr>
          <w:rFonts w:hint="eastAsia"/>
          <w:lang w:val="en-US" w:eastAsia="zh-CN"/>
        </w:rPr>
        <w:t>3.</w:t>
      </w:r>
      <w:bookmarkEnd w:id="18"/>
      <w:r>
        <w:t>1 光缆核心参数</w:t>
      </w:r>
    </w:p>
    <w:p>
      <w:pPr>
        <w:rPr>
          <w:rFonts w:hint="eastAsia"/>
        </w:rPr>
      </w:pPr>
      <w:r>
        <w:t>（1）光缆类型：室外层绞式铠装单模48芯光缆（GYTA/GYTS），防潮抗压，适配户外长期运行；</w:t>
      </w:r>
    </w:p>
    <w:p>
      <w:pPr>
        <w:rPr>
          <w:rFonts w:hint="eastAsia"/>
        </w:rPr>
      </w:pPr>
      <w:r>
        <w:t>（2）链路配置：备用机房</w:t>
      </w:r>
      <w:r>
        <w:rPr>
          <w:rFonts w:ascii="Times New Roman" w:hAnsi="Times New Roman" w:cs="Times New Roman"/>
        </w:rPr>
        <w:t>↔</w:t>
      </w:r>
      <w:r>
        <w:t>综合楼、备用机房</w:t>
      </w:r>
      <w:r>
        <w:rPr>
          <w:rFonts w:ascii="Times New Roman" w:hAnsi="Times New Roman" w:cs="Times New Roman"/>
        </w:rPr>
        <w:t>↔</w:t>
      </w:r>
      <w:r>
        <w:t>中心机房、备用机房</w:t>
      </w:r>
      <w:r>
        <w:rPr>
          <w:rFonts w:ascii="Times New Roman" w:hAnsi="Times New Roman" w:cs="Times New Roman"/>
        </w:rPr>
        <w:t>↔</w:t>
      </w:r>
      <w:r>
        <w:t>医技楼单链路冗余部署；</w:t>
      </w:r>
    </w:p>
    <w:p>
      <w:pPr>
        <w:rPr>
          <w:rFonts w:hint="eastAsia"/>
        </w:rPr>
      </w:pPr>
      <w:r>
        <w:t>（3）光纤规格：单模光纤，支持</w:t>
      </w:r>
      <w:r>
        <w:rPr>
          <w:rFonts w:hint="eastAsia"/>
          <w:lang w:val="en-US" w:eastAsia="zh-CN"/>
        </w:rPr>
        <w:t>10</w:t>
      </w:r>
      <w:r>
        <w:t>万兆及以上高速传输，满足PACS影像大数据传输需求。</w:t>
      </w:r>
    </w:p>
    <w:p>
      <w:pPr>
        <w:pStyle w:val="4"/>
        <w:rPr>
          <w:rFonts w:hint="eastAsia"/>
        </w:rPr>
      </w:pPr>
      <w:r>
        <w:rPr>
          <w:rFonts w:hint="eastAsia"/>
          <w:lang w:val="en-US" w:eastAsia="zh-CN"/>
        </w:rPr>
        <w:t>3.</w:t>
      </w:r>
      <w:r>
        <w:t>2 配线熔接规范</w:t>
      </w:r>
    </w:p>
    <w:p>
      <w:pPr>
        <w:rPr>
          <w:rFonts w:hint="eastAsia"/>
        </w:rPr>
      </w:pPr>
      <w:r>
        <w:t>（1）两端配置对应规格ODF配线架，机房内标准化配线；</w:t>
      </w:r>
    </w:p>
    <w:p>
      <w:pPr>
        <w:rPr>
          <w:rFonts w:hint="eastAsia"/>
        </w:rPr>
      </w:pPr>
      <w:r>
        <w:t>（2）全程热熔接施工，单点点熔接损耗≤0.03dB，禁止冷接；</w:t>
      </w:r>
    </w:p>
    <w:p>
      <w:pPr>
        <w:rPr>
          <w:rFonts w:hint="eastAsia"/>
        </w:rPr>
      </w:pPr>
      <w:r>
        <w:t>（3）采用LC/UPC尾纤，机房光纤槽道布线，强弱电物理隔离；</w:t>
      </w:r>
    </w:p>
    <w:p>
      <w:pPr>
        <w:rPr>
          <w:rFonts w:hint="eastAsia"/>
        </w:rPr>
      </w:pPr>
      <w:r>
        <w:t>（4）机房盘留3-5米光缆余量，室外转角预留冗余；</w:t>
      </w:r>
    </w:p>
    <w:p>
      <w:pPr>
        <w:rPr>
          <w:rFonts w:hint="eastAsia"/>
        </w:rPr>
      </w:pPr>
      <w:r>
        <w:t>（5）全链路标准化标签标识，清晰标注路由、芯数、用途</w:t>
      </w:r>
      <w:r>
        <w:rPr>
          <w:rFonts w:hint="eastAsia"/>
          <w:lang w:eastAsia="zh-CN"/>
        </w:rPr>
        <w:t>。</w:t>
      </w:r>
    </w:p>
    <w:p>
      <w:pPr>
        <w:pStyle w:val="4"/>
        <w:rPr>
          <w:rFonts w:hint="eastAsia"/>
        </w:rPr>
      </w:pPr>
      <w:r>
        <w:rPr>
          <w:rFonts w:hint="eastAsia"/>
          <w:lang w:val="en-US" w:eastAsia="zh-CN"/>
        </w:rPr>
        <w:t>3.</w:t>
      </w:r>
      <w:r>
        <w:t>3 敷设施工要求</w:t>
      </w:r>
    </w:p>
    <w:p>
      <w:pPr>
        <w:rPr>
          <w:rFonts w:hint="eastAsia"/>
        </w:rPr>
      </w:pPr>
      <w:r>
        <w:t>光缆弯曲半径达标，严禁碾压拖拽；室外桥架防水封闭处理，穿墙楼板位置专业防火封堵；金属构件、加强芯两端可靠接地，杜绝干扰。</w:t>
      </w:r>
    </w:p>
    <w:p>
      <w:pPr>
        <w:pStyle w:val="2"/>
        <w:ind w:firstLine="602"/>
        <w:rPr>
          <w:rFonts w:hint="eastAsia"/>
        </w:rPr>
      </w:pPr>
      <w:bookmarkStart w:id="19" w:name="heading_24"/>
      <w:r>
        <w:rPr>
          <w:rFonts w:hint="eastAsia"/>
        </w:rPr>
        <w:t>十、洁净气体消防系统需求</w:t>
      </w:r>
      <w:bookmarkEnd w:id="19"/>
    </w:p>
    <w:p>
      <w:pPr>
        <w:rPr>
          <w:rFonts w:hint="eastAsia"/>
        </w:rPr>
      </w:pPr>
      <w:r>
        <w:t>系统建设严格遵循GB50370、GB/T41783消防规范，适配机房精密设备防护需求。</w:t>
      </w:r>
    </w:p>
    <w:p>
      <w:pPr>
        <w:rPr>
          <w:rFonts w:hint="eastAsia"/>
        </w:rPr>
      </w:pPr>
      <w:r>
        <w:t>1. 灭火介质：采用七氟丙烷（</w:t>
      </w:r>
      <w:r>
        <w:rPr>
          <w:b/>
        </w:rPr>
        <w:t>HFC-227ea</w:t>
      </w:r>
      <w:r>
        <w:t>）洁净气体，无残留、无腐蚀、无污染，适配服务器、存储、网络精密设备防护；</w:t>
      </w:r>
    </w:p>
    <w:p>
      <w:pPr>
        <w:rPr>
          <w:rFonts w:hint="eastAsia"/>
        </w:rPr>
      </w:pPr>
      <w:r>
        <w:t>2. 防护范围：全覆盖机房机柜核心设备区域、机房密闭区域；</w:t>
      </w:r>
    </w:p>
    <w:p>
      <w:pPr>
        <w:rPr>
          <w:rFonts w:hint="eastAsia"/>
        </w:rPr>
      </w:pPr>
      <w:r>
        <w:t>3. 探测装置：配置双通道烟感+温感复合探测器，实现两级预警告警；</w:t>
      </w:r>
    </w:p>
    <w:p>
      <w:pPr>
        <w:rPr>
          <w:rFonts w:hint="eastAsia"/>
        </w:rPr>
      </w:pPr>
      <w:r>
        <w:rPr>
          <w:rFonts w:hint="eastAsia"/>
        </w:rPr>
        <w:t>4</w:t>
      </w:r>
      <w:r>
        <w:t>. 配套防护：配置气体喷放指示灯、紧急启停按钮、应急泄压窗；</w:t>
      </w:r>
    </w:p>
    <w:p>
      <w:pPr>
        <w:rPr>
          <w:rFonts w:hint="eastAsia"/>
        </w:rPr>
      </w:pPr>
      <w:r>
        <w:rPr>
          <w:rFonts w:hint="eastAsia"/>
        </w:rPr>
        <w:t>5</w:t>
      </w:r>
      <w:r>
        <w:t>. 验收标准：全套系统具备正规消防检测报告，可顺利通过消防专项验收。</w:t>
      </w:r>
    </w:p>
    <w:p>
      <w:pPr>
        <w:pStyle w:val="2"/>
        <w:ind w:firstLine="602"/>
        <w:rPr>
          <w:rFonts w:hint="eastAsia"/>
        </w:rPr>
      </w:pPr>
      <w:bookmarkStart w:id="20" w:name="heading_25"/>
      <w:r>
        <w:rPr>
          <w:rFonts w:hint="eastAsia"/>
        </w:rPr>
        <w:t>十一、动环集中监控管理系统</w:t>
      </w:r>
      <w:bookmarkEnd w:id="20"/>
    </w:p>
    <w:p>
      <w:pPr>
        <w:pStyle w:val="3"/>
        <w:ind w:firstLine="936" w:firstLineChars="333"/>
        <w:rPr>
          <w:rFonts w:hint="eastAsia"/>
        </w:rPr>
      </w:pPr>
      <w:bookmarkStart w:id="21" w:name="heading_26"/>
      <w:r>
        <w:rPr>
          <w:rFonts w:hint="eastAsia"/>
          <w:lang w:val="en-US" w:eastAsia="zh-CN"/>
        </w:rPr>
        <w:t>1.</w:t>
      </w:r>
      <w:r>
        <w:t>全覆盖监控范围</w:t>
      </w:r>
      <w:bookmarkEnd w:id="21"/>
    </w:p>
    <w:p>
      <w:pPr>
        <w:rPr>
          <w:rFonts w:hint="eastAsia"/>
        </w:rPr>
      </w:pPr>
      <w:bookmarkStart w:id="22" w:name="heading_27"/>
      <w:r>
        <w:t>支持接入监控配电、门禁、视频监控、UPS、精密空调、漏水、温湿度、烟雾等功能。</w:t>
      </w:r>
    </w:p>
    <w:p>
      <w:pPr>
        <w:pStyle w:val="3"/>
        <w:ind w:firstLine="936" w:firstLineChars="333"/>
        <w:rPr>
          <w:rFonts w:hint="eastAsia"/>
        </w:rPr>
      </w:pPr>
      <w:r>
        <w:rPr>
          <w:rFonts w:hint="eastAsia"/>
          <w:lang w:val="en-US" w:eastAsia="zh-CN"/>
        </w:rPr>
        <w:t>2.</w:t>
      </w:r>
      <w:bookmarkEnd w:id="22"/>
      <w:r>
        <w:rPr>
          <w:rFonts w:hint="eastAsia"/>
        </w:rPr>
        <w:t>核心硬件参数</w:t>
      </w:r>
    </w:p>
    <w:p>
      <w:pPr>
        <w:ind w:left="567" w:firstLine="480" w:firstLineChars="200"/>
        <w:rPr>
          <w:rFonts w:hint="eastAsia"/>
        </w:rPr>
      </w:pPr>
      <w:bookmarkStart w:id="23" w:name="heading_28"/>
      <w:r>
        <w:rPr>
          <w:rFonts w:hint="eastAsia"/>
        </w:rPr>
        <w:t>处理器：国产双核 Cortex-A7 CPU，单核主频不低于1.2GHz</w:t>
      </w:r>
    </w:p>
    <w:p>
      <w:pPr>
        <w:ind w:left="567" w:firstLine="480" w:firstLineChars="200"/>
        <w:rPr>
          <w:rFonts w:hint="eastAsia"/>
        </w:rPr>
      </w:pPr>
      <w:r>
        <w:rPr>
          <w:rFonts w:hint="eastAsia"/>
        </w:rPr>
        <w:t>内存存储：不低于256M DDR3 运存，8G EMMC 闪存；支持 1 路最大 128G SD 卡扩展</w:t>
      </w:r>
    </w:p>
    <w:p>
      <w:pPr>
        <w:ind w:left="567" w:firstLine="480" w:firstLineChars="200"/>
        <w:rPr>
          <w:rFonts w:hint="eastAsia"/>
        </w:rPr>
      </w:pPr>
      <w:r>
        <w:rPr>
          <w:rFonts w:hint="eastAsia"/>
        </w:rPr>
        <w:t>设备形态：1U 19 英寸机架式嵌入式主机，Linux 系统，无风扇超静音，双侧风道散热</w:t>
      </w:r>
    </w:p>
    <w:p>
      <w:pPr>
        <w:pStyle w:val="3"/>
        <w:ind w:firstLine="936" w:firstLineChars="333"/>
        <w:rPr>
          <w:rFonts w:hint="eastAsia"/>
        </w:rPr>
      </w:pPr>
      <w:r>
        <w:rPr>
          <w:rFonts w:hint="eastAsia"/>
        </w:rPr>
        <w:t>3、接口与接入能力</w:t>
      </w:r>
    </w:p>
    <w:p>
      <w:pPr>
        <w:ind w:left="567" w:firstLine="480" w:firstLineChars="200"/>
        <w:rPr>
          <w:rFonts w:hint="eastAsia"/>
        </w:rPr>
      </w:pPr>
      <w:r>
        <w:rPr>
          <w:rFonts w:hint="eastAsia"/>
        </w:rPr>
        <w:t>通信串口：支持不少于2 路 RS232、6 路 RJ45 型 RS485、4 路端子型 RS485</w:t>
      </w:r>
    </w:p>
    <w:p>
      <w:pPr>
        <w:ind w:left="567" w:firstLine="480" w:firstLineChars="200"/>
        <w:rPr>
          <w:rFonts w:hint="eastAsia"/>
        </w:rPr>
      </w:pPr>
      <w:r>
        <w:rPr>
          <w:rFonts w:hint="eastAsia"/>
        </w:rPr>
        <w:t>开关量接口：支持不少于8路 DI 干接点输入（对应面板指示灯）、4 路 DO 继电器输出（支持联动控制，可接声光告警，外接交流接触器控制市电通断）</w:t>
      </w:r>
    </w:p>
    <w:p>
      <w:pPr>
        <w:ind w:left="567" w:firstLine="480" w:firstLineChars="200"/>
        <w:rPr>
          <w:rFonts w:hint="eastAsia"/>
        </w:rPr>
      </w:pPr>
      <w:r>
        <w:rPr>
          <w:rFonts w:hint="eastAsia"/>
        </w:rPr>
        <w:t>接入规模：支持不少于8台智能设备（精密空调、UPS、智能配电等）、8 路干接点设备、128 路温湿度传感器（485 总线串联）</w:t>
      </w:r>
    </w:p>
    <w:p>
      <w:pPr>
        <w:pStyle w:val="3"/>
        <w:ind w:firstLine="936" w:firstLineChars="333"/>
        <w:rPr>
          <w:rFonts w:hint="eastAsia"/>
        </w:rPr>
      </w:pPr>
      <w:r>
        <w:rPr>
          <w:rFonts w:hint="eastAsia"/>
        </w:rPr>
        <w:t>4、告警与本地交互</w:t>
      </w:r>
    </w:p>
    <w:p>
      <w:pPr>
        <w:ind w:left="567" w:firstLine="480" w:firstLineChars="200"/>
        <w:rPr>
          <w:rFonts w:hint="eastAsia"/>
        </w:rPr>
      </w:pPr>
      <w:r>
        <w:rPr>
          <w:rFonts w:hint="eastAsia"/>
        </w:rPr>
        <w:t>告警能力：集成 4G/GSM 模块，搭载 TTS 语音合成与 DTMF 技术，支持短信、语音报警（机器人合成语音，无需人工录音）；可扩展 APP、微信公众号告警</w:t>
      </w:r>
    </w:p>
    <w:p>
      <w:pPr>
        <w:pStyle w:val="3"/>
        <w:ind w:firstLine="936" w:firstLineChars="333"/>
        <w:rPr>
          <w:rFonts w:hint="eastAsia"/>
        </w:rPr>
      </w:pPr>
      <w:r>
        <w:rPr>
          <w:rFonts w:hint="eastAsia"/>
        </w:rPr>
        <w:t>5、存储与运维特性</w:t>
      </w:r>
    </w:p>
    <w:p>
      <w:pPr>
        <w:ind w:left="567" w:firstLine="480" w:firstLineChars="200"/>
        <w:rPr>
          <w:rFonts w:hint="eastAsia"/>
        </w:rPr>
      </w:pPr>
      <w:r>
        <w:rPr>
          <w:rFonts w:hint="eastAsia"/>
        </w:rPr>
        <w:t>数据存储：标配存储不低于10 万条历史数据与告警记录，掉电不丢失；SD 卡扩展可存储不低于100 万条，日志留存超 6 个月</w:t>
      </w:r>
    </w:p>
    <w:p>
      <w:pPr>
        <w:ind w:left="567" w:firstLine="480" w:firstLineChars="200"/>
        <w:rPr>
          <w:rFonts w:hint="eastAsia"/>
        </w:rPr>
      </w:pPr>
      <w:r>
        <w:rPr>
          <w:rFonts w:hint="eastAsia"/>
        </w:rPr>
        <w:t>系统运维：B/S 架构，内置 Web 服务，无需客户端；嵌入式固件化设计，高集成免维护，支持远程升级</w:t>
      </w:r>
    </w:p>
    <w:p>
      <w:pPr>
        <w:ind w:left="567" w:firstLine="480" w:firstLineChars="200"/>
        <w:rPr>
          <w:rFonts w:hint="eastAsia"/>
        </w:rPr>
      </w:pPr>
      <w:r>
        <w:rPr>
          <w:rFonts w:hint="eastAsia"/>
        </w:rPr>
        <w:t>自定义配置：支持设备名称、告警发送方式自定义</w:t>
      </w:r>
    </w:p>
    <w:p>
      <w:pPr>
        <w:pStyle w:val="3"/>
        <w:ind w:firstLine="936" w:firstLineChars="333"/>
        <w:rPr>
          <w:rFonts w:hint="eastAsia"/>
        </w:rPr>
      </w:pPr>
      <w:r>
        <w:rPr>
          <w:rFonts w:hint="eastAsia"/>
        </w:rPr>
        <w:t>6、资质要求</w:t>
      </w:r>
    </w:p>
    <w:p>
      <w:pPr>
        <w:ind w:left="567" w:firstLine="480" w:firstLineChars="200"/>
        <w:rPr>
          <w:rFonts w:hint="eastAsia"/>
        </w:rPr>
      </w:pPr>
      <w:r>
        <w:rPr>
          <w:rFonts w:hint="eastAsia"/>
        </w:rPr>
        <w:t>提供对应第三方检测报告，ROHS报告</w:t>
      </w:r>
    </w:p>
    <w:p>
      <w:pPr>
        <w:pStyle w:val="2"/>
        <w:ind w:firstLine="602"/>
        <w:rPr>
          <w:rFonts w:hint="eastAsia"/>
        </w:rPr>
      </w:pPr>
      <w:r>
        <w:rPr>
          <w:rFonts w:hint="eastAsia"/>
        </w:rPr>
        <w:t>十二、安防与门禁系统（等保三级物理安全）</w:t>
      </w:r>
      <w:bookmarkEnd w:id="23"/>
    </w:p>
    <w:p>
      <w:pPr>
        <w:rPr>
          <w:rFonts w:hint="eastAsia"/>
          <w:highlight w:val="none"/>
        </w:rPr>
      </w:pPr>
      <w:r>
        <w:t>1. 门禁系统：可通过密码、刷卡、人脸或单一验证功能，进出记录长期留存，支持权限分级管控、离职</w:t>
      </w:r>
      <w:r>
        <w:rPr>
          <w:highlight w:val="none"/>
        </w:rPr>
        <w:t>权限一键注销</w:t>
      </w:r>
      <w:r>
        <w:rPr>
          <w:rFonts w:hint="eastAsia"/>
          <w:highlight w:val="none"/>
          <w:lang w:eastAsia="zh-CN"/>
        </w:rPr>
        <w:t>（</w:t>
      </w:r>
      <w:r>
        <w:rPr>
          <w:rFonts w:hint="eastAsia"/>
          <w:highlight w:val="none"/>
          <w:lang w:val="en-US" w:eastAsia="zh-CN"/>
        </w:rPr>
        <w:t>可接入医院原有门禁系统</w:t>
      </w:r>
      <w:r>
        <w:rPr>
          <w:rFonts w:hint="eastAsia"/>
          <w:highlight w:val="none"/>
          <w:lang w:eastAsia="zh-CN"/>
        </w:rPr>
        <w:t>）</w:t>
      </w:r>
      <w:r>
        <w:rPr>
          <w:highlight w:val="none"/>
        </w:rPr>
        <w:t>；</w:t>
      </w:r>
    </w:p>
    <w:p>
      <w:pPr>
        <w:rPr>
          <w:rFonts w:hint="eastAsia"/>
          <w:highlight w:val="none"/>
        </w:rPr>
      </w:pPr>
      <w:r>
        <w:rPr>
          <w:highlight w:val="none"/>
        </w:rPr>
        <w:t>2. 视频监控：机房出入口、机柜区域全覆盖高清摄像头，视频存储时长</w:t>
      </w:r>
      <w:r>
        <w:rPr>
          <w:rFonts w:hint="eastAsia"/>
          <w:highlight w:val="none"/>
          <w:lang w:val="en-US" w:eastAsia="zh-CN"/>
        </w:rPr>
        <w:t>不低于</w:t>
      </w:r>
      <w:r>
        <w:rPr>
          <w:highlight w:val="none"/>
        </w:rPr>
        <w:t>90天，支持回放、下载、调取；</w:t>
      </w:r>
    </w:p>
    <w:p>
      <w:pPr>
        <w:rPr>
          <w:rFonts w:hint="eastAsia"/>
        </w:rPr>
      </w:pPr>
      <w:r>
        <w:t>3. 物理隔离：机房独立物理隔离，无无关通行通道，全面保障机房物理安全合规</w:t>
      </w:r>
      <w:r>
        <w:rPr>
          <w:rFonts w:hint="eastAsia"/>
          <w:lang w:eastAsia="zh-CN"/>
        </w:rPr>
        <w:t>；</w:t>
      </w:r>
    </w:p>
    <w:p>
      <w:pPr>
        <w:rPr>
          <w:rFonts w:hint="eastAsia"/>
        </w:rPr>
      </w:pPr>
      <w:r>
        <w:t>4.本系统需要无缝接入院方原安防平台。</w:t>
      </w:r>
    </w:p>
    <w:p>
      <w:pPr>
        <w:pStyle w:val="2"/>
        <w:ind w:firstLine="602"/>
        <w:rPr>
          <w:rFonts w:hint="eastAsia"/>
        </w:rPr>
      </w:pPr>
      <w:bookmarkStart w:id="24" w:name="heading_29"/>
      <w:r>
        <w:rPr>
          <w:rFonts w:hint="eastAsia"/>
        </w:rPr>
        <w:t>十三、网络安全设备技术参数</w:t>
      </w:r>
      <w:bookmarkEnd w:id="24"/>
    </w:p>
    <w:p>
      <w:pPr>
        <w:pStyle w:val="3"/>
        <w:rPr>
          <w:rFonts w:hint="eastAsia"/>
        </w:rPr>
      </w:pPr>
      <w:r>
        <w:rPr>
          <w:rFonts w:hint="eastAsia"/>
          <w:lang w:val="en-US" w:eastAsia="zh-CN"/>
        </w:rPr>
        <w:t>1.</w:t>
      </w:r>
      <w:r>
        <w:rPr>
          <w:rFonts w:hint="eastAsia"/>
        </w:rPr>
        <w:t>接入交换机</w:t>
      </w:r>
    </w:p>
    <w:p>
      <w:pPr>
        <w:rPr>
          <w:rFonts w:hint="eastAsia"/>
        </w:rPr>
      </w:pPr>
      <w:r>
        <w:t>容灾机房网络需配置</w:t>
      </w:r>
      <w:r>
        <w:rPr>
          <w:rFonts w:hint="eastAsia"/>
        </w:rPr>
        <w:t>2台</w:t>
      </w:r>
      <w:r>
        <w:t>接入交换机，承载核心业务系统接入。供应商所提供的接入交换机应满足以下技术要求：</w:t>
      </w:r>
    </w:p>
    <w:p>
      <w:pPr>
        <w:rPr>
          <w:rFonts w:hint="eastAsia"/>
        </w:rPr>
      </w:pPr>
      <w:r>
        <w:t>（1）交换容量：交换容量不低于2.4Tbps；提供官网截图证明链接并加盖原厂项目授权章或投标授权章。</w:t>
      </w:r>
    </w:p>
    <w:p>
      <w:pPr>
        <w:rPr>
          <w:rFonts w:hint="eastAsia"/>
        </w:rPr>
      </w:pPr>
      <w:r>
        <w:t>（2）转发能力：转发能力不低于660Mpps；提供官网截图证明链接并加盖原厂项目授权章或投标授权章。</w:t>
      </w:r>
    </w:p>
    <w:p>
      <w:pPr>
        <w:rPr>
          <w:rFonts w:hint="eastAsia"/>
        </w:rPr>
      </w:pPr>
      <w:r>
        <w:t>（3）电源风扇：应支持双电源、2个风扇模块。</w:t>
      </w:r>
    </w:p>
    <w:p>
      <w:pPr>
        <w:rPr>
          <w:rFonts w:hint="eastAsia"/>
        </w:rPr>
      </w:pPr>
      <w:r>
        <w:t>（4）设备接口：实配100/1000Base-T电接口不少于48个，1/10GE光接口不少于12个，万兆多模光模块不少于10个。</w:t>
      </w:r>
    </w:p>
    <w:p>
      <w:pPr>
        <w:rPr>
          <w:rFonts w:hint="eastAsia"/>
        </w:rPr>
      </w:pPr>
      <w:r>
        <w:t>（5）IPv4路由：应支持IPv4静态路由、RIP、OSPF、ISIS、BGP。</w:t>
      </w:r>
    </w:p>
    <w:p>
      <w:pPr>
        <w:rPr>
          <w:rFonts w:hint="eastAsia"/>
        </w:rPr>
      </w:pPr>
      <w:r>
        <w:t>（6）IPv6路由：应支持IPv6静态路由、RIPng、OSPFv3、ISISv6、BGP4+。</w:t>
      </w:r>
    </w:p>
    <w:p>
      <w:pPr>
        <w:rPr>
          <w:rFonts w:hint="eastAsia"/>
        </w:rPr>
      </w:pPr>
      <w:r>
        <w:t>（7）性能参数：整机最大路由地址表不少于80K；整机最大ARP地址表不少于64K；整机最大MAC地址表不少于320K。</w:t>
      </w:r>
    </w:p>
    <w:p>
      <w:pPr>
        <w:rPr>
          <w:rFonts w:hint="eastAsia"/>
        </w:rPr>
      </w:pPr>
      <w:r>
        <w:t>（8）安全：应支持防火墙插卡；提供工信部权威第三方测试报告相关证明并加盖原厂项目授权章或投标授权章。</w:t>
      </w:r>
    </w:p>
    <w:p>
      <w:pPr>
        <w:rPr>
          <w:rFonts w:hint="eastAsia"/>
        </w:rPr>
      </w:pPr>
      <w:r>
        <w:t>（9）链路聚合：应支持DRNI跨设备链路聚合。</w:t>
      </w:r>
    </w:p>
    <w:p>
      <w:pPr>
        <w:rPr>
          <w:rFonts w:hint="eastAsia"/>
        </w:rPr>
      </w:pPr>
      <w:r>
        <w:t>（10）VxLAN：应支持VxLAN集中式网关互通功能，支持EVPN分布式网关二三层互通功能。</w:t>
      </w:r>
    </w:p>
    <w:p>
      <w:pPr>
        <w:rPr>
          <w:rFonts w:hint="eastAsia"/>
        </w:rPr>
      </w:pPr>
      <w:r>
        <w:t>（11）加密功能：应支持全端口256bit MACsec加密功能；提供工信部权威第三方测试报告相关证明并加盖原厂项目授权章或投标授权章。</w:t>
      </w:r>
    </w:p>
    <w:p>
      <w:pPr>
        <w:rPr>
          <w:rFonts w:hint="eastAsia"/>
        </w:rPr>
      </w:pPr>
      <w:r>
        <w:t>（12）IPv6特性：应支持RIPng、OSPFv3、BGP4+、IS-ISv6协议；支持IPv6策略路由；支持DHCPv6功能、IPv6 portal功能、IPv6管理功能；支持基于IPv6的VXLAN二三层互通；支持基于IPv6的VRRP功能。</w:t>
      </w:r>
    </w:p>
    <w:p>
      <w:pPr>
        <w:rPr>
          <w:rFonts w:hint="eastAsia"/>
        </w:rPr>
      </w:pPr>
      <w:r>
        <w:t>（13）链路聚合（跨设备）：应支持跨设备链路聚合技术DRNI/M-LAG；</w:t>
      </w:r>
      <w:r>
        <w:rPr>
          <w:rFonts w:hint="eastAsia"/>
        </w:rPr>
        <w:t xml:space="preserve"> </w:t>
      </w:r>
    </w:p>
    <w:p>
      <w:pPr>
        <w:rPr>
          <w:rFonts w:hint="eastAsia"/>
        </w:rPr>
      </w:pPr>
      <w:r>
        <w:t>（14）BFD：应支持硬件BFD，最小检测间隔为3ms。</w:t>
      </w:r>
    </w:p>
    <w:p>
      <w:pPr>
        <w:rPr>
          <w:rFonts w:hint="eastAsia"/>
        </w:rPr>
      </w:pPr>
      <w:r>
        <w:t>（15）网络管理：应支持SNMP V1/V2/V3、Telnet、RMON、SSH功能。</w:t>
      </w:r>
    </w:p>
    <w:p>
      <w:pPr>
        <w:pStyle w:val="3"/>
        <w:rPr>
          <w:rFonts w:hint="eastAsia"/>
        </w:rPr>
      </w:pPr>
      <w:r>
        <w:rPr>
          <w:rFonts w:hint="eastAsia"/>
          <w:lang w:val="en-US" w:eastAsia="zh-CN"/>
        </w:rPr>
        <w:t>2.</w:t>
      </w:r>
      <w:r>
        <w:rPr>
          <w:rFonts w:hint="eastAsia"/>
        </w:rPr>
        <w:t>千兆单模光模块</w:t>
      </w:r>
    </w:p>
    <w:p>
      <w:pPr>
        <w:rPr>
          <w:rFonts w:hint="eastAsia"/>
        </w:rPr>
      </w:pPr>
      <w:r>
        <w:rPr>
          <w:rFonts w:hint="eastAsia"/>
        </w:rPr>
        <w:t>项目</w:t>
      </w:r>
      <w:r>
        <w:t>应配置千兆单模光模块，</w:t>
      </w:r>
      <w:r>
        <w:rPr>
          <w:rFonts w:hint="eastAsia"/>
        </w:rPr>
        <w:t>数量应</w:t>
      </w:r>
      <w:r>
        <w:t>满足光纤链路互联需求。光模块应满足以下要求：</w:t>
      </w:r>
    </w:p>
    <w:p>
      <w:pPr>
        <w:rPr>
          <w:rFonts w:hint="eastAsia"/>
        </w:rPr>
      </w:pPr>
      <w:r>
        <w:t>（1）类型：应采用SFP千兆单模光模块。</w:t>
      </w:r>
    </w:p>
    <w:p>
      <w:pPr>
        <w:rPr>
          <w:rFonts w:hint="eastAsia"/>
        </w:rPr>
      </w:pPr>
      <w:r>
        <w:t>（2）波长：波长1310nm。</w:t>
      </w:r>
    </w:p>
    <w:p>
      <w:pPr>
        <w:rPr>
          <w:rFonts w:hint="eastAsia"/>
        </w:rPr>
      </w:pPr>
      <w:r>
        <w:t>（3）传输距离：传输距离不低于10km。</w:t>
      </w:r>
    </w:p>
    <w:p>
      <w:pPr>
        <w:rPr>
          <w:rFonts w:hint="eastAsia"/>
        </w:rPr>
      </w:pPr>
      <w:r>
        <w:t>（4）接口：接口为LC双纤。</w:t>
      </w:r>
    </w:p>
    <w:p>
      <w:pPr>
        <w:rPr>
          <w:rFonts w:hint="eastAsia"/>
        </w:rPr>
      </w:pPr>
      <w:r>
        <w:t>（5）兼容性：应与现机房交换机品牌兼容。</w:t>
      </w:r>
    </w:p>
    <w:p>
      <w:pPr>
        <w:pStyle w:val="3"/>
        <w:rPr>
          <w:rFonts w:hint="eastAsia"/>
        </w:rPr>
      </w:pPr>
      <w:r>
        <w:rPr>
          <w:rFonts w:hint="eastAsia"/>
          <w:lang w:val="en-US" w:eastAsia="zh-CN"/>
        </w:rPr>
        <w:t>3.</w:t>
      </w:r>
      <w:r>
        <w:rPr>
          <w:rFonts w:hint="eastAsia"/>
        </w:rPr>
        <w:t>万兆单模光模块</w:t>
      </w:r>
    </w:p>
    <w:p>
      <w:pPr>
        <w:rPr>
          <w:rFonts w:hint="eastAsia"/>
        </w:rPr>
      </w:pPr>
      <w:r>
        <w:rPr>
          <w:rFonts w:hint="eastAsia"/>
        </w:rPr>
        <w:t>项目</w:t>
      </w:r>
      <w:r>
        <w:t>配置万兆单模光模块，</w:t>
      </w:r>
      <w:r>
        <w:rPr>
          <w:rFonts w:hint="eastAsia"/>
        </w:rPr>
        <w:t>数量应</w:t>
      </w:r>
      <w:r>
        <w:t>满足上联及高带宽链路需求。光模块应满足以下要求：</w:t>
      </w:r>
    </w:p>
    <w:p>
      <w:pPr>
        <w:rPr>
          <w:rFonts w:hint="eastAsia"/>
        </w:rPr>
      </w:pPr>
      <w:r>
        <w:t>（1）类型：应采用SFP+万兆</w:t>
      </w:r>
      <w:r>
        <w:rPr>
          <w:rFonts w:hint="eastAsia"/>
        </w:rPr>
        <w:t>单模</w:t>
      </w:r>
      <w:r>
        <w:t>光模块。</w:t>
      </w:r>
    </w:p>
    <w:p>
      <w:pPr>
        <w:rPr>
          <w:rFonts w:hint="eastAsia"/>
        </w:rPr>
      </w:pPr>
      <w:r>
        <w:t>（2）波长：波长1310nm。</w:t>
      </w:r>
    </w:p>
    <w:p>
      <w:pPr>
        <w:rPr>
          <w:rFonts w:hint="eastAsia"/>
        </w:rPr>
      </w:pPr>
      <w:r>
        <w:t>（3）传输距离：传输距离不低于10km。</w:t>
      </w:r>
    </w:p>
    <w:p>
      <w:pPr>
        <w:rPr>
          <w:rFonts w:hint="eastAsia"/>
        </w:rPr>
      </w:pPr>
      <w:r>
        <w:t>（4）接口：接口为LC双纤。</w:t>
      </w:r>
    </w:p>
    <w:p>
      <w:pPr>
        <w:rPr>
          <w:rFonts w:hint="eastAsia"/>
        </w:rPr>
      </w:pPr>
      <w:r>
        <w:t>（5）兼容性：应与现机房交换机品牌兼容。</w:t>
      </w:r>
    </w:p>
    <w:p>
      <w:pPr>
        <w:pStyle w:val="3"/>
        <w:rPr>
          <w:rFonts w:hint="eastAsia"/>
        </w:rPr>
      </w:pPr>
      <w:r>
        <w:rPr>
          <w:rFonts w:hint="eastAsia"/>
          <w:lang w:val="en-US" w:eastAsia="zh-CN"/>
        </w:rPr>
        <w:t>4.</w:t>
      </w:r>
      <w:r>
        <w:rPr>
          <w:rFonts w:hint="eastAsia"/>
        </w:rPr>
        <w:t>专线防火墙</w:t>
      </w:r>
    </w:p>
    <w:p>
      <w:pPr>
        <w:rPr>
          <w:rFonts w:hint="eastAsia"/>
        </w:rPr>
      </w:pPr>
      <w:r>
        <w:t>容灾机房外联链路应部署专线防火墙，保障边界安全。供应商所提供的</w:t>
      </w:r>
      <w:bookmarkStart w:id="25" w:name="OLE_LINK1"/>
      <w:r>
        <w:t>防火墙</w:t>
      </w:r>
      <w:bookmarkEnd w:id="25"/>
      <w:r>
        <w:t>应满足以下技术要求：</w:t>
      </w:r>
    </w:p>
    <w:p>
      <w:pPr>
        <w:wordWrap w:val="0"/>
        <w:rPr>
          <w:rFonts w:hint="eastAsia"/>
        </w:rPr>
      </w:pPr>
      <w:r>
        <w:t>（1）硬件及性能指标：网络层大包吞吐量（1518字节）</w:t>
      </w:r>
      <w:bookmarkStart w:id="26" w:name="OLE_LINK19"/>
      <w:r>
        <w:t>不低于2G</w:t>
      </w:r>
      <w:bookmarkEnd w:id="26"/>
      <w:r>
        <w:t>，IPS吞吐量不低于800M，AV吞吐量不低于800M，最大并发连接数不低于100万，最大新建连接数不低于3万；全威胁吞吐量（不含WAF）不低于500M；接口不少于6个千兆电口、不少于2个千兆光口SFP</w:t>
      </w:r>
      <w:bookmarkStart w:id="27" w:name="OLE_LINK21"/>
      <w:r>
        <w:t>；</w:t>
      </w:r>
      <w:bookmarkEnd w:id="27"/>
      <w:bookmarkStart w:id="28" w:name="OLE_LINK20"/>
      <w:r>
        <w:rPr>
          <w:rFonts w:hint="eastAsia"/>
          <w:lang w:val="en-US" w:eastAsia="zh-CN"/>
        </w:rPr>
        <w:t>硬件配置要求CPU不低于4核，内存不低于4G，硬盘不低于64G SSD，支持双电源</w:t>
      </w:r>
      <w:bookmarkEnd w:id="28"/>
      <w:r>
        <w:t>；投标文件中提供产品彩页相关页作证明材料并加盖原厂公章。</w:t>
      </w:r>
    </w:p>
    <w:p>
      <w:pPr>
        <w:wordWrap w:val="0"/>
        <w:rPr>
          <w:rFonts w:hint="eastAsia"/>
        </w:rPr>
      </w:pPr>
      <w:r>
        <w:t>（2）服务：应提供三年原厂硬件质保，提供三年软件升级和</w:t>
      </w:r>
      <w:r>
        <w:rPr>
          <w:rFonts w:hint="eastAsia"/>
        </w:rPr>
        <w:t>规则库升级</w:t>
      </w:r>
      <w:r>
        <w:t>。</w:t>
      </w:r>
    </w:p>
    <w:p>
      <w:pPr>
        <w:rPr>
          <w:rFonts w:hint="eastAsia"/>
        </w:rPr>
      </w:pPr>
      <w:r>
        <w:t>（3）流量控制：应支持多维度流量控制功能，支持基于IP地址、用户、应用、时间设置流量控制策略，保证关键业务带宽日常需求。</w:t>
      </w:r>
    </w:p>
    <w:p>
      <w:pPr>
        <w:rPr>
          <w:rFonts w:hint="eastAsia"/>
        </w:rPr>
      </w:pPr>
      <w:r>
        <w:t>（4）访问控制：应支持基于网络区域、网络对象、MAC地址、服务、应用、域名等维度进行访问控制策略设置。</w:t>
      </w:r>
    </w:p>
    <w:p>
      <w:pPr>
        <w:rPr>
          <w:rFonts w:hint="eastAsia"/>
        </w:rPr>
      </w:pPr>
      <w:r>
        <w:t>（5）URL分类过滤：应支持管控非法、违规网站的访问行为，具备海量URL分类库。</w:t>
      </w:r>
    </w:p>
    <w:p>
      <w:pPr>
        <w:rPr>
          <w:rFonts w:hint="eastAsia"/>
        </w:rPr>
      </w:pPr>
      <w:r>
        <w:t>（6）文件过滤：应支持基于文件传输方式、文件类型等维度的管控策略配置。</w:t>
      </w:r>
    </w:p>
    <w:p>
      <w:pPr>
        <w:rPr>
          <w:rFonts w:hint="eastAsia"/>
        </w:rPr>
      </w:pPr>
      <w:r>
        <w:t>（7）Web应用防御：应支持4500种WEB应用攻击特征，支持对跨站脚本（XSS）攻击、SQL注入、文件包含攻击、信息泄露攻击、WEBSHELL、网站扫描、网页木马等攻击类型进行防护；提供产品界面截图并加盖原厂公章。</w:t>
      </w:r>
    </w:p>
    <w:p>
      <w:pPr>
        <w:rPr>
          <w:rFonts w:hint="eastAsia"/>
        </w:rPr>
      </w:pPr>
      <w:r>
        <w:t>（8）Web应用防御（Cookie）：应支持Cookie攻击防护功能，并通过日志记录Cookie被篡改；提供产品界面截图并加盖原厂公章。</w:t>
      </w:r>
    </w:p>
    <w:p>
      <w:pPr>
        <w:rPr>
          <w:rFonts w:hint="eastAsia"/>
        </w:rPr>
      </w:pPr>
      <w:r>
        <w:t>（9）策略生命周期管理：应支持策略生命周期管理功能，支持对安全策略修改的时间、原因、变更类型进行统一管理，便于策略运维与管理；提供产品界面截图并加盖原厂公章。</w:t>
      </w:r>
    </w:p>
    <w:p>
      <w:pPr>
        <w:rPr>
          <w:rFonts w:hint="eastAsia"/>
        </w:rPr>
      </w:pPr>
      <w:r>
        <w:t>（10）防病毒：应支持扩展独立的勒索病毒防护模块（非普通防病毒功能），支持对特定业务进行勒索风险自动化评估，并依据评估结果自动生成防护策略；提供产品界面截图并加盖原厂公章。</w:t>
      </w:r>
    </w:p>
    <w:p>
      <w:pPr>
        <w:rPr>
          <w:rFonts w:hint="eastAsia"/>
        </w:rPr>
      </w:pPr>
      <w:r>
        <w:t>（11）管理方式：应支持Web管理、串口管理、SSH管理等多种方式。</w:t>
      </w:r>
    </w:p>
    <w:p>
      <w:pPr>
        <w:rPr>
          <w:rFonts w:hint="eastAsia"/>
        </w:rPr>
      </w:pPr>
      <w:r>
        <w:t>（12）云威胁情报网关：应支持云威胁情报网关技术，实现对威胁流量就近实时检测与拦截，实现失陷外联实时阻断，保护资产安全；提供产品界面截图并加盖原厂公章。</w:t>
      </w:r>
    </w:p>
    <w:p>
      <w:pPr>
        <w:rPr>
          <w:rFonts w:hint="eastAsia"/>
        </w:rPr>
      </w:pPr>
      <w:r>
        <w:t>（13）云威胁情报网关（未知威胁）：应支持云端未知威胁主动探测技术，实现5min内未知威胁情报全网设备下发；提供产品界面截图并加盖原厂公章。</w:t>
      </w:r>
    </w:p>
    <w:p>
      <w:pPr>
        <w:rPr>
          <w:rFonts w:hint="eastAsia"/>
        </w:rPr>
      </w:pPr>
      <w:r>
        <w:t>（14）安全日志查询：应支持多条件安全日志组合查询，查询条件包括但不限于日志类型、日志级别、生成时间。</w:t>
      </w:r>
    </w:p>
    <w:p>
      <w:pPr>
        <w:rPr>
          <w:rFonts w:hint="eastAsia"/>
        </w:rPr>
      </w:pPr>
      <w:r>
        <w:t>（15）终端安全软件联动：应支持与现网终端安全软件联动管理，在防火墙完成终端安全策略设置和内网终端安全软件统一管理，支持检测到某主机有僵木蠕毒的C2通信时，手动或自动化将恶意域名信息下发到终端安全软件做C2通信封锁遏制，支持管理员下发一键隔离指令，对终端恶意文件进行隔离；提供产品界面截图并加盖原厂公章。</w:t>
      </w:r>
    </w:p>
    <w:p>
      <w:pPr>
        <w:rPr>
          <w:rFonts w:hint="eastAsia"/>
        </w:rPr>
      </w:pPr>
      <w:r>
        <w:t>（16）态势感知平台联动：应支持与现网态势感知平台联动，将本地防火墙产生的安全日志等数据上报至态势感知平台，并在态势感知平台进行威胁展示；提供产品界面截图并加盖原厂公章。</w:t>
      </w:r>
    </w:p>
    <w:p>
      <w:pPr>
        <w:rPr>
          <w:rFonts w:hint="eastAsia"/>
        </w:rPr>
      </w:pPr>
      <w:r>
        <w:t>（17）安全服务：①应支持对接现网MSS云端服务平台，将检测到的安全事件信息和安全日志数据同步到云端，提供7×24小时安全托管服务；②提供产品界面截图并加盖原厂公章。</w:t>
      </w:r>
    </w:p>
    <w:p>
      <w:pPr>
        <w:pStyle w:val="3"/>
        <w:rPr>
          <w:rFonts w:hint="eastAsia"/>
        </w:rPr>
      </w:pPr>
      <w:r>
        <w:rPr>
          <w:rFonts w:hint="eastAsia"/>
          <w:lang w:val="en-US" w:eastAsia="zh-CN"/>
        </w:rPr>
        <w:t>5.</w:t>
      </w:r>
      <w:bookmarkStart w:id="29" w:name="OLE_LINK22"/>
      <w:r>
        <w:rPr>
          <w:rFonts w:hint="eastAsia"/>
        </w:rPr>
        <w:t>全网行为管理</w:t>
      </w:r>
      <w:bookmarkEnd w:id="29"/>
    </w:p>
    <w:p>
      <w:pPr>
        <w:rPr>
          <w:rFonts w:hint="eastAsia"/>
        </w:rPr>
      </w:pPr>
      <w:r>
        <w:t>网络需部署全网行为管理设备，实现上网行为管控与审计。供应商所提供的设备应满足以下技术要求：</w:t>
      </w:r>
    </w:p>
    <w:p>
      <w:pPr>
        <w:rPr>
          <w:rFonts w:hint="eastAsia"/>
        </w:rPr>
      </w:pPr>
      <w:r>
        <w:t>（1）硬件及性能指标：网络层吞吐量不低于5.8Gb，应用层吞吐量不低于750Mb，带宽性能不低于500Mb，用户数不低于1000，每秒新建连接数不低于10000，最大并发连接数不低于500000，接口不少于6个千兆电口；</w:t>
      </w:r>
      <w:r>
        <w:rPr>
          <w:rFonts w:hint="eastAsia"/>
        </w:rPr>
        <w:t>硬件配置要求：CPU不低于8核，内存不低于8G,硬盘不低于128GB MSATA</w:t>
      </w:r>
      <w:r>
        <w:rPr>
          <w:rFonts w:hint="eastAsia"/>
          <w:lang w:val="en-US" w:eastAsia="zh-CN"/>
        </w:rPr>
        <w:t>，支持双电源</w:t>
      </w:r>
      <w:r>
        <w:rPr>
          <w:rFonts w:hint="eastAsia"/>
        </w:rPr>
        <w:t>；</w:t>
      </w:r>
      <w:r>
        <w:t>投标文件中提供产品彩页相关页作证明材料并加盖原厂公章。</w:t>
      </w:r>
    </w:p>
    <w:p>
      <w:pPr>
        <w:wordWrap w:val="0"/>
        <w:rPr>
          <w:rFonts w:hint="eastAsia"/>
        </w:rPr>
      </w:pPr>
      <w:r>
        <w:t>（2）服务：应提供三年原厂硬件质保，提供三年软件升级和</w:t>
      </w:r>
      <w:r>
        <w:rPr>
          <w:rFonts w:hint="eastAsia"/>
        </w:rPr>
        <w:t>规则库升级</w:t>
      </w:r>
      <w:r>
        <w:t>。</w:t>
      </w:r>
    </w:p>
    <w:p>
      <w:pPr>
        <w:rPr>
          <w:rFonts w:hint="eastAsia"/>
        </w:rPr>
      </w:pPr>
      <w:r>
        <w:t>（3）可视化展示：应支持首页显示在线用户、流量分析、行为日志分析、应用流量排名、用户流量排名、资产类型分布、新设备发现趋势、TOP违规检查项、TOP违规用户、行为风险分析（含泄密风险、终端接入、上网安全、系统状态、接入状态）；提供产品界面截图并加盖投标人公章。</w:t>
      </w:r>
    </w:p>
    <w:p>
      <w:pPr>
        <w:rPr>
          <w:rFonts w:hint="eastAsia"/>
        </w:rPr>
      </w:pPr>
      <w:r>
        <w:t>（4）P2P智能流控：应支持通过抑制P2P的下行丢包，减缓P2P下行流量，解决网络出口在做流控后压力仍然较大的问题。</w:t>
      </w:r>
    </w:p>
    <w:p>
      <w:pPr>
        <w:rPr>
          <w:rFonts w:hint="eastAsia"/>
        </w:rPr>
      </w:pPr>
      <w:r>
        <w:t>（5）网页访问审计：应支持记录全部或指定类别URL、网页标题、网页内容等信息，支持网页内容审计后的网页快照功能。</w:t>
      </w:r>
    </w:p>
    <w:p>
      <w:pPr>
        <w:rPr>
          <w:rFonts w:hint="eastAsia"/>
        </w:rPr>
      </w:pPr>
      <w:r>
        <w:t>（6）SSL解密与加密网页管理：应支持SSL中间人解密和客户端解密，客户端自动推送根证书安装，确保数据传输的透明性与安全性；提供产品界面截图并加盖投标人公章。</w:t>
      </w:r>
    </w:p>
    <w:p>
      <w:pPr>
        <w:rPr>
          <w:rFonts w:hint="eastAsia"/>
        </w:rPr>
      </w:pPr>
      <w:r>
        <w:t>（7）终端资产识别：应自动发现网络内终端，并获取IP、Mac、厂商、操作系统等信息，设备必须支持PC、移动设备、哑终端、专用设备的发现和型号识别：至少支持Windows、Linux、MAC、瘦客户机等PC；至少支持手机、平板等移动设备；至少支持服务器、交换机、无线控制器等网络设备；至少支持打印机、投影仪、电视、摄像头、门禁系统等哑终端；支持自定义终端类型；提供产品界面截图并加盖投标人公章。</w:t>
      </w:r>
    </w:p>
    <w:p>
      <w:pPr>
        <w:rPr>
          <w:rFonts w:hint="eastAsia"/>
        </w:rPr>
      </w:pPr>
      <w:r>
        <w:t>（8）流量配额：应支持对单个用户/用户组、位置等设置日流量、月流量配额功能；必须支持流量配额配置、实时使用量查询，当用户配额用尽后，可对用户进行提醒并禁止上网。</w:t>
      </w:r>
    </w:p>
    <w:p>
      <w:pPr>
        <w:rPr>
          <w:rFonts w:hint="eastAsia"/>
        </w:rPr>
      </w:pPr>
      <w:r>
        <w:t>（9）流量可视：应能够实时查看各级流控通道状态，包括所属线路、瞬时速率、通道占用比例、用户数、保证带宽、最大带宽、优先级、启用状态等。</w:t>
      </w:r>
    </w:p>
    <w:p>
      <w:pPr>
        <w:rPr>
          <w:rFonts w:hint="eastAsia"/>
        </w:rPr>
      </w:pPr>
      <w:r>
        <w:t>（10）同端点安全检测产品联动：应支持与同品牌终端安全检测与响应产品实现联动，当检测到终端未安装对应产品时，禁止上网并提示需要安装终端安全检测与响应软件；提供产品界面截图并加盖投标人公章。</w:t>
      </w:r>
    </w:p>
    <w:p>
      <w:pPr>
        <w:rPr>
          <w:rFonts w:hint="eastAsia"/>
        </w:rPr>
      </w:pPr>
      <w:r>
        <w:t>（11）防共享接入：应支持发现常见的私接路由（或共享软件等）共享网络行为，支持“仅统计电脑”和“统计所有终端”两种模式，自定义配置终端数量和冻结时间，支持添加信任列表、支持例外排除功能；能针对性识别校园网破解版路由器。</w:t>
      </w:r>
    </w:p>
    <w:p>
      <w:pPr>
        <w:rPr>
          <w:rFonts w:hint="eastAsia"/>
        </w:rPr>
      </w:pPr>
      <w:r>
        <w:t>（12）共享行为统计：应支持发现常见的私接路由（或共享软件等）共享网络行为，以IP或用户名的维度统计一段时间内的趋势图。</w:t>
      </w:r>
    </w:p>
    <w:p>
      <w:pPr>
        <w:rPr>
          <w:rFonts w:hint="eastAsia"/>
        </w:rPr>
      </w:pPr>
      <w:r>
        <w:t>（13）802.1X认证：应支持802.1x认证，可对接本地和AD域用户源进行用户名密码认证。</w:t>
      </w:r>
    </w:p>
    <w:p>
      <w:pPr>
        <w:rPr>
          <w:rFonts w:hint="eastAsia"/>
        </w:rPr>
      </w:pPr>
      <w:r>
        <w:t>（14）MAB免认证：应支持MAB免认证，通过MAC地址绑定实现终端设备免认证。</w:t>
      </w:r>
    </w:p>
    <w:p>
      <w:pPr>
        <w:pStyle w:val="3"/>
        <w:rPr>
          <w:rFonts w:hint="eastAsia"/>
        </w:rPr>
      </w:pPr>
      <w:r>
        <w:rPr>
          <w:rFonts w:hint="eastAsia"/>
          <w:lang w:val="en-US" w:eastAsia="zh-CN"/>
        </w:rPr>
        <w:t>6.</w:t>
      </w:r>
      <w:r>
        <w:rPr>
          <w:rFonts w:hint="eastAsia"/>
        </w:rPr>
        <w:t>日志分析管理系统</w:t>
      </w:r>
    </w:p>
    <w:p>
      <w:pPr>
        <w:rPr>
          <w:rFonts w:hint="eastAsia"/>
        </w:rPr>
      </w:pPr>
      <w:r>
        <w:t>需配置日志分析管理系统，实现全网安全日志的集中采集与分析。系统应满足以下技术要求：</w:t>
      </w:r>
    </w:p>
    <w:p>
      <w:pPr>
        <w:rPr>
          <w:rFonts w:hint="eastAsia"/>
        </w:rPr>
      </w:pPr>
      <w:r>
        <w:t>（1）性能指标：</w:t>
      </w:r>
      <w:r>
        <w:rPr>
          <w:rFonts w:hint="eastAsia"/>
        </w:rPr>
        <w:t>硬件配置要求CPU不低于8核，内存不低于32G,系统盘不低于80G，数据盘不低于2T；</w:t>
      </w:r>
      <w:r>
        <w:t>应包含资产授权数量不少于100个。</w:t>
      </w:r>
    </w:p>
    <w:p>
      <w:pPr>
        <w:rPr>
          <w:rFonts w:hint="eastAsia"/>
        </w:rPr>
      </w:pPr>
      <w:r>
        <w:t>（2）服务：应提供三年原厂软件升级。</w:t>
      </w:r>
    </w:p>
    <w:p>
      <w:pPr>
        <w:rPr>
          <w:rFonts w:hint="eastAsia"/>
        </w:rPr>
      </w:pPr>
      <w:r>
        <w:t>（3）日志采集：应内置大量日志处理模型，自动解析主流网络设备、安全设备和中间件的日志数据，标准化自动识别系统类型至少达到200种。</w:t>
      </w:r>
    </w:p>
    <w:p>
      <w:pPr>
        <w:rPr>
          <w:rFonts w:hint="eastAsia"/>
        </w:rPr>
      </w:pPr>
      <w:r>
        <w:t>（4）系统管理（POC测试）：应支持POC测试工具一键生成数据，验证日志数据采集是否成功，避免设备部署后采集失效但不被发现等风险；提供产品界面截图并加盖投标人公章。</w:t>
      </w:r>
    </w:p>
    <w:p>
      <w:pPr>
        <w:rPr>
          <w:rFonts w:hint="eastAsia"/>
        </w:rPr>
      </w:pPr>
      <w:r>
        <w:t>（5）日志检索：应支持自动识别采集设备、支持设备异常告警，设备异常告警可发送邮件或第三方接口。</w:t>
      </w:r>
    </w:p>
    <w:p>
      <w:pPr>
        <w:rPr>
          <w:rFonts w:hint="eastAsia"/>
        </w:rPr>
      </w:pPr>
      <w:r>
        <w:t>（6）日志分析：应支持内置规则作为模板新建规则，支持调整规则等级，支持通过事件的任意字段制定规则创建策略，支持审计策略命中后定义告警并通过相应方式（如邮件、短信等）转发。</w:t>
      </w:r>
    </w:p>
    <w:p>
      <w:pPr>
        <w:rPr>
          <w:rFonts w:hint="eastAsia"/>
        </w:rPr>
      </w:pPr>
      <w:r>
        <w:t>（7）日志告警：应支持告警事件归并、告警确认和告警归档，支持基于频率、频次、时间的设定条件。</w:t>
      </w:r>
    </w:p>
    <w:p>
      <w:pPr>
        <w:rPr>
          <w:rFonts w:hint="eastAsia"/>
        </w:rPr>
      </w:pPr>
      <w:r>
        <w:t>（8）报表：应内置主机安全报表（linux）、主机安全报表（windows）、数据库安全报表、网络设备安全报表、应用安全报表五种；支持自定义时间导出报表。</w:t>
      </w:r>
    </w:p>
    <w:p>
      <w:pPr>
        <w:rPr>
          <w:rFonts w:hint="eastAsia"/>
        </w:rPr>
      </w:pPr>
      <w:r>
        <w:t>（9）知识库：应支持内置日志接入配置指导、典型日志事件介绍、安全经验等，并支持自定义创建增加知识库内容。</w:t>
      </w:r>
    </w:p>
    <w:p>
      <w:pPr>
        <w:rPr>
          <w:rFonts w:hint="eastAsia"/>
        </w:rPr>
      </w:pPr>
      <w:r>
        <w:t>（10）首页可视：应支持自定义首页卡片，支持实时监控系统日志传输量和日志留存的合规情况。</w:t>
      </w:r>
    </w:p>
    <w:p>
      <w:pPr>
        <w:rPr>
          <w:rFonts w:hint="eastAsia"/>
        </w:rPr>
      </w:pPr>
      <w:r>
        <w:t>（11）系统管理（连通性测试）：应支持网络连通性测试工具，至少支持ping、telnet两种拨测方法。</w:t>
      </w:r>
    </w:p>
    <w:p>
      <w:pPr>
        <w:pStyle w:val="3"/>
        <w:rPr>
          <w:rFonts w:hint="eastAsia"/>
        </w:rPr>
      </w:pPr>
      <w:r>
        <w:rPr>
          <w:rFonts w:hint="eastAsia"/>
          <w:lang w:val="en-US" w:eastAsia="zh-CN"/>
        </w:rPr>
        <w:t>7.</w:t>
      </w:r>
      <w:r>
        <w:rPr>
          <w:rFonts w:hint="eastAsia"/>
        </w:rPr>
        <w:t>监控大屏</w:t>
      </w:r>
    </w:p>
    <w:p>
      <w:pPr>
        <w:rPr>
          <w:rFonts w:hint="eastAsia"/>
        </w:rPr>
      </w:pPr>
      <w:r>
        <w:t>机房运维区应配置监控大屏，集中展示系统运行状态。监控大屏应满足以下要求：</w:t>
      </w:r>
    </w:p>
    <w:p>
      <w:pPr>
        <w:rPr>
          <w:rFonts w:hint="eastAsia"/>
        </w:rPr>
      </w:pPr>
      <w:r>
        <w:t>（1）规格参数：监控大屏应采用</w:t>
      </w:r>
      <w:r>
        <w:rPr>
          <w:rFonts w:hint="eastAsia"/>
          <w:lang w:val="en-US" w:eastAsia="zh-CN"/>
        </w:rPr>
        <w:t>大于或等于</w:t>
      </w:r>
      <w:r>
        <w:t>55寸液晶屏，满足机房运行状态集中显示要求。</w:t>
      </w:r>
    </w:p>
    <w:p>
      <w:pPr>
        <w:pStyle w:val="3"/>
        <w:rPr>
          <w:rFonts w:hint="eastAsia"/>
        </w:rPr>
      </w:pPr>
      <w:r>
        <w:rPr>
          <w:rFonts w:hint="eastAsia"/>
          <w:lang w:val="en-US" w:eastAsia="zh-CN"/>
        </w:rPr>
        <w:t>8.</w:t>
      </w:r>
      <w:r>
        <w:rPr>
          <w:rFonts w:hint="eastAsia"/>
        </w:rPr>
        <w:t>工作站</w:t>
      </w:r>
    </w:p>
    <w:p>
      <w:pPr>
        <w:rPr>
          <w:rFonts w:hint="eastAsia"/>
        </w:rPr>
      </w:pPr>
      <w:r>
        <w:t>运维操作区应配置工作站，供运维人员日常操作使用。工作站应满足以下配置要求：</w:t>
      </w:r>
    </w:p>
    <w:p>
      <w:pPr>
        <w:rPr>
          <w:rFonts w:hint="eastAsia"/>
        </w:rPr>
      </w:pPr>
      <w:r>
        <w:t>（1）CPU：不低于Intel Core i5-13400。</w:t>
      </w:r>
    </w:p>
    <w:p>
      <w:pPr>
        <w:rPr>
          <w:rFonts w:hint="eastAsia"/>
        </w:rPr>
      </w:pPr>
      <w:r>
        <w:t>（2）内存：不低于16GB DDR4。</w:t>
      </w:r>
    </w:p>
    <w:p>
      <w:pPr>
        <w:rPr>
          <w:rFonts w:hint="eastAsia"/>
        </w:rPr>
      </w:pPr>
      <w:r>
        <w:t>（3）硬盘：不低于512GB SSD。</w:t>
      </w:r>
    </w:p>
    <w:p>
      <w:pPr>
        <w:rPr>
          <w:rFonts w:hint="eastAsia"/>
        </w:rPr>
      </w:pPr>
      <w:r>
        <w:t>（4）电源：不低于350W。</w:t>
      </w:r>
    </w:p>
    <w:p>
      <w:pPr>
        <w:rPr>
          <w:rFonts w:hint="eastAsia"/>
        </w:rPr>
      </w:pPr>
      <w:r>
        <w:t>（5）显示器：不低于23.8英寸。</w:t>
      </w:r>
    </w:p>
    <w:p>
      <w:pPr>
        <w:pStyle w:val="2"/>
        <w:ind w:firstLine="602"/>
        <w:rPr>
          <w:rFonts w:hint="eastAsia"/>
        </w:rPr>
      </w:pPr>
      <w:bookmarkStart w:id="30" w:name="heading_38"/>
      <w:r>
        <w:rPr>
          <w:rFonts w:hint="eastAsia"/>
        </w:rPr>
        <w:t>十四、医疗行业专项合规与业务连续性要求</w:t>
      </w:r>
      <w:bookmarkEnd w:id="30"/>
    </w:p>
    <w:p>
      <w:pPr>
        <w:pStyle w:val="3"/>
        <w:rPr>
          <w:rFonts w:hint="eastAsia"/>
        </w:rPr>
      </w:pPr>
      <w:bookmarkStart w:id="31" w:name="heading_39"/>
      <w:r>
        <w:rPr>
          <w:rFonts w:hint="eastAsia"/>
          <w:lang w:val="en-US" w:eastAsia="zh-CN"/>
        </w:rPr>
        <w:t>1.</w:t>
      </w:r>
      <w:r>
        <w:t>等保三级合规要求</w:t>
      </w:r>
      <w:bookmarkEnd w:id="31"/>
    </w:p>
    <w:p>
      <w:pPr>
        <w:rPr>
          <w:rFonts w:hint="eastAsia"/>
        </w:rPr>
      </w:pPr>
      <w:r>
        <w:t>（1）物理安全：落实机房分区隔离、专人专管、门禁与视频监控全覆盖管控机制；</w:t>
      </w:r>
    </w:p>
    <w:p>
      <w:pPr>
        <w:rPr>
          <w:rFonts w:hint="eastAsia"/>
        </w:rPr>
      </w:pPr>
      <w:r>
        <w:t>（</w:t>
      </w:r>
      <w:r>
        <w:rPr>
          <w:rFonts w:hint="eastAsia"/>
          <w:lang w:val="en-US" w:eastAsia="zh-CN"/>
        </w:rPr>
        <w:t>2</w:t>
      </w:r>
      <w:r>
        <w:t>）审计留存：动环、门禁、网络、安全设备日志留存时长不低于6个月，满足等保测评、卫健部门核查要求；</w:t>
      </w:r>
    </w:p>
    <w:p>
      <w:pPr>
        <w:rPr>
          <w:rFonts w:hint="eastAsia"/>
        </w:rPr>
      </w:pPr>
      <w:r>
        <w:t>（</w:t>
      </w:r>
      <w:r>
        <w:rPr>
          <w:rFonts w:hint="eastAsia"/>
          <w:lang w:val="en-US" w:eastAsia="zh-CN"/>
        </w:rPr>
        <w:t>3</w:t>
      </w:r>
      <w:r>
        <w:t>）远程安全：机房设备远程运维强制双因素认证，禁止公网直接映射访问，杜绝外网攻击风险</w:t>
      </w:r>
      <w:r>
        <w:rPr>
          <w:rFonts w:hint="eastAsia"/>
          <w:lang w:eastAsia="zh-CN"/>
        </w:rPr>
        <w:t>。</w:t>
      </w:r>
    </w:p>
    <w:p>
      <w:pPr>
        <w:pStyle w:val="3"/>
        <w:rPr>
          <w:rFonts w:hint="eastAsia"/>
        </w:rPr>
      </w:pPr>
      <w:bookmarkStart w:id="32" w:name="heading_41"/>
      <w:r>
        <w:rPr>
          <w:rFonts w:hint="eastAsia"/>
          <w:lang w:val="en-US" w:eastAsia="zh-CN"/>
        </w:rPr>
        <w:t>2.</w:t>
      </w:r>
      <w:r>
        <w:t>运维合规要求</w:t>
      </w:r>
      <w:bookmarkEnd w:id="32"/>
    </w:p>
    <w:p>
      <w:r>
        <w:t>常态化合规运维：全程落实日志留存、权限管控、设备巡检、策略优化等合规举措，长期满足等保三级及医疗网络安全管理规范。</w:t>
      </w:r>
    </w:p>
    <w:p>
      <w:pPr>
        <w:rPr>
          <w:rFonts w:hint="eastAsia"/>
          <w:strike w:val="0"/>
          <w:dstrike w:val="0"/>
          <w:lang w:val="en-US" w:eastAsia="zh-CN"/>
        </w:rPr>
      </w:pPr>
      <w:r>
        <w:rPr>
          <w:rFonts w:hint="eastAsia"/>
          <w:strike w:val="0"/>
          <w:dstrike w:val="0"/>
          <w:lang w:val="en-US" w:eastAsia="zh-CN"/>
        </w:rPr>
        <w:t>1、</w:t>
      </w:r>
      <w:bookmarkStart w:id="33" w:name="OLE_LINK23"/>
      <w:r>
        <w:rPr>
          <w:rFonts w:hint="eastAsia"/>
          <w:strike w:val="0"/>
          <w:dstrike w:val="0"/>
          <w:lang w:val="en-US" w:eastAsia="zh-CN"/>
        </w:rPr>
        <w:t>设计服务</w:t>
      </w:r>
      <w:bookmarkEnd w:id="33"/>
    </w:p>
    <w:p>
      <w:pPr>
        <w:rPr>
          <w:rFonts w:hint="eastAsia"/>
          <w:strike w:val="0"/>
          <w:dstrike w:val="0"/>
          <w:lang w:val="en-US" w:eastAsia="zh-CN"/>
        </w:rPr>
      </w:pPr>
      <w:r>
        <w:rPr>
          <w:rFonts w:hint="eastAsia"/>
          <w:strike w:val="0"/>
          <w:dstrike w:val="0"/>
          <w:lang w:val="en-US" w:eastAsia="zh-CN"/>
        </w:rPr>
        <w:t>（1）分级容灾拓扑设计：采用"生产集群保留原机房、部分节点迁至容灾机房作为容灾站点"的分级容灾架构，替代整机整体搬迁思路，在保障业务连续性的同时提升资源利用率。</w:t>
      </w:r>
    </w:p>
    <w:p>
      <w:pPr>
        <w:rPr>
          <w:rFonts w:hint="eastAsia"/>
          <w:strike w:val="0"/>
          <w:dstrike w:val="0"/>
          <w:lang w:val="en-US" w:eastAsia="zh-CN"/>
        </w:rPr>
      </w:pPr>
      <w:r>
        <w:rPr>
          <w:rFonts w:hint="eastAsia"/>
          <w:strike w:val="0"/>
          <w:dstrike w:val="0"/>
          <w:lang w:val="en-US" w:eastAsia="zh-CN"/>
        </w:rPr>
        <w:t>（2）网络接入设计：容灾机房超融合交换机部署及堆叠互联配置，明确生产集群与容灾站点跨双机房核心交换机的对接方式与物理接入端口规划。</w:t>
      </w:r>
    </w:p>
    <w:p>
      <w:pPr>
        <w:rPr>
          <w:rFonts w:hint="eastAsia"/>
          <w:strike w:val="0"/>
          <w:dstrike w:val="0"/>
          <w:lang w:val="en-US" w:eastAsia="zh-CN"/>
        </w:rPr>
      </w:pPr>
      <w:r>
        <w:rPr>
          <w:rFonts w:hint="eastAsia"/>
          <w:strike w:val="0"/>
          <w:dstrike w:val="0"/>
          <w:lang w:val="en-US" w:eastAsia="zh-CN"/>
        </w:rPr>
        <w:t>（3）升级迁移策略设计：确立"先版本升级、后数据迁移"的实施路径；针对升级过程可能产生的业务中断，设计借助临时过渡资源进行在线迁移、升级后回迁的过渡方案，并将关键操作安排在非业务时段。</w:t>
      </w:r>
    </w:p>
    <w:p>
      <w:pPr>
        <w:rPr>
          <w:rFonts w:hint="eastAsia"/>
          <w:strike w:val="0"/>
          <w:dstrike w:val="0"/>
          <w:lang w:val="en-US" w:eastAsia="zh-CN"/>
        </w:rPr>
      </w:pPr>
      <w:r>
        <w:rPr>
          <w:rFonts w:hint="eastAsia"/>
          <w:strike w:val="0"/>
          <w:dstrike w:val="0"/>
          <w:lang w:val="en-US" w:eastAsia="zh-CN"/>
        </w:rPr>
        <w:t>（4）主动容灾设计：规划主动式容灾方案，按重要业务系统数量授予相应虚拟机容灾授权，将核心业务复制到容灾站点并实现业务拉起与切换。</w:t>
      </w:r>
    </w:p>
    <w:p>
      <w:pPr>
        <w:rPr>
          <w:rFonts w:hint="eastAsia"/>
          <w:strike w:val="0"/>
          <w:dstrike w:val="0"/>
          <w:lang w:val="en-US" w:eastAsia="zh-CN"/>
        </w:rPr>
      </w:pPr>
      <w:r>
        <w:rPr>
          <w:rFonts w:hint="eastAsia"/>
          <w:strike w:val="0"/>
          <w:dstrike w:val="0"/>
          <w:lang w:val="en-US" w:eastAsia="zh-CN"/>
        </w:rPr>
        <w:t>2、集成服务</w:t>
      </w:r>
    </w:p>
    <w:p>
      <w:pPr>
        <w:rPr>
          <w:rFonts w:hint="eastAsia"/>
          <w:strike w:val="0"/>
          <w:dstrike w:val="0"/>
          <w:lang w:val="en-US" w:eastAsia="zh-CN"/>
        </w:rPr>
      </w:pPr>
      <w:r>
        <w:rPr>
          <w:rFonts w:hint="eastAsia"/>
          <w:strike w:val="0"/>
          <w:dstrike w:val="0"/>
          <w:lang w:val="en-US" w:eastAsia="zh-CN"/>
        </w:rPr>
        <w:t>（1）集群版本升级</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热升级：对全部超融合集群进行热升级，统一软件版本，降低版本差异带来的运维与兼容风险。</w:t>
      </w:r>
    </w:p>
    <w:p>
      <w:pPr>
        <w:rPr>
          <w:rFonts w:hint="eastAsia"/>
          <w:strike w:val="0"/>
          <w:dstrike w:val="0"/>
          <w:lang w:val="en-US" w:eastAsia="zh-CN"/>
        </w:rPr>
      </w:pPr>
      <w:r>
        <w:rPr>
          <w:rFonts w:hint="eastAsia"/>
          <w:strike w:val="0"/>
          <w:dstrike w:val="0"/>
          <w:lang w:val="en-US" w:eastAsia="zh-CN"/>
        </w:rPr>
        <w:t>（2）资源评估</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评估各集群资源利用率，对配置冗余的虚拟机进行降配，节约计算资源、提升整体利用率。</w:t>
      </w:r>
    </w:p>
    <w:p>
      <w:pPr>
        <w:rPr>
          <w:rFonts w:hint="eastAsia"/>
          <w:strike w:val="0"/>
          <w:dstrike w:val="0"/>
          <w:lang w:val="en-US" w:eastAsia="zh-CN"/>
        </w:rPr>
      </w:pPr>
      <w:r>
        <w:rPr>
          <w:rFonts w:hint="eastAsia"/>
          <w:strike w:val="0"/>
          <w:dstrike w:val="0"/>
          <w:lang w:val="en-US" w:eastAsia="zh-CN"/>
        </w:rPr>
        <w:t>（3）新集群迁移与容灾部署</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业务整合：将部分集群业务迁移至其他生产集群承载，原集群仅保留容灾业务。</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服务器迁移：将该集群至少三台服务器整体搬迁至容灾机房；对其余生产集群配置容灾备份。</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主动容灾部署：分配现有容灾授权（按重要业务系统数量授予虚拟机授权），将重要业务容灾复制到容灾站点，并完成业务拉起验证。</w:t>
      </w:r>
    </w:p>
    <w:p>
      <w:pPr>
        <w:rPr>
          <w:rFonts w:hint="eastAsia"/>
          <w:strike w:val="0"/>
          <w:dstrike w:val="0"/>
          <w:lang w:val="en-US" w:eastAsia="zh-CN"/>
        </w:rPr>
      </w:pPr>
      <w:r>
        <w:rPr>
          <w:rFonts w:hint="eastAsia"/>
          <w:strike w:val="0"/>
          <w:dstrike w:val="0"/>
          <w:lang w:val="en-US" w:eastAsia="zh-CN"/>
        </w:rPr>
        <w:t>3、优化服务</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（1）资源降配优化：升级后评估集群资源利用率并降配冗余虚拟机，节约资源。</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（2）配置一致性优化：升级迁移后保持集群网络配置、存储策略、业务平面划分与变更前一致，仅做物理接入适配，杜绝配置漂移。</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（3）数据一致性优化：定期检查数据同步状态与存储健康度，确保容灾数据一致性。</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（4）高可用优化：依托分布式多副本存储实现节点故障自动重建；核心网络设备主备冗余定期验证切换。</w:t>
      </w:r>
    </w:p>
    <w:p>
      <w:pPr>
        <w:rPr>
          <w:rFonts w:hint="eastAsia"/>
          <w:strike w:val="0"/>
          <w:dstrike w:val="0"/>
          <w:lang w:val="en-US" w:eastAsia="zh-CN"/>
        </w:rPr>
      </w:pPr>
      <w:r>
        <w:rPr>
          <w:rFonts w:hint="eastAsia"/>
          <w:strike w:val="0"/>
          <w:dstrike w:val="0"/>
          <w:lang w:val="en-US" w:eastAsia="zh-CN"/>
        </w:rPr>
        <w:t>4、调试服务</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（1）集群恢复验证：确认集群状态恢复正常、存储多副本重建完成、业务虚拟机正常拉起。</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（2）业务系统验证：逐一验证核心医疗业务系统（HIS / LIS / PACS / EMR 等）功能正常、数据完整。</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（3）主动容灾拉起验证：验证重要业务可在容灾站点成功拉起，生产集群容灾备份可用。</w:t>
      </w:r>
    </w:p>
    <w:p>
      <w:pPr>
        <w:rPr>
          <w:rFonts w:hint="eastAsia"/>
          <w:strike w:val="0"/>
          <w:dstrike w:val="0"/>
          <w:lang w:val="en-US" w:eastAsia="zh-CN"/>
        </w:rPr>
      </w:pPr>
      <w:r>
        <w:rPr>
          <w:rFonts w:hint="eastAsia"/>
          <w:strike w:val="0"/>
          <w:dstrike w:val="0"/>
          <w:lang w:val="en-US" w:eastAsia="zh-CN"/>
        </w:rPr>
        <w:tab/>
      </w:r>
      <w:r>
        <w:rPr>
          <w:rFonts w:hint="eastAsia"/>
          <w:strike w:val="0"/>
          <w:dstrike w:val="0"/>
          <w:lang w:val="en-US" w:eastAsia="zh-CN"/>
        </w:rPr>
        <w:t>（4）容灾切换演练：模拟生产集群故障，验证业务可切换 / 拉起至容灾站点，满足既定容灾目标（RTO / RPO）。</w:t>
      </w:r>
    </w:p>
    <w:p>
      <w:pPr>
        <w:rPr>
          <w:rFonts w:hint="default" w:eastAsia="宋体"/>
          <w:strike w:val="0"/>
          <w:dstrike w:val="0"/>
          <w:lang w:val="en-US" w:eastAsia="zh-CN"/>
        </w:rPr>
      </w:pPr>
      <w:r>
        <w:rPr>
          <w:rFonts w:hint="eastAsia"/>
          <w:strike w:val="0"/>
          <w:dstrike w:val="0"/>
          <w:lang w:val="en-US" w:eastAsia="zh-CN"/>
        </w:rPr>
        <w:t>（5）验收：输出升级、资源评估、迁移与容灾实施方案、备份校验记录、业务验证及切换演练报告，配合完成验收。</w:t>
      </w:r>
    </w:p>
    <w:p>
      <w:pPr>
        <w:pStyle w:val="2"/>
        <w:ind w:firstLine="602"/>
        <w:rPr>
          <w:rFonts w:hint="eastAsia"/>
        </w:rPr>
      </w:pPr>
      <w:bookmarkStart w:id="34" w:name="heading_42"/>
      <w:r>
        <w:rPr>
          <w:rFonts w:hint="eastAsia"/>
        </w:rPr>
        <w:t>十五、项目商务要求</w:t>
      </w:r>
      <w:bookmarkEnd w:id="34"/>
    </w:p>
    <w:p>
      <w:pPr>
        <w:pStyle w:val="3"/>
        <w:rPr>
          <w:rFonts w:hint="eastAsia"/>
        </w:rPr>
      </w:pPr>
      <w:bookmarkStart w:id="35" w:name="heading_43"/>
      <w:r>
        <w:rPr>
          <w:rFonts w:hint="eastAsia"/>
          <w:lang w:val="en-US" w:eastAsia="zh-CN"/>
        </w:rPr>
        <w:t>1.</w:t>
      </w:r>
      <w:r>
        <w:t>交货期</w:t>
      </w:r>
      <w:bookmarkEnd w:id="35"/>
    </w:p>
    <w:p>
      <w:pPr>
        <w:rPr>
          <w:rFonts w:hint="eastAsia"/>
        </w:rPr>
      </w:pPr>
      <w:r>
        <w:t>自合同签订之日起，90个日历天内完成全部设备供货、安装调试、系统联调、整改优化及竣工验收交付。</w:t>
      </w:r>
    </w:p>
    <w:p>
      <w:pPr>
        <w:pStyle w:val="3"/>
        <w:rPr>
          <w:rFonts w:hint="eastAsia"/>
        </w:rPr>
      </w:pPr>
      <w:bookmarkStart w:id="36" w:name="heading_44"/>
      <w:r>
        <w:rPr>
          <w:rFonts w:hint="eastAsia"/>
          <w:lang w:val="en-US" w:eastAsia="zh-CN"/>
        </w:rPr>
        <w:t>2.</w:t>
      </w:r>
      <w:r>
        <w:t>交货地点</w:t>
      </w:r>
      <w:bookmarkEnd w:id="36"/>
    </w:p>
    <w:p>
      <w:pPr>
        <w:rPr>
          <w:rFonts w:hint="eastAsia"/>
        </w:rPr>
      </w:pPr>
      <w:r>
        <w:t>采购人指定院内地点，</w:t>
      </w:r>
      <w:r>
        <w:rPr>
          <w:rFonts w:hint="eastAsia"/>
          <w:lang w:eastAsia="zh-CN"/>
        </w:rPr>
        <w:t>供应商</w:t>
      </w:r>
      <w:r>
        <w:t>全权负责运输、卸货、就位、安装调试。</w:t>
      </w:r>
    </w:p>
    <w:p>
      <w:pPr>
        <w:pStyle w:val="3"/>
        <w:rPr>
          <w:rFonts w:hint="eastAsia"/>
        </w:rPr>
      </w:pPr>
      <w:bookmarkStart w:id="37" w:name="heading_47"/>
      <w:r>
        <w:rPr>
          <w:rFonts w:hint="eastAsia"/>
          <w:lang w:val="en-US" w:eastAsia="zh-CN"/>
        </w:rPr>
        <w:t>3.</w:t>
      </w:r>
      <w:r>
        <w:t>验收要求</w:t>
      </w:r>
      <w:bookmarkEnd w:id="37"/>
    </w:p>
    <w:p>
      <w:pPr>
        <w:rPr>
          <w:rFonts w:hint="eastAsia"/>
        </w:rPr>
      </w:pPr>
      <w:r>
        <w:t>（1）完工后30日内组织双方联合验收，严格按照国家、行业标准及本需求书条款执行；</w:t>
      </w:r>
    </w:p>
    <w:p>
      <w:pPr>
        <w:rPr>
          <w:rFonts w:hint="eastAsia"/>
        </w:rPr>
      </w:pPr>
      <w:r>
        <w:t>（</w:t>
      </w:r>
      <w:r>
        <w:rPr>
          <w:rFonts w:hint="eastAsia"/>
          <w:lang w:val="en-US" w:eastAsia="zh-CN"/>
        </w:rPr>
        <w:t>2</w:t>
      </w:r>
      <w:r>
        <w:t>）验收不合格、设备短缺、损坏、参数不达标，由</w:t>
      </w:r>
      <w:r>
        <w:rPr>
          <w:rFonts w:hint="eastAsia"/>
          <w:lang w:eastAsia="zh-CN"/>
        </w:rPr>
        <w:t>供应商</w:t>
      </w:r>
      <w:r>
        <w:t>无偿换货、补货、整改，工期顺延并承担全部费用；</w:t>
      </w:r>
    </w:p>
    <w:p>
      <w:pPr>
        <w:rPr>
          <w:rFonts w:hint="eastAsia"/>
        </w:rPr>
      </w:pPr>
      <w:r>
        <w:t>（</w:t>
      </w:r>
      <w:r>
        <w:rPr>
          <w:rFonts w:hint="eastAsia"/>
          <w:lang w:val="en-US" w:eastAsia="zh-CN"/>
        </w:rPr>
        <w:t>3</w:t>
      </w:r>
      <w:r>
        <w:t>）运输、施工过程造成的设备损坏、缺失，由</w:t>
      </w:r>
      <w:r>
        <w:rPr>
          <w:rFonts w:hint="eastAsia"/>
          <w:lang w:eastAsia="zh-CN"/>
        </w:rPr>
        <w:t>供应商</w:t>
      </w:r>
      <w:r>
        <w:t>无偿更换补齐；</w:t>
      </w:r>
    </w:p>
    <w:p>
      <w:pPr>
        <w:rPr>
          <w:rFonts w:hint="eastAsia"/>
        </w:rPr>
      </w:pPr>
      <w:r>
        <w:t>（</w:t>
      </w:r>
      <w:r>
        <w:rPr>
          <w:rFonts w:hint="eastAsia"/>
          <w:lang w:val="en-US" w:eastAsia="zh-CN"/>
        </w:rPr>
        <w:t>4</w:t>
      </w:r>
      <w:r>
        <w:t>）</w:t>
      </w:r>
      <w:r>
        <w:rPr>
          <w:rFonts w:hint="eastAsia"/>
          <w:lang w:eastAsia="zh-CN"/>
        </w:rPr>
        <w:t>供应商</w:t>
      </w:r>
      <w:r>
        <w:t>保障所有设备、软件无知识产权侵权，侵权责任及损失由供应商全权承担。</w:t>
      </w:r>
    </w:p>
    <w:p>
      <w:pPr>
        <w:pStyle w:val="3"/>
        <w:rPr>
          <w:rFonts w:hint="eastAsia"/>
        </w:rPr>
      </w:pPr>
      <w:bookmarkStart w:id="38" w:name="heading_48"/>
      <w:r>
        <w:rPr>
          <w:rFonts w:hint="eastAsia"/>
          <w:lang w:val="en-US" w:eastAsia="zh-CN"/>
        </w:rPr>
        <w:t>4.</w:t>
      </w:r>
      <w:r>
        <w:t>质保要求</w:t>
      </w:r>
      <w:bookmarkEnd w:id="38"/>
    </w:p>
    <w:p>
      <w:pPr>
        <w:rPr>
          <w:rFonts w:hint="eastAsia"/>
        </w:rPr>
      </w:pPr>
      <w:r>
        <w:t>项目整体质保3年，安全类设备应提供三年原厂硬件质保，提供三年软件升级和</w:t>
      </w:r>
      <w:r>
        <w:rPr>
          <w:rFonts w:hint="eastAsia"/>
        </w:rPr>
        <w:t>规则库升级</w:t>
      </w:r>
      <w:r>
        <w:t>；质保期内非人为损坏的质量、安装、运行问题，由</w:t>
      </w:r>
      <w:r>
        <w:rPr>
          <w:rFonts w:hint="eastAsia"/>
          <w:lang w:eastAsia="zh-CN"/>
        </w:rPr>
        <w:t>供应商</w:t>
      </w:r>
      <w:r>
        <w:t>免费包修，承担全部费用。</w:t>
      </w:r>
    </w:p>
    <w:p>
      <w:pPr>
        <w:pStyle w:val="3"/>
        <w:rPr>
          <w:rFonts w:hint="eastAsia"/>
        </w:rPr>
      </w:pPr>
      <w:bookmarkStart w:id="39" w:name="heading_50"/>
      <w:r>
        <w:rPr>
          <w:rFonts w:hint="eastAsia"/>
          <w:lang w:val="en-US" w:eastAsia="zh-CN"/>
        </w:rPr>
        <w:t>5.</w:t>
      </w:r>
      <w:r>
        <w:t>报价说明</w:t>
      </w:r>
      <w:bookmarkEnd w:id="39"/>
    </w:p>
    <w:p>
      <w:pPr>
        <w:rPr>
          <w:rFonts w:hint="eastAsia"/>
        </w:rPr>
      </w:pPr>
      <w:r>
        <w:t>（1）</w:t>
      </w:r>
      <w:r>
        <w:rPr>
          <w:rFonts w:hint="eastAsia"/>
          <w:lang w:eastAsia="zh-CN"/>
        </w:rPr>
        <w:t>供应商</w:t>
      </w:r>
      <w:r>
        <w:t>报价为固定全包总价，包含所有可预见、不可预见费用，成交后无任何增项费用；</w:t>
      </w:r>
    </w:p>
    <w:p>
      <w:pPr>
        <w:rPr>
          <w:rFonts w:hint="eastAsia"/>
        </w:rPr>
      </w:pPr>
      <w:r>
        <w:t>（</w:t>
      </w:r>
      <w:r>
        <w:rPr>
          <w:rFonts w:hint="eastAsia"/>
          <w:lang w:val="en-US" w:eastAsia="zh-CN"/>
        </w:rPr>
        <w:t>2</w:t>
      </w:r>
      <w:r>
        <w:t>）报价涵盖设备、辅材、运输、安装、调试、税费、培训、质保、竣工交付全部内容；</w:t>
      </w:r>
    </w:p>
    <w:p>
      <w:pPr>
        <w:rPr>
          <w:rFonts w:hint="eastAsia"/>
        </w:rPr>
      </w:pPr>
      <w:r>
        <w:t>（</w:t>
      </w:r>
      <w:r>
        <w:rPr>
          <w:rFonts w:hint="eastAsia"/>
          <w:lang w:val="en-US" w:eastAsia="zh-CN"/>
        </w:rPr>
        <w:t>3</w:t>
      </w:r>
      <w:r>
        <w:t>）项目实施过程中的所有内容遗漏、功能缺失，均由</w:t>
      </w:r>
      <w:r>
        <w:rPr>
          <w:rFonts w:hint="eastAsia"/>
          <w:lang w:eastAsia="zh-CN"/>
        </w:rPr>
        <w:t>供应商</w:t>
      </w:r>
      <w:r>
        <w:t>无偿补齐完善。</w:t>
      </w:r>
    </w:p>
    <w:bookmarkEnd w:id="0"/>
    <w:p>
      <w:pPr>
        <w:rPr>
          <w:rFonts w:hint="eastAsia"/>
        </w:rPr>
      </w:pPr>
    </w:p>
    <w:sectPr>
      <w:pgSz w:w="12240" w:h="15840"/>
      <w:pgMar w:top="1417" w:right="1417" w:bottom="1417" w:left="1417"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Gothic">
    <w:panose1 w:val="020B0609070205080204"/>
    <w:charset w:val="80"/>
    <w:family w:val="auto"/>
    <w:pitch w:val="default"/>
    <w:sig w:usb0="E00002FF" w:usb1="6AC7FDFB" w:usb2="00000012" w:usb3="00000000" w:csb0="4002009F" w:csb1="DFD7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2"/>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1C7C6EC2"/>
    <w:multiLevelType w:val="multilevel"/>
    <w:tmpl w:val="1C7C6EC2"/>
    <w:lvl w:ilvl="0" w:tentative="0">
      <w:start w:val="1"/>
      <w:numFmt w:val="decimal"/>
      <w:lvlText w:val="（%1）"/>
      <w:lvlJc w:val="left"/>
      <w:pPr>
        <w:ind w:left="1767" w:hanging="720"/>
      </w:pPr>
      <w:rPr>
        <w:rFonts w:hint="default"/>
      </w:rPr>
    </w:lvl>
    <w:lvl w:ilvl="1" w:tentative="0">
      <w:start w:val="1"/>
      <w:numFmt w:val="lowerLetter"/>
      <w:lvlText w:val="%2)"/>
      <w:lvlJc w:val="left"/>
      <w:pPr>
        <w:ind w:left="1927" w:hanging="440"/>
      </w:pPr>
    </w:lvl>
    <w:lvl w:ilvl="2" w:tentative="0">
      <w:start w:val="1"/>
      <w:numFmt w:val="lowerRoman"/>
      <w:lvlText w:val="%3."/>
      <w:lvlJc w:val="right"/>
      <w:pPr>
        <w:ind w:left="2367" w:hanging="440"/>
      </w:pPr>
    </w:lvl>
    <w:lvl w:ilvl="3" w:tentative="0">
      <w:start w:val="1"/>
      <w:numFmt w:val="decimal"/>
      <w:lvlText w:val="%4."/>
      <w:lvlJc w:val="left"/>
      <w:pPr>
        <w:ind w:left="2807" w:hanging="440"/>
      </w:pPr>
    </w:lvl>
    <w:lvl w:ilvl="4" w:tentative="0">
      <w:start w:val="1"/>
      <w:numFmt w:val="lowerLetter"/>
      <w:lvlText w:val="%5)"/>
      <w:lvlJc w:val="left"/>
      <w:pPr>
        <w:ind w:left="3247" w:hanging="440"/>
      </w:pPr>
    </w:lvl>
    <w:lvl w:ilvl="5" w:tentative="0">
      <w:start w:val="1"/>
      <w:numFmt w:val="lowerRoman"/>
      <w:lvlText w:val="%6."/>
      <w:lvlJc w:val="right"/>
      <w:pPr>
        <w:ind w:left="3687" w:hanging="440"/>
      </w:pPr>
    </w:lvl>
    <w:lvl w:ilvl="6" w:tentative="0">
      <w:start w:val="1"/>
      <w:numFmt w:val="decimal"/>
      <w:lvlText w:val="%7."/>
      <w:lvlJc w:val="left"/>
      <w:pPr>
        <w:ind w:left="4127" w:hanging="440"/>
      </w:pPr>
    </w:lvl>
    <w:lvl w:ilvl="7" w:tentative="0">
      <w:start w:val="1"/>
      <w:numFmt w:val="lowerLetter"/>
      <w:lvlText w:val="%8)"/>
      <w:lvlJc w:val="left"/>
      <w:pPr>
        <w:ind w:left="4567" w:hanging="440"/>
      </w:pPr>
    </w:lvl>
    <w:lvl w:ilvl="8" w:tentative="0">
      <w:start w:val="1"/>
      <w:numFmt w:val="lowerRoman"/>
      <w:lvlText w:val="%9."/>
      <w:lvlJc w:val="right"/>
      <w:pPr>
        <w:ind w:left="5007" w:hanging="440"/>
      </w:pPr>
    </w:lvl>
  </w:abstractNum>
  <w:abstractNum w:abstractNumId="7">
    <w:nsid w:val="3B0C6CF4"/>
    <w:multiLevelType w:val="multilevel"/>
    <w:tmpl w:val="3B0C6CF4"/>
    <w:lvl w:ilvl="0" w:tentative="0">
      <w:start w:val="1"/>
      <w:numFmt w:val="decimal"/>
      <w:lvlText w:val="（%1）"/>
      <w:lvlJc w:val="left"/>
      <w:pPr>
        <w:ind w:left="1767" w:hanging="720"/>
      </w:pPr>
      <w:rPr>
        <w:rFonts w:hint="default"/>
      </w:rPr>
    </w:lvl>
    <w:lvl w:ilvl="1" w:tentative="0">
      <w:start w:val="1"/>
      <w:numFmt w:val="lowerLetter"/>
      <w:lvlText w:val="%2)"/>
      <w:lvlJc w:val="left"/>
      <w:pPr>
        <w:ind w:left="1927" w:hanging="440"/>
      </w:pPr>
    </w:lvl>
    <w:lvl w:ilvl="2" w:tentative="0">
      <w:start w:val="1"/>
      <w:numFmt w:val="lowerRoman"/>
      <w:lvlText w:val="%3."/>
      <w:lvlJc w:val="right"/>
      <w:pPr>
        <w:ind w:left="2367" w:hanging="440"/>
      </w:pPr>
    </w:lvl>
    <w:lvl w:ilvl="3" w:tentative="0">
      <w:start w:val="1"/>
      <w:numFmt w:val="decimal"/>
      <w:lvlText w:val="%4."/>
      <w:lvlJc w:val="left"/>
      <w:pPr>
        <w:ind w:left="2807" w:hanging="440"/>
      </w:pPr>
    </w:lvl>
    <w:lvl w:ilvl="4" w:tentative="0">
      <w:start w:val="1"/>
      <w:numFmt w:val="lowerLetter"/>
      <w:lvlText w:val="%5)"/>
      <w:lvlJc w:val="left"/>
      <w:pPr>
        <w:ind w:left="3247" w:hanging="440"/>
      </w:pPr>
    </w:lvl>
    <w:lvl w:ilvl="5" w:tentative="0">
      <w:start w:val="1"/>
      <w:numFmt w:val="lowerRoman"/>
      <w:lvlText w:val="%6."/>
      <w:lvlJc w:val="right"/>
      <w:pPr>
        <w:ind w:left="3687" w:hanging="440"/>
      </w:pPr>
    </w:lvl>
    <w:lvl w:ilvl="6" w:tentative="0">
      <w:start w:val="1"/>
      <w:numFmt w:val="decimal"/>
      <w:lvlText w:val="%7."/>
      <w:lvlJc w:val="left"/>
      <w:pPr>
        <w:ind w:left="4127" w:hanging="440"/>
      </w:pPr>
    </w:lvl>
    <w:lvl w:ilvl="7" w:tentative="0">
      <w:start w:val="1"/>
      <w:numFmt w:val="lowerLetter"/>
      <w:lvlText w:val="%8)"/>
      <w:lvlJc w:val="left"/>
      <w:pPr>
        <w:ind w:left="4567" w:hanging="440"/>
      </w:pPr>
    </w:lvl>
    <w:lvl w:ilvl="8" w:tentative="0">
      <w:start w:val="1"/>
      <w:numFmt w:val="lowerRoman"/>
      <w:lvlText w:val="%9."/>
      <w:lvlJc w:val="right"/>
      <w:pPr>
        <w:ind w:left="5007" w:hanging="440"/>
      </w:pPr>
    </w:lvl>
  </w:abstractNum>
  <w:abstractNum w:abstractNumId="8">
    <w:nsid w:val="77D62D99"/>
    <w:multiLevelType w:val="multilevel"/>
    <w:tmpl w:val="77D62D99"/>
    <w:lvl w:ilvl="0" w:tentative="0">
      <w:start w:val="1"/>
      <w:numFmt w:val="decimal"/>
      <w:lvlText w:val="（%1）"/>
      <w:lvlJc w:val="left"/>
      <w:pPr>
        <w:ind w:left="1767" w:hanging="720"/>
      </w:pPr>
      <w:rPr>
        <w:rFonts w:hint="default"/>
      </w:rPr>
    </w:lvl>
    <w:lvl w:ilvl="1" w:tentative="0">
      <w:start w:val="1"/>
      <w:numFmt w:val="lowerLetter"/>
      <w:lvlText w:val="%2)"/>
      <w:lvlJc w:val="left"/>
      <w:pPr>
        <w:ind w:left="1927" w:hanging="440"/>
      </w:pPr>
    </w:lvl>
    <w:lvl w:ilvl="2" w:tentative="0">
      <w:start w:val="1"/>
      <w:numFmt w:val="lowerRoman"/>
      <w:lvlText w:val="%3."/>
      <w:lvlJc w:val="right"/>
      <w:pPr>
        <w:ind w:left="2367" w:hanging="440"/>
      </w:pPr>
    </w:lvl>
    <w:lvl w:ilvl="3" w:tentative="0">
      <w:start w:val="1"/>
      <w:numFmt w:val="decimal"/>
      <w:lvlText w:val="%4."/>
      <w:lvlJc w:val="left"/>
      <w:pPr>
        <w:ind w:left="2807" w:hanging="440"/>
      </w:pPr>
    </w:lvl>
    <w:lvl w:ilvl="4" w:tentative="0">
      <w:start w:val="1"/>
      <w:numFmt w:val="lowerLetter"/>
      <w:lvlText w:val="%5)"/>
      <w:lvlJc w:val="left"/>
      <w:pPr>
        <w:ind w:left="3247" w:hanging="440"/>
      </w:pPr>
    </w:lvl>
    <w:lvl w:ilvl="5" w:tentative="0">
      <w:start w:val="1"/>
      <w:numFmt w:val="lowerRoman"/>
      <w:lvlText w:val="%6."/>
      <w:lvlJc w:val="right"/>
      <w:pPr>
        <w:ind w:left="3687" w:hanging="440"/>
      </w:pPr>
    </w:lvl>
    <w:lvl w:ilvl="6" w:tentative="0">
      <w:start w:val="1"/>
      <w:numFmt w:val="decimal"/>
      <w:lvlText w:val="%7."/>
      <w:lvlJc w:val="left"/>
      <w:pPr>
        <w:ind w:left="4127" w:hanging="440"/>
      </w:pPr>
    </w:lvl>
    <w:lvl w:ilvl="7" w:tentative="0">
      <w:start w:val="1"/>
      <w:numFmt w:val="lowerLetter"/>
      <w:lvlText w:val="%8)"/>
      <w:lvlJc w:val="left"/>
      <w:pPr>
        <w:ind w:left="4567" w:hanging="440"/>
      </w:pPr>
    </w:lvl>
    <w:lvl w:ilvl="8" w:tentative="0">
      <w:start w:val="1"/>
      <w:numFmt w:val="lowerRoman"/>
      <w:lvlText w:val="%9."/>
      <w:lvlJc w:val="right"/>
      <w:pPr>
        <w:ind w:left="5007"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6895"/>
    <w:rsid w:val="00034616"/>
    <w:rsid w:val="0006063C"/>
    <w:rsid w:val="000D11B7"/>
    <w:rsid w:val="00102DD5"/>
    <w:rsid w:val="0015074B"/>
    <w:rsid w:val="001C1BA9"/>
    <w:rsid w:val="00267F45"/>
    <w:rsid w:val="0029639D"/>
    <w:rsid w:val="002C67DC"/>
    <w:rsid w:val="002D695D"/>
    <w:rsid w:val="002F4BCE"/>
    <w:rsid w:val="00326F90"/>
    <w:rsid w:val="00363395"/>
    <w:rsid w:val="003773F7"/>
    <w:rsid w:val="003F3A0C"/>
    <w:rsid w:val="004057F1"/>
    <w:rsid w:val="0043334B"/>
    <w:rsid w:val="00433FCE"/>
    <w:rsid w:val="004A6E30"/>
    <w:rsid w:val="004E0D3E"/>
    <w:rsid w:val="004F7614"/>
    <w:rsid w:val="005322FA"/>
    <w:rsid w:val="005512D1"/>
    <w:rsid w:val="00553A4A"/>
    <w:rsid w:val="00555DC9"/>
    <w:rsid w:val="005A39BB"/>
    <w:rsid w:val="005B74D5"/>
    <w:rsid w:val="005D5E9C"/>
    <w:rsid w:val="005E56C9"/>
    <w:rsid w:val="0061013B"/>
    <w:rsid w:val="00690155"/>
    <w:rsid w:val="006A6C6F"/>
    <w:rsid w:val="006C7ED9"/>
    <w:rsid w:val="006D471C"/>
    <w:rsid w:val="006E0862"/>
    <w:rsid w:val="007572CB"/>
    <w:rsid w:val="0077316E"/>
    <w:rsid w:val="00775BF6"/>
    <w:rsid w:val="007B757B"/>
    <w:rsid w:val="007F305C"/>
    <w:rsid w:val="00812A21"/>
    <w:rsid w:val="008420DB"/>
    <w:rsid w:val="008646B0"/>
    <w:rsid w:val="008A3BC2"/>
    <w:rsid w:val="008B4E75"/>
    <w:rsid w:val="008F416F"/>
    <w:rsid w:val="009B55CF"/>
    <w:rsid w:val="009D4F9C"/>
    <w:rsid w:val="009D7A9E"/>
    <w:rsid w:val="00A0176E"/>
    <w:rsid w:val="00A76BEE"/>
    <w:rsid w:val="00AA1D8D"/>
    <w:rsid w:val="00AE1A5C"/>
    <w:rsid w:val="00B47730"/>
    <w:rsid w:val="00B545A4"/>
    <w:rsid w:val="00B6592A"/>
    <w:rsid w:val="00BA1565"/>
    <w:rsid w:val="00BB7F93"/>
    <w:rsid w:val="00C07C01"/>
    <w:rsid w:val="00C10C1C"/>
    <w:rsid w:val="00C35766"/>
    <w:rsid w:val="00CB0664"/>
    <w:rsid w:val="00CD485A"/>
    <w:rsid w:val="00CF5518"/>
    <w:rsid w:val="00D12CDC"/>
    <w:rsid w:val="00D270CB"/>
    <w:rsid w:val="00DA2730"/>
    <w:rsid w:val="00DE65EB"/>
    <w:rsid w:val="00E34F2D"/>
    <w:rsid w:val="00F10D8F"/>
    <w:rsid w:val="00F43672"/>
    <w:rsid w:val="00FC693F"/>
    <w:rsid w:val="010031D8"/>
    <w:rsid w:val="019C7354"/>
    <w:rsid w:val="04471F90"/>
    <w:rsid w:val="069D5449"/>
    <w:rsid w:val="0C1D68B6"/>
    <w:rsid w:val="0F4F03D7"/>
    <w:rsid w:val="153F0794"/>
    <w:rsid w:val="16F8213F"/>
    <w:rsid w:val="17CF1CFA"/>
    <w:rsid w:val="19451987"/>
    <w:rsid w:val="196621AD"/>
    <w:rsid w:val="22524EFF"/>
    <w:rsid w:val="23171567"/>
    <w:rsid w:val="264351E1"/>
    <w:rsid w:val="274411A4"/>
    <w:rsid w:val="2C45450A"/>
    <w:rsid w:val="2FFB390F"/>
    <w:rsid w:val="3052318F"/>
    <w:rsid w:val="31925762"/>
    <w:rsid w:val="327834FC"/>
    <w:rsid w:val="38B04523"/>
    <w:rsid w:val="390E3D6F"/>
    <w:rsid w:val="3C517655"/>
    <w:rsid w:val="3FEF1E77"/>
    <w:rsid w:val="42A075A2"/>
    <w:rsid w:val="458A47A9"/>
    <w:rsid w:val="45DD2068"/>
    <w:rsid w:val="51D13AA0"/>
    <w:rsid w:val="5A34058B"/>
    <w:rsid w:val="5C7A1768"/>
    <w:rsid w:val="62AA4A3B"/>
    <w:rsid w:val="6448132D"/>
    <w:rsid w:val="653F47A8"/>
    <w:rsid w:val="6CFC710B"/>
    <w:rsid w:val="6F5A5F47"/>
    <w:rsid w:val="712F6688"/>
    <w:rsid w:val="75715F7A"/>
    <w:rsid w:val="7AAE5290"/>
    <w:rsid w:val="7ADF6E27"/>
    <w:rsid w:val="7DEB1345"/>
    <w:rsid w:val="7FD52C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bidi="ar-SA"/>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20" w:after="20" w:line="360" w:lineRule="auto"/>
      <w:ind w:left="567" w:firstLine="480" w:firstLineChars="200"/>
    </w:pPr>
    <w:rPr>
      <w:rFonts w:ascii="宋体" w:hAnsi="宋体" w:eastAsia="宋体" w:cs="宋体"/>
      <w:sz w:val="24"/>
      <w:szCs w:val="22"/>
      <w:lang w:val="en-US" w:eastAsia="zh-CN" w:bidi="ar-SA"/>
    </w:rPr>
  </w:style>
  <w:style w:type="paragraph" w:styleId="2">
    <w:name w:val="heading 1"/>
    <w:basedOn w:val="1"/>
    <w:next w:val="1"/>
    <w:link w:val="140"/>
    <w:qFormat/>
    <w:uiPriority w:val="9"/>
    <w:pPr>
      <w:keepNext/>
      <w:keepLines/>
      <w:spacing w:before="200"/>
      <w:ind w:left="0" w:firstLine="0" w:firstLineChars="0"/>
      <w:outlineLvl w:val="0"/>
    </w:pPr>
    <w:rPr>
      <w:rFonts w:asciiTheme="majorHAnsi" w:hAnsiTheme="majorHAnsi" w:cstheme="majorBidi"/>
      <w:b/>
      <w:bCs/>
      <w:sz w:val="30"/>
      <w:szCs w:val="28"/>
    </w:rPr>
  </w:style>
  <w:style w:type="paragraph" w:styleId="3">
    <w:name w:val="heading 2"/>
    <w:basedOn w:val="1"/>
    <w:next w:val="1"/>
    <w:link w:val="141"/>
    <w:unhideWhenUsed/>
    <w:qFormat/>
    <w:uiPriority w:val="9"/>
    <w:pPr>
      <w:keepNext/>
      <w:keepLines/>
      <w:spacing w:before="80" w:after="80"/>
      <w:ind w:left="0" w:firstLine="560" w:firstLineChars="0"/>
      <w:outlineLvl w:val="1"/>
    </w:pPr>
    <w:rPr>
      <w:b/>
      <w:sz w:val="28"/>
      <w:szCs w:val="28"/>
    </w:rPr>
  </w:style>
  <w:style w:type="paragraph" w:styleId="4">
    <w:name w:val="heading 3"/>
    <w:basedOn w:val="1"/>
    <w:next w:val="1"/>
    <w:link w:val="136"/>
    <w:unhideWhenUsed/>
    <w:qFormat/>
    <w:uiPriority w:val="9"/>
    <w:pPr>
      <w:keepNext/>
      <w:keepLines/>
      <w:spacing w:before="200" w:after="0"/>
      <w:ind w:firstLine="482"/>
      <w:outlineLvl w:val="2"/>
    </w:pPr>
    <w:rPr>
      <w:b/>
      <w:bCs/>
      <w:szCs w:val="24"/>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33">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11">
    <w:name w:val="List 3"/>
    <w:basedOn w:val="1"/>
    <w:unhideWhenUsed/>
    <w:qFormat/>
    <w:uiPriority w:val="99"/>
    <w:pPr>
      <w:ind w:left="1080" w:hanging="360"/>
      <w:contextualSpacing/>
    </w:pPr>
  </w:style>
  <w:style w:type="paragraph" w:styleId="12">
    <w:name w:val="List Number 2"/>
    <w:basedOn w:val="1"/>
    <w:unhideWhenUsed/>
    <w:qFormat/>
    <w:uiPriority w:val="99"/>
    <w:pPr>
      <w:numPr>
        <w:ilvl w:val="0"/>
        <w:numId w:val="1"/>
      </w:numPr>
      <w:contextualSpacing/>
    </w:pPr>
  </w:style>
  <w:style w:type="paragraph" w:styleId="13">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宋体" w:hAnsi="宋体" w:eastAsia="宋体" w:cstheme="minorBidi"/>
      <w:lang w:val="en-US" w:eastAsia="en-US" w:bidi="ar-SA"/>
    </w:r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47"/>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5"/>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34">
    <w:name w:val="Strong"/>
    <w:basedOn w:val="33"/>
    <w:qFormat/>
    <w:uiPriority w:val="22"/>
    <w:rPr>
      <w:b/>
      <w:bCs/>
    </w:rPr>
  </w:style>
  <w:style w:type="character" w:styleId="35">
    <w:name w:val="Emphasis"/>
    <w:basedOn w:val="33"/>
    <w:qFormat/>
    <w:uiPriority w:val="20"/>
    <w:rPr>
      <w:i/>
      <w:iCs/>
    </w:rPr>
  </w:style>
  <w:style w:type="table" w:styleId="37">
    <w:name w:val="Table Grid"/>
    <w:basedOn w:val="3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38">
    <w:name w:val="Light Shading"/>
    <w:basedOn w:val="36"/>
    <w:qFormat/>
    <w:uiPriority w:val="60"/>
    <w:rPr>
      <w:color w:val="000000" w:themeColor="text1" w:themeShade="BF"/>
    </w:rPr>
    <w:tblPr>
      <w:tblBorders>
        <w:top w:val="single" w:color="000000" w:themeColor="text1" w:sz="8" w:space="0"/>
        <w:bottom w:val="single" w:color="000000" w:themeColor="text1" w:sz="8" w:space="0"/>
      </w:tblBorders>
      <w:tblLayout w:type="fixed"/>
    </w:tblPr>
    <w:tblStylePr w:type="fir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blLayout w:type="fixed"/>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rPr>
      <w:color w:val="376092" w:themeColor="accent1" w:themeShade="BF"/>
    </w:rPr>
    <w:tblPr>
      <w:tblBorders>
        <w:top w:val="single" w:color="4F81BD" w:themeColor="accent1" w:sz="8" w:space="0"/>
        <w:bottom w:val="single" w:color="4F81BD" w:themeColor="accent1" w:sz="8" w:space="0"/>
      </w:tblBorders>
      <w:tblLayout w:type="fixed"/>
    </w:tblPr>
    <w:tblStylePr w:type="fir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rPr>
      <w:color w:val="953735" w:themeColor="accent2" w:themeShade="BF"/>
    </w:rPr>
    <w:tblPr>
      <w:tblBorders>
        <w:top w:val="single" w:color="C0504D" w:themeColor="accent2" w:sz="8" w:space="0"/>
        <w:bottom w:val="single" w:color="C0504D" w:themeColor="accent2" w:sz="8" w:space="0"/>
      </w:tblBorders>
      <w:tblLayout w:type="fixed"/>
    </w:tblPr>
    <w:tblStylePr w:type="fir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blLayout w:type="fixed"/>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rPr>
      <w:color w:val="77933C" w:themeColor="accent3" w:themeShade="BF"/>
    </w:rPr>
    <w:tblPr>
      <w:tblBorders>
        <w:top w:val="single" w:color="9BBB59" w:themeColor="accent3" w:sz="8" w:space="0"/>
        <w:bottom w:val="single" w:color="9BBB59" w:themeColor="accent3" w:sz="8" w:space="0"/>
      </w:tblBorders>
      <w:tblLayout w:type="fixed"/>
    </w:tblPr>
    <w:tblStylePr w:type="fir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blLayout w:type="fixed"/>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rPr>
      <w:color w:val="604A7B" w:themeColor="accent4" w:themeShade="BF"/>
    </w:rPr>
    <w:tblPr>
      <w:tblBorders>
        <w:top w:val="single" w:color="8064A2" w:themeColor="accent4" w:sz="8" w:space="0"/>
        <w:bottom w:val="single" w:color="8064A2" w:themeColor="accent4" w:sz="8" w:space="0"/>
      </w:tblBorders>
      <w:tblLayout w:type="fixed"/>
    </w:tblPr>
    <w:tblStylePr w:type="fir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rPr>
      <w:color w:val="31859C" w:themeColor="accent5" w:themeShade="BF"/>
    </w:rPr>
    <w:tblPr>
      <w:tblBorders>
        <w:top w:val="single" w:color="4BACC6" w:themeColor="accent5" w:sz="8" w:space="0"/>
        <w:bottom w:val="single" w:color="4BACC6" w:themeColor="accent5" w:sz="8" w:space="0"/>
      </w:tblBorders>
      <w:tblLayout w:type="fixed"/>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rPr>
      <w:color w:val="E46C0A" w:themeColor="accent6" w:themeShade="BF"/>
    </w:rPr>
    <w:tblPr>
      <w:tblBorders>
        <w:top w:val="single" w:color="F79646" w:themeColor="accent6" w:sz="8" w:space="0"/>
        <w:bottom w:val="single" w:color="F79646" w:themeColor="accent6" w:sz="8" w:space="0"/>
      </w:tblBorders>
      <w:tblLayout w:type="fixed"/>
    </w:tblPr>
    <w:tblStylePr w:type="fir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blLayout w:type="fixed"/>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000000" w:themeFill="text1"/>
      </w:tcPr>
    </w:tblStylePr>
    <w:tblStylePr w:type="lastRow">
      <w:pPr>
        <w:spacing w:before="0" w:after="0" w:line="240" w:lineRule="auto"/>
      </w:pPr>
      <w:rPr>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C0504D" w:themeFill="accent2"/>
      </w:tcPr>
    </w:tblStylePr>
    <w:tblStylePr w:type="lastRow">
      <w:pPr>
        <w:spacing w:before="0" w:after="0" w:line="240" w:lineRule="auto"/>
      </w:pPr>
      <w:rPr>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9BBB59" w:themeFill="accent3"/>
      </w:tcPr>
    </w:tblStylePr>
    <w:tblStylePr w:type="lastRow">
      <w:pPr>
        <w:spacing w:before="0" w:after="0" w:line="240" w:lineRule="auto"/>
      </w:pPr>
      <w:rPr>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8064A2" w:themeFill="accent4"/>
      </w:tcPr>
    </w:tblStylePr>
    <w:tblStylePr w:type="lastRow">
      <w:pPr>
        <w:spacing w:before="0" w:after="0" w:line="240" w:lineRule="auto"/>
      </w:pPr>
      <w:rPr>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4BACC6" w:themeFill="accent5"/>
      </w:tcPr>
    </w:tblStylePr>
    <w:tblStylePr w:type="lastRow">
      <w:pPr>
        <w:spacing w:before="0" w:after="0" w:line="240" w:lineRule="auto"/>
      </w:pPr>
      <w:rPr>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shd w:val="clear" w:color="auto" w:fill="F79646" w:themeFill="accent6"/>
      </w:tcPr>
    </w:tblStylePr>
    <w:tblStylePr w:type="lastRow">
      <w:pPr>
        <w:spacing w:before="0" w:after="0" w:line="240" w:lineRule="auto"/>
      </w:pPr>
      <w:rPr>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blLayout w:type="fixed"/>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blLayout w:type="fixed"/>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blLayout w:type="fixed"/>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blLayout w:type="fixed"/>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blLayout w:type="fixed"/>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blLayout w:type="fixed"/>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BFBFBF" w:themeFill="text1" w:themeFillTint="3F"/>
      </w:tcPr>
    </w:tblStylePr>
    <w:tblStylePr w:type="band1Horz">
      <w:tblPr>
        <w:tblLayout w:type="fixed"/>
      </w:tblPr>
      <w:tcPr>
        <w:tcBorders>
          <w:insideH w:val="nil"/>
          <w:insideV w:val="nil"/>
        </w:tcBorders>
        <w:shd w:val="clear" w:color="auto" w:fill="BFBFBF" w:themeFill="text1" w:themeFillTint="3F"/>
      </w:tcPr>
    </w:tblStylePr>
    <w:tblStylePr w:type="band2Horz">
      <w:tblPr>
        <w:tblLayout w:type="fixed"/>
      </w:tblPr>
      <w:tcPr>
        <w:tcBorders>
          <w:insideH w:val="nil"/>
          <w:insideV w:val="nil"/>
        </w:tcBorders>
      </w:tcPr>
    </w:tblStylePr>
  </w:style>
  <w:style w:type="table" w:styleId="60">
    <w:name w:val="Medium Shading 1 Accent 1"/>
    <w:basedOn w:val="36"/>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table" w:styleId="61">
    <w:name w:val="Medium Shading 1 Accent 2"/>
    <w:basedOn w:val="36"/>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blLayout w:type="fixed"/>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FD3D3" w:themeFill="accent2" w:themeFillTint="3F"/>
      </w:tcPr>
    </w:tblStylePr>
    <w:tblStylePr w:type="band1Horz">
      <w:tblPr>
        <w:tblLayout w:type="fixed"/>
      </w:tblPr>
      <w:tcPr>
        <w:tcBorders>
          <w:insideH w:val="nil"/>
          <w:insideV w:val="nil"/>
        </w:tcBorders>
        <w:shd w:val="clear" w:color="auto" w:fill="EFD3D3" w:themeFill="accent2" w:themeFillTint="3F"/>
      </w:tcPr>
    </w:tblStylePr>
    <w:tblStylePr w:type="band2Horz">
      <w:tblPr>
        <w:tblLayout w:type="fixed"/>
      </w:tblPr>
      <w:tcPr>
        <w:tcBorders>
          <w:insideH w:val="nil"/>
          <w:insideV w:val="nil"/>
        </w:tcBorders>
      </w:tcPr>
    </w:tblStylePr>
  </w:style>
  <w:style w:type="table" w:styleId="62">
    <w:name w:val="Medium Shading 1 Accent 3"/>
    <w:basedOn w:val="36"/>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blLayout w:type="fixed"/>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E6EED5" w:themeFill="accent3" w:themeFillTint="3F"/>
      </w:tcPr>
    </w:tblStylePr>
    <w:tblStylePr w:type="band1Horz">
      <w:tblPr>
        <w:tblLayout w:type="fixed"/>
      </w:tblPr>
      <w:tcPr>
        <w:tcBorders>
          <w:insideH w:val="nil"/>
          <w:insideV w:val="nil"/>
        </w:tcBorders>
        <w:shd w:val="clear" w:color="auto" w:fill="E6EED5" w:themeFill="accent3" w:themeFillTint="3F"/>
      </w:tcPr>
    </w:tblStylePr>
    <w:tblStylePr w:type="band2Horz">
      <w:tblPr>
        <w:tblLayout w:type="fixed"/>
      </w:tblPr>
      <w:tcPr>
        <w:tcBorders>
          <w:insideH w:val="nil"/>
          <w:insideV w:val="nil"/>
        </w:tcBorders>
      </w:tcPr>
    </w:tblStylePr>
  </w:style>
  <w:style w:type="table" w:styleId="63">
    <w:name w:val="Medium Shading 1 Accent 4"/>
    <w:basedOn w:val="36"/>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blLayout w:type="fixed"/>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FD8E8" w:themeFill="accent4" w:themeFillTint="3F"/>
      </w:tcPr>
    </w:tblStylePr>
    <w:tblStylePr w:type="band1Horz">
      <w:tblPr>
        <w:tblLayout w:type="fixed"/>
      </w:tblPr>
      <w:tcPr>
        <w:tcBorders>
          <w:insideH w:val="nil"/>
          <w:insideV w:val="nil"/>
        </w:tcBorders>
        <w:shd w:val="clear" w:color="auto" w:fill="DFD8E8" w:themeFill="accent4" w:themeFillTint="3F"/>
      </w:tcPr>
    </w:tblStylePr>
    <w:tblStylePr w:type="band2Horz">
      <w:tblPr>
        <w:tblLayout w:type="fixed"/>
      </w:tblPr>
      <w:tcPr>
        <w:tcBorders>
          <w:insideH w:val="nil"/>
          <w:insideV w:val="nil"/>
        </w:tcBorders>
      </w:tcPr>
    </w:tblStylePr>
  </w:style>
  <w:style w:type="table" w:styleId="64">
    <w:name w:val="Medium Shading 1 Accent 5"/>
    <w:basedOn w:val="36"/>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blLayout w:type="fixed"/>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2EAF0" w:themeFill="accent5" w:themeFillTint="3F"/>
      </w:tcPr>
    </w:tblStylePr>
    <w:tblStylePr w:type="band1Horz">
      <w:tblPr>
        <w:tblLayout w:type="fixed"/>
      </w:tblPr>
      <w:tcPr>
        <w:tcBorders>
          <w:insideH w:val="nil"/>
          <w:insideV w:val="nil"/>
        </w:tcBorders>
        <w:shd w:val="clear" w:color="auto" w:fill="D2EAF0" w:themeFill="accent5" w:themeFillTint="3F"/>
      </w:tcPr>
    </w:tblStylePr>
    <w:tblStylePr w:type="band2Horz">
      <w:tblPr>
        <w:tblLayout w:type="fixed"/>
      </w:tblPr>
      <w:tcPr>
        <w:tcBorders>
          <w:insideH w:val="nil"/>
          <w:insideV w:val="nil"/>
        </w:tcBorders>
      </w:tcPr>
    </w:tblStylePr>
  </w:style>
  <w:style w:type="table" w:styleId="65">
    <w:name w:val="Medium Shading 1 Accent 6"/>
    <w:basedOn w:val="36"/>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blLayout w:type="fixed"/>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FDE5D1" w:themeFill="accent6" w:themeFillTint="3F"/>
      </w:tcPr>
    </w:tblStylePr>
    <w:tblStylePr w:type="band1Horz">
      <w:tblPr>
        <w:tblLayout w:type="fixed"/>
      </w:tblPr>
      <w:tcPr>
        <w:tcBorders>
          <w:insideH w:val="nil"/>
          <w:insideV w:val="nil"/>
        </w:tcBorders>
        <w:shd w:val="clear" w:color="auto" w:fill="FDE5D1" w:themeFill="accent6" w:themeFillTint="3F"/>
      </w:tcPr>
    </w:tblStylePr>
    <w:tblStylePr w:type="band2Horz">
      <w:tblPr>
        <w:tblLayout w:type="fixed"/>
      </w:tblPr>
      <w:tcPr>
        <w:tcBorders>
          <w:insideH w:val="nil"/>
          <w:insideV w:val="nil"/>
        </w:tcBorders>
      </w:tcPr>
    </w:tblStylePr>
  </w:style>
  <w:style w:type="table" w:styleId="66">
    <w:name w:val="Medium Shading 2"/>
    <w:basedOn w:val="36"/>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000000" w:themeFill="tex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C0504D" w:themeFill="accent2"/>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9BBB59" w:themeFill="accent3"/>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8064A2" w:themeFill="accent4"/>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4BACC6" w:themeFill="accent5"/>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tblPr>
      <w:tblBorders>
        <w:top w:val="single" w:color="auto" w:sz="18" w:space="0"/>
        <w:bottom w:val="single" w:color="auto" w:sz="18" w:space="0"/>
      </w:tblBorders>
      <w:tblLayout w:type="fixed"/>
    </w:tblPr>
    <w:tblStylePr w:type="firstRow">
      <w:pPr>
        <w:spacing w:before="0" w:after="0" w:line="240" w:lineRule="auto"/>
      </w:pPr>
      <w:rPr>
        <w:b/>
        <w:bCs/>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blLayout w:type="fixed"/>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blLayout w:type="fixed"/>
      </w:tblPr>
      <w:tcPr>
        <w:tcBorders>
          <w:left w:val="nil"/>
          <w:right w:val="nil"/>
          <w:insideH w:val="nil"/>
          <w:insideV w:val="nil"/>
        </w:tcBorders>
        <w:shd w:val="clear" w:color="auto" w:fill="F79646" w:themeFill="accent6"/>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blLayout w:type="fixed"/>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blLayout w:type="fixed"/>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blLayout w:type="fixed"/>
      </w:tblPr>
      <w:tcPr>
        <w:tcBorders>
          <w:top w:val="single" w:color="000000" w:themeColor="text1" w:sz="8" w:space="0"/>
          <w:bottom w:val="single" w:color="000000" w:themeColor="text1" w:sz="8" w:space="0"/>
        </w:tcBorders>
      </w:tcPr>
    </w:tblStylePr>
    <w:tblStylePr w:type="band1Vert">
      <w:tblPr>
        <w:tblLayout w:type="fixed"/>
      </w:tblPr>
      <w:tcPr>
        <w:shd w:val="clear" w:color="auto" w:fill="BFBFBF" w:themeFill="text1" w:themeFillTint="3F"/>
      </w:tcPr>
    </w:tblStylePr>
    <w:tblStylePr w:type="band1Horz">
      <w:tblPr>
        <w:tblLayout w:type="fixed"/>
      </w:tblPr>
      <w:tcPr>
        <w:shd w:val="clear" w:color="auto" w:fill="BFBFBF" w:themeFill="text1" w:themeFillTint="3F"/>
      </w:tcPr>
    </w:tblStylePr>
  </w:style>
  <w:style w:type="table" w:styleId="74">
    <w:name w:val="Medium List 1 Accent 1"/>
    <w:basedOn w:val="36"/>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blLayout w:type="fixed"/>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blLayout w:type="fixed"/>
      </w:tblPr>
      <w:tcPr>
        <w:tcBorders>
          <w:top w:val="single" w:color="4F81BD" w:themeColor="accent1" w:sz="8" w:space="0"/>
          <w:bottom w:val="single" w:color="4F81BD" w:themeColor="accent1" w:sz="8" w:space="0"/>
        </w:tcBorders>
      </w:tcPr>
    </w:tblStylePr>
    <w:tblStylePr w:type="band1Vert">
      <w:tblPr>
        <w:tblLayout w:type="fixed"/>
      </w:tblPr>
      <w:tcPr>
        <w:shd w:val="clear" w:color="auto" w:fill="D3DFEE" w:themeFill="accent1" w:themeFillTint="3F"/>
      </w:tcPr>
    </w:tblStylePr>
    <w:tblStylePr w:type="band1Horz">
      <w:tblPr>
        <w:tblLayout w:type="fixed"/>
      </w:tblPr>
      <w:tcPr>
        <w:shd w:val="clear" w:color="auto" w:fill="D3DFEE" w:themeFill="accent1" w:themeFillTint="3F"/>
      </w:tcPr>
    </w:tblStylePr>
  </w:style>
  <w:style w:type="table" w:styleId="75">
    <w:name w:val="Medium List 1 Accent 2"/>
    <w:basedOn w:val="36"/>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blLayout w:type="fixed"/>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blLayout w:type="fixed"/>
      </w:tblPr>
      <w:tcPr>
        <w:tcBorders>
          <w:top w:val="single" w:color="C0504D" w:themeColor="accent2" w:sz="8" w:space="0"/>
          <w:bottom w:val="single" w:color="C0504D" w:themeColor="accent2" w:sz="8" w:space="0"/>
        </w:tcBorders>
      </w:tcPr>
    </w:tblStylePr>
    <w:tblStylePr w:type="band1Vert">
      <w:tblPr>
        <w:tblLayout w:type="fixed"/>
      </w:tblPr>
      <w:tcPr>
        <w:shd w:val="clear" w:color="auto" w:fill="EFD3D3" w:themeFill="accent2" w:themeFillTint="3F"/>
      </w:tcPr>
    </w:tblStylePr>
    <w:tblStylePr w:type="band1Horz">
      <w:tblPr>
        <w:tblLayout w:type="fixed"/>
      </w:tblPr>
      <w:tcPr>
        <w:shd w:val="clear" w:color="auto" w:fill="EFD3D3" w:themeFill="accent2" w:themeFillTint="3F"/>
      </w:tcPr>
    </w:tblStylePr>
  </w:style>
  <w:style w:type="table" w:styleId="76">
    <w:name w:val="Medium List 1 Accent 3"/>
    <w:basedOn w:val="36"/>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blLayout w:type="fixed"/>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blLayout w:type="fixed"/>
      </w:tblPr>
      <w:tcPr>
        <w:tcBorders>
          <w:top w:val="single" w:color="9BBB59" w:themeColor="accent3" w:sz="8" w:space="0"/>
          <w:bottom w:val="single" w:color="9BBB59" w:themeColor="accent3" w:sz="8" w:space="0"/>
        </w:tcBorders>
      </w:tcPr>
    </w:tblStylePr>
    <w:tblStylePr w:type="band1Vert">
      <w:tblPr>
        <w:tblLayout w:type="fixed"/>
      </w:tblPr>
      <w:tcPr>
        <w:shd w:val="clear" w:color="auto" w:fill="E6EED5" w:themeFill="accent3" w:themeFillTint="3F"/>
      </w:tcPr>
    </w:tblStylePr>
    <w:tblStylePr w:type="band1Horz">
      <w:tblPr>
        <w:tblLayout w:type="fixed"/>
      </w:tblPr>
      <w:tcPr>
        <w:shd w:val="clear" w:color="auto" w:fill="E6EED5" w:themeFill="accent3" w:themeFillTint="3F"/>
      </w:tcPr>
    </w:tblStylePr>
  </w:style>
  <w:style w:type="table" w:styleId="77">
    <w:name w:val="Medium List 1 Accent 4"/>
    <w:basedOn w:val="36"/>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blLayout w:type="fixed"/>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blLayout w:type="fixed"/>
      </w:tblPr>
      <w:tcPr>
        <w:tcBorders>
          <w:top w:val="single" w:color="8064A2" w:themeColor="accent4" w:sz="8" w:space="0"/>
          <w:bottom w:val="single" w:color="8064A2" w:themeColor="accent4" w:sz="8" w:space="0"/>
        </w:tcBorders>
      </w:tcPr>
    </w:tblStylePr>
    <w:tblStylePr w:type="band1Vert">
      <w:tblPr>
        <w:tblLayout w:type="fixed"/>
      </w:tblPr>
      <w:tcPr>
        <w:shd w:val="clear" w:color="auto" w:fill="DFD8E8" w:themeFill="accent4" w:themeFillTint="3F"/>
      </w:tcPr>
    </w:tblStylePr>
    <w:tblStylePr w:type="band1Horz">
      <w:tblPr>
        <w:tblLayout w:type="fixed"/>
      </w:tblPr>
      <w:tcPr>
        <w:shd w:val="clear" w:color="auto" w:fill="DFD8E8" w:themeFill="accent4" w:themeFillTint="3F"/>
      </w:tcPr>
    </w:tblStylePr>
  </w:style>
  <w:style w:type="table" w:styleId="78">
    <w:name w:val="Medium List 1 Accent 5"/>
    <w:basedOn w:val="36"/>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blLayout w:type="fixed"/>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blLayout w:type="fixed"/>
      </w:tblPr>
      <w:tcPr>
        <w:tcBorders>
          <w:top w:val="single" w:color="4BACC6" w:themeColor="accent5" w:sz="8" w:space="0"/>
          <w:bottom w:val="single" w:color="4BACC6" w:themeColor="accent5" w:sz="8" w:space="0"/>
        </w:tcBorders>
      </w:tcPr>
    </w:tblStylePr>
    <w:tblStylePr w:type="band1Vert">
      <w:tblPr>
        <w:tblLayout w:type="fixed"/>
      </w:tblPr>
      <w:tcPr>
        <w:shd w:val="clear" w:color="auto" w:fill="D2EAF0" w:themeFill="accent5" w:themeFillTint="3F"/>
      </w:tcPr>
    </w:tblStylePr>
    <w:tblStylePr w:type="band1Horz">
      <w:tblPr>
        <w:tblLayout w:type="fixed"/>
      </w:tblPr>
      <w:tcPr>
        <w:shd w:val="clear" w:color="auto" w:fill="D2EAF0" w:themeFill="accent5" w:themeFillTint="3F"/>
      </w:tcPr>
    </w:tblStylePr>
  </w:style>
  <w:style w:type="table" w:styleId="79">
    <w:name w:val="Medium List 1 Accent 6"/>
    <w:basedOn w:val="36"/>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Layout w:type="fixed"/>
    </w:tblPr>
    <w:tblStylePr w:type="firstRow">
      <w:rPr>
        <w:rFonts w:asciiTheme="majorHAnsi" w:hAnsiTheme="majorHAnsi" w:eastAsiaTheme="majorEastAsia" w:cstheme="majorBidi"/>
      </w:rPr>
      <w:tblPr>
        <w:tblLayout w:type="fixed"/>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blLayout w:type="fixed"/>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blLayout w:type="fixed"/>
      </w:tblPr>
      <w:tcPr>
        <w:tcBorders>
          <w:top w:val="single" w:color="F79646" w:themeColor="accent6" w:sz="8" w:space="0"/>
          <w:bottom w:val="single" w:color="F79646" w:themeColor="accent6" w:sz="8" w:space="0"/>
        </w:tcBorders>
      </w:tcPr>
    </w:tblStylePr>
    <w:tblStylePr w:type="band1Vert">
      <w:tblPr>
        <w:tblLayout w:type="fixed"/>
      </w:tblPr>
      <w:tcPr>
        <w:shd w:val="clear" w:color="auto" w:fill="FDE5D1" w:themeFill="accent6" w:themeFillTint="3F"/>
      </w:tcPr>
    </w:tblStylePr>
    <w:tblStylePr w:type="band1Horz">
      <w:tblPr>
        <w:tblLayout w:type="fixed"/>
      </w:tblPr>
      <w:tcPr>
        <w:shd w:val="clear" w:color="auto" w:fill="FDE5D1" w:themeFill="accent6" w:themeFillTint="3F"/>
      </w:tcPr>
    </w:tblStylePr>
  </w:style>
  <w:style w:type="table" w:styleId="80">
    <w:name w:val="Medium Lis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Layout w:type="fixed"/>
    </w:tblPr>
    <w:tblStylePr w:type="firstRow">
      <w:rPr>
        <w:sz w:val="24"/>
        <w:szCs w:val="24"/>
      </w:rPr>
      <w:tblPr>
        <w:tblLayout w:type="fixed"/>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blLayout w:type="fixed"/>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blLayout w:type="fixed"/>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BFBFBF" w:themeFill="text1" w:themeFillTint="3F"/>
      </w:tcPr>
    </w:tblStylePr>
    <w:tblStylePr w:type="band1Horz">
      <w:tblPr>
        <w:tblLayout w:type="fixed"/>
      </w:tblPr>
      <w:tcPr>
        <w:tcBorders>
          <w:top w:val="nil"/>
          <w:bottom w:val="nil"/>
          <w:insideH w:val="nil"/>
          <w:insideV w:val="nil"/>
        </w:tcBorders>
        <w:shd w:val="clear" w:color="auto" w:fill="BFBFBF" w:themeFill="tex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1">
    <w:name w:val="Medium List 2 Accent 1"/>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Pr>
    <w:tblStylePr w:type="firstRow">
      <w:rPr>
        <w:sz w:val="24"/>
        <w:szCs w:val="24"/>
      </w:rPr>
      <w:tblPr>
        <w:tblLayout w:type="fixed"/>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blLayout w:type="fixed"/>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blLayout w:type="fixed"/>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top w:val="nil"/>
          <w:bottom w:val="nil"/>
          <w:insideH w:val="nil"/>
          <w:insideV w:val="nil"/>
        </w:tcBorders>
        <w:shd w:val="clear" w:color="auto" w:fill="D3DFEE" w:themeFill="accent1"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2">
    <w:name w:val="Medium List 2 Accen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Layout w:type="fixed"/>
    </w:tblPr>
    <w:tblStylePr w:type="firstRow">
      <w:rPr>
        <w:sz w:val="24"/>
        <w:szCs w:val="24"/>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blLayout w:type="fixed"/>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blLayout w:type="fixed"/>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FD3D3" w:themeFill="accent2" w:themeFillTint="3F"/>
      </w:tcPr>
    </w:tblStylePr>
    <w:tblStylePr w:type="band1Horz">
      <w:tblPr>
        <w:tblLayout w:type="fixed"/>
      </w:tblPr>
      <w:tcPr>
        <w:tcBorders>
          <w:top w:val="nil"/>
          <w:bottom w:val="nil"/>
          <w:insideH w:val="nil"/>
          <w:insideV w:val="nil"/>
        </w:tcBorders>
        <w:shd w:val="clear" w:color="auto" w:fill="EFD3D3" w:themeFill="accent2"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3">
    <w:name w:val="Medium List 2 Accent 3"/>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Layout w:type="fixed"/>
    </w:tblPr>
    <w:tblStylePr w:type="firstRow">
      <w:rPr>
        <w:sz w:val="24"/>
        <w:szCs w:val="24"/>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blLayout w:type="fixed"/>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blLayout w:type="fixed"/>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E6EED5" w:themeFill="accent3" w:themeFillTint="3F"/>
      </w:tcPr>
    </w:tblStylePr>
    <w:tblStylePr w:type="band1Horz">
      <w:tblPr>
        <w:tblLayout w:type="fixed"/>
      </w:tblPr>
      <w:tcPr>
        <w:tcBorders>
          <w:top w:val="nil"/>
          <w:bottom w:val="nil"/>
          <w:insideH w:val="nil"/>
          <w:insideV w:val="nil"/>
        </w:tcBorders>
        <w:shd w:val="clear" w:color="auto" w:fill="E6EED5" w:themeFill="accent3"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4">
    <w:name w:val="Medium List 2 Accent 4"/>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Layout w:type="fixed"/>
    </w:tblPr>
    <w:tblStylePr w:type="firstRow">
      <w:rPr>
        <w:sz w:val="24"/>
        <w:szCs w:val="24"/>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blLayout w:type="fixed"/>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blLayout w:type="fixed"/>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top w:val="nil"/>
          <w:bottom w:val="nil"/>
          <w:insideH w:val="nil"/>
          <w:insideV w:val="nil"/>
        </w:tcBorders>
        <w:shd w:val="clear" w:color="auto" w:fill="DFD8E8" w:themeFill="accent4"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5">
    <w:name w:val="Medium List 2 Accent 5"/>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Layout w:type="fixed"/>
    </w:tblPr>
    <w:tblStylePr w:type="firstRow">
      <w:rPr>
        <w:sz w:val="24"/>
        <w:szCs w:val="24"/>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blLayout w:type="fixed"/>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blLayout w:type="fixed"/>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top w:val="nil"/>
          <w:bottom w:val="nil"/>
          <w:insideH w:val="nil"/>
          <w:insideV w:val="nil"/>
        </w:tcBorders>
        <w:shd w:val="clear" w:color="auto" w:fill="D2EAF0" w:themeFill="accent5"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6">
    <w:name w:val="Medium List 2 Accent 6"/>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Layout w:type="fixed"/>
    </w:tblPr>
    <w:tblStylePr w:type="firstRow">
      <w:rPr>
        <w:sz w:val="24"/>
        <w:szCs w:val="24"/>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blLayout w:type="fixed"/>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blLayout w:type="fixed"/>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blLayout w:type="fixed"/>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blLayout w:type="fixed"/>
      </w:tblPr>
      <w:tcPr>
        <w:tcBorders>
          <w:left w:val="nil"/>
          <w:right w:val="nil"/>
          <w:insideH w:val="nil"/>
          <w:insideV w:val="nil"/>
        </w:tcBorders>
        <w:shd w:val="clear" w:color="auto" w:fill="FDE5D1" w:themeFill="accent6" w:themeFillTint="3F"/>
      </w:tcPr>
    </w:tblStylePr>
    <w:tblStylePr w:type="band1Horz">
      <w:tblPr>
        <w:tblLayout w:type="fixed"/>
      </w:tblPr>
      <w:tcPr>
        <w:tcBorders>
          <w:top w:val="nil"/>
          <w:bottom w:val="nil"/>
          <w:insideH w:val="nil"/>
          <w:insideV w:val="nil"/>
        </w:tcBorders>
        <w:shd w:val="clear" w:color="auto" w:fill="FDE5D1" w:themeFill="accent6" w:themeFillTint="3F"/>
      </w:tcPr>
    </w:tblStylePr>
    <w:tblStylePr w:type="nwCell">
      <w:tblPr>
        <w:tblLayout w:type="fixed"/>
      </w:tblPr>
      <w:tcPr>
        <w:shd w:val="clear" w:color="auto" w:fill="FFFFFF" w:themeFill="background1"/>
      </w:tcPr>
    </w:tblStylePr>
    <w:tblStylePr w:type="swCell">
      <w:tblPr>
        <w:tblLayout w:type="fixed"/>
      </w:tblPr>
      <w:tcPr>
        <w:tcBorders>
          <w:top w:val="nil"/>
        </w:tcBorders>
      </w:tcPr>
    </w:tblStylePr>
  </w:style>
  <w:style w:type="table" w:styleId="87">
    <w:name w:val="Medium Grid 1"/>
    <w:basedOn w:val="3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Layout w:type="fixed"/>
    </w:tblPr>
    <w:tcPr>
      <w:shd w:val="clear" w:color="auto" w:fill="BFBFBF" w:themeFill="text1" w:themeFillTint="3F"/>
    </w:tcPr>
    <w:tblStylePr w:type="firstRow">
      <w:rPr>
        <w:b/>
        <w:bCs/>
      </w:rPr>
    </w:tblStylePr>
    <w:tblStylePr w:type="lastRow">
      <w:rPr>
        <w:b/>
        <w:bCs/>
      </w:rPr>
      <w:tblPr>
        <w:tblLayout w:type="fixed"/>
      </w:tblPr>
      <w:tcPr>
        <w:tcBorders>
          <w:top w:val="single" w:color="3F3F3F" w:themeColor="text1" w:themeTint="BF" w:sz="18" w:space="0"/>
        </w:tcBorders>
      </w:tcPr>
    </w:tblStylePr>
    <w:tblStylePr w:type="firstCol">
      <w:rPr>
        <w:b/>
        <w:bCs/>
      </w:rPr>
    </w:tblStylePr>
    <w:tblStylePr w:type="lastCol">
      <w:rPr>
        <w:b/>
        <w:bCs/>
      </w:r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88">
    <w:name w:val="Medium Grid 1 Accent 1"/>
    <w:basedOn w:val="36"/>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Layout w:type="fixed"/>
    </w:tblPr>
    <w:tcPr>
      <w:shd w:val="clear" w:color="auto" w:fill="D3DFEE" w:themeFill="accent1" w:themeFillTint="3F"/>
    </w:tcPr>
    <w:tblStylePr w:type="firstRow">
      <w:rPr>
        <w:b/>
        <w:bCs/>
      </w:rPr>
    </w:tblStylePr>
    <w:tblStylePr w:type="lastRow">
      <w:rPr>
        <w:b/>
        <w:bCs/>
      </w:rPr>
      <w:tblPr>
        <w:tblLayout w:type="fixed"/>
      </w:tblPr>
      <w:tcPr>
        <w:tcBorders>
          <w:top w:val="single" w:color="7BA0CD" w:themeColor="accent1" w:themeTint="BF" w:sz="18" w:space="0"/>
        </w:tcBorders>
      </w:tcPr>
    </w:tblStylePr>
    <w:tblStylePr w:type="firstCol">
      <w:rPr>
        <w:b/>
        <w:bCs/>
      </w:rPr>
    </w:tblStylePr>
    <w:tblStylePr w:type="lastCol">
      <w:rPr>
        <w:b/>
        <w:bCs/>
      </w:r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89">
    <w:name w:val="Medium Grid 1 Accent 2"/>
    <w:basedOn w:val="36"/>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Layout w:type="fixed"/>
    </w:tblPr>
    <w:tcPr>
      <w:shd w:val="clear" w:color="auto" w:fill="EFD3D3" w:themeFill="accent2" w:themeFillTint="3F"/>
    </w:tcPr>
    <w:tblStylePr w:type="firstRow">
      <w:rPr>
        <w:b/>
        <w:bCs/>
      </w:rPr>
    </w:tblStylePr>
    <w:tblStylePr w:type="lastRow">
      <w:rPr>
        <w:b/>
        <w:bCs/>
      </w:rPr>
      <w:tblPr>
        <w:tblLayout w:type="fixed"/>
      </w:tblPr>
      <w:tcPr>
        <w:tcBorders>
          <w:top w:val="single" w:color="CF7B79" w:themeColor="accent2" w:themeTint="BF" w:sz="18" w:space="0"/>
        </w:tcBorders>
      </w:tcPr>
    </w:tblStylePr>
    <w:tblStylePr w:type="firstCol">
      <w:rPr>
        <w:b/>
        <w:bCs/>
      </w:rPr>
    </w:tblStylePr>
    <w:tblStylePr w:type="lastCol">
      <w:rPr>
        <w:b/>
        <w:bCs/>
      </w:r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90">
    <w:name w:val="Medium Grid 1 Accent 3"/>
    <w:basedOn w:val="36"/>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Layout w:type="fixed"/>
    </w:tblPr>
    <w:tcPr>
      <w:shd w:val="clear" w:color="auto" w:fill="E6EED5" w:themeFill="accent3" w:themeFillTint="3F"/>
    </w:tcPr>
    <w:tblStylePr w:type="firstRow">
      <w:rPr>
        <w:b/>
        <w:bCs/>
      </w:rPr>
    </w:tblStylePr>
    <w:tblStylePr w:type="lastRow">
      <w:rPr>
        <w:b/>
        <w:bCs/>
      </w:rPr>
      <w:tblPr>
        <w:tblLayout w:type="fixed"/>
      </w:tblPr>
      <w:tcPr>
        <w:tcBorders>
          <w:top w:val="single" w:color="B4CC82" w:themeColor="accent3" w:themeTint="BF" w:sz="18" w:space="0"/>
        </w:tcBorders>
      </w:tcPr>
    </w:tblStylePr>
    <w:tblStylePr w:type="firstCol">
      <w:rPr>
        <w:b/>
        <w:bCs/>
      </w:rPr>
    </w:tblStylePr>
    <w:tblStylePr w:type="lastCol">
      <w:rPr>
        <w:b/>
        <w:bCs/>
      </w:r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91">
    <w:name w:val="Medium Grid 1 Accent 4"/>
    <w:basedOn w:val="36"/>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Layout w:type="fixed"/>
    </w:tblPr>
    <w:tcPr>
      <w:shd w:val="clear" w:color="auto" w:fill="DFD8E8" w:themeFill="accent4" w:themeFillTint="3F"/>
    </w:tcPr>
    <w:tblStylePr w:type="firstRow">
      <w:rPr>
        <w:b/>
        <w:bCs/>
      </w:rPr>
    </w:tblStylePr>
    <w:tblStylePr w:type="lastRow">
      <w:rPr>
        <w:b/>
        <w:bCs/>
      </w:rPr>
      <w:tblPr>
        <w:tblLayout w:type="fixed"/>
      </w:tblPr>
      <w:tcPr>
        <w:tcBorders>
          <w:top w:val="single" w:color="9F8AB9" w:themeColor="accent4" w:themeTint="BF" w:sz="18" w:space="0"/>
        </w:tcBorders>
      </w:tcPr>
    </w:tblStylePr>
    <w:tblStylePr w:type="firstCol">
      <w:rPr>
        <w:b/>
        <w:bCs/>
      </w:rPr>
    </w:tblStylePr>
    <w:tblStylePr w:type="lastCol">
      <w:rPr>
        <w:b/>
        <w:bCs/>
      </w:r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92">
    <w:name w:val="Medium Grid 1 Accent 5"/>
    <w:basedOn w:val="36"/>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Layout w:type="fixed"/>
    </w:tblPr>
    <w:tcPr>
      <w:shd w:val="clear" w:color="auto" w:fill="D2EAF0" w:themeFill="accent5" w:themeFillTint="3F"/>
    </w:tcPr>
    <w:tblStylePr w:type="firstRow">
      <w:rPr>
        <w:b/>
        <w:bCs/>
      </w:rPr>
    </w:tblStylePr>
    <w:tblStylePr w:type="lastRow">
      <w:rPr>
        <w:b/>
        <w:bCs/>
      </w:rPr>
      <w:tblPr>
        <w:tblLayout w:type="fixed"/>
      </w:tblPr>
      <w:tcPr>
        <w:tcBorders>
          <w:top w:val="single" w:color="78C0D4" w:themeColor="accent5" w:themeTint="BF" w:sz="18" w:space="0"/>
        </w:tcBorders>
      </w:tcPr>
    </w:tblStylePr>
    <w:tblStylePr w:type="firstCol">
      <w:rPr>
        <w:b/>
        <w:bCs/>
      </w:rPr>
    </w:tblStylePr>
    <w:tblStylePr w:type="lastCol">
      <w:rPr>
        <w:b/>
        <w:bCs/>
      </w:r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93">
    <w:name w:val="Medium Grid 1 Accent 6"/>
    <w:basedOn w:val="36"/>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Layout w:type="fixed"/>
    </w:tblPr>
    <w:tcPr>
      <w:shd w:val="clear" w:color="auto" w:fill="FDE5D1" w:themeFill="accent6" w:themeFillTint="3F"/>
    </w:tcPr>
    <w:tblStylePr w:type="firstRow">
      <w:rPr>
        <w:b/>
        <w:bCs/>
      </w:rPr>
    </w:tblStylePr>
    <w:tblStylePr w:type="lastRow">
      <w:rPr>
        <w:b/>
        <w:bCs/>
      </w:rPr>
      <w:tblPr>
        <w:tblLayout w:type="fixed"/>
      </w:tblPr>
      <w:tcPr>
        <w:tcBorders>
          <w:top w:val="single" w:color="F9B074" w:themeColor="accent6" w:themeTint="BF" w:sz="18" w:space="0"/>
        </w:tcBorders>
      </w:tcPr>
    </w:tblStylePr>
    <w:tblStylePr w:type="firstCol">
      <w:rPr>
        <w:b/>
        <w:bCs/>
      </w:rPr>
    </w:tblStylePr>
    <w:tblStylePr w:type="lastCol">
      <w:rPr>
        <w:b/>
        <w:bCs/>
      </w:r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table" w:styleId="94">
    <w:name w:val="Medium Grid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Pr>
    <w:tcPr>
      <w:shd w:val="clear" w:color="auto" w:fill="BFBFBF" w:themeFill="text1" w:themeFillTint="3F"/>
    </w:tcPr>
    <w:tblStylePr w:type="firstRow">
      <w:rPr>
        <w:b/>
        <w:bCs/>
        <w:color w:val="000000" w:themeColor="text1"/>
        <w14:textFill>
          <w14:solidFill>
            <w14:schemeClr w14:val="tx1"/>
          </w14:solidFill>
        </w14:textFill>
      </w:rPr>
      <w:tblPr>
        <w:tblLayout w:type="fixed"/>
      </w:tblPr>
      <w:tcPr>
        <w:shd w:val="clear" w:color="auto" w:fill="E5E5E5" w:themeFill="tex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CCCCCC" w:themeFill="text1" w:themeFillTint="33"/>
      </w:tcPr>
    </w:tblStylePr>
    <w:tblStylePr w:type="band1Vert">
      <w:tblPr>
        <w:tblLayout w:type="fixed"/>
      </w:tblPr>
      <w:tcPr>
        <w:shd w:val="clear" w:color="auto" w:fill="7F7F7F" w:themeFill="text1" w:themeFillTint="7F"/>
      </w:tcPr>
    </w:tblStylePr>
    <w:tblStylePr w:type="band1Horz">
      <w:tblPr>
        <w:tblLayout w:type="fixed"/>
      </w:tblPr>
      <w:tcPr>
        <w:tcBorders>
          <w:insideH w:val="single" w:sz="6" w:space="0"/>
          <w:insideV w:val="single" w:sz="6" w:space="0"/>
        </w:tcBorders>
        <w:shd w:val="clear" w:color="auto" w:fill="7F7F7F" w:themeFill="text1" w:themeFillTint="7F"/>
      </w:tcPr>
    </w:tblStylePr>
    <w:tblStylePr w:type="nwCell">
      <w:tblPr>
        <w:tblLayout w:type="fixed"/>
      </w:tblPr>
      <w:tcPr>
        <w:shd w:val="clear" w:color="auto" w:fill="FFFFFF" w:themeFill="background1"/>
      </w:tcPr>
    </w:tblStylePr>
  </w:style>
  <w:style w:type="table" w:styleId="95">
    <w:name w:val="Medium Grid 2 Accent 1"/>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Pr>
    <w:tcPr>
      <w:shd w:val="clear" w:color="auto" w:fill="D3DFEE" w:themeFill="accent1" w:themeFillTint="3F"/>
    </w:tcPr>
    <w:tblStylePr w:type="firstRow">
      <w:rPr>
        <w:b/>
        <w:bCs/>
        <w:color w:val="000000" w:themeColor="text1"/>
        <w14:textFill>
          <w14:solidFill>
            <w14:schemeClr w14:val="tx1"/>
          </w14:solidFill>
        </w14:textFill>
      </w:rPr>
      <w:tblPr>
        <w:tblLayout w:type="fixed"/>
      </w:tblPr>
      <w:tcPr>
        <w:shd w:val="clear" w:color="auto" w:fill="EDF2F8" w:themeFill="accent1"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BE5F1" w:themeFill="accent1" w:themeFillTint="33"/>
      </w:tcPr>
    </w:tblStylePr>
    <w:tblStylePr w:type="band1Vert">
      <w:tblPr>
        <w:tblLayout w:type="fixed"/>
      </w:tblPr>
      <w:tcPr>
        <w:shd w:val="clear" w:color="auto" w:fill="A7C0DE" w:themeFill="accent1" w:themeFillTint="7F"/>
      </w:tcPr>
    </w:tblStylePr>
    <w:tblStylePr w:type="band1Horz">
      <w:tblPr>
        <w:tblLayout w:type="fixed"/>
      </w:tblPr>
      <w:tcPr>
        <w:tcBorders>
          <w:insideH w:val="single" w:sz="6" w:space="0"/>
          <w:insideV w:val="single" w:sz="6" w:space="0"/>
        </w:tcBorders>
        <w:shd w:val="clear" w:color="auto" w:fill="A7C0DE" w:themeFill="accent1" w:themeFillTint="7F"/>
      </w:tcPr>
    </w:tblStylePr>
    <w:tblStylePr w:type="nwCell">
      <w:tblPr>
        <w:tblLayout w:type="fixed"/>
      </w:tblPr>
      <w:tcPr>
        <w:shd w:val="clear" w:color="auto" w:fill="FFFFFF" w:themeFill="background1"/>
      </w:tcPr>
    </w:tblStylePr>
  </w:style>
  <w:style w:type="table" w:styleId="96">
    <w:name w:val="Medium Grid 2 Accent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Pr>
    <w:tcPr>
      <w:shd w:val="clear" w:color="auto" w:fill="EFD3D3" w:themeFill="accent2" w:themeFillTint="3F"/>
    </w:tcPr>
    <w:tblStylePr w:type="firstRow">
      <w:rPr>
        <w:b/>
        <w:bCs/>
        <w:color w:val="000000" w:themeColor="text1"/>
        <w14:textFill>
          <w14:solidFill>
            <w14:schemeClr w14:val="tx1"/>
          </w14:solidFill>
        </w14:textFill>
      </w:rPr>
      <w:tblPr>
        <w:tblLayout w:type="fixed"/>
      </w:tblPr>
      <w:tcPr>
        <w:shd w:val="clear" w:color="auto" w:fill="F8EDED" w:themeFill="accent2"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2DBDB" w:themeFill="accent2" w:themeFillTint="33"/>
      </w:tcPr>
    </w:tblStylePr>
    <w:tblStylePr w:type="band1Vert">
      <w:tblPr>
        <w:tblLayout w:type="fixed"/>
      </w:tblPr>
      <w:tcPr>
        <w:shd w:val="clear" w:color="auto" w:fill="DFA7A6" w:themeFill="accent2" w:themeFillTint="7F"/>
      </w:tcPr>
    </w:tblStylePr>
    <w:tblStylePr w:type="band1Horz">
      <w:tblPr>
        <w:tblLayout w:type="fixed"/>
      </w:tblPr>
      <w:tcPr>
        <w:tcBorders>
          <w:insideH w:val="single" w:sz="6" w:space="0"/>
          <w:insideV w:val="single" w:sz="6" w:space="0"/>
        </w:tcBorders>
        <w:shd w:val="clear" w:color="auto" w:fill="DFA7A6" w:themeFill="accent2" w:themeFillTint="7F"/>
      </w:tcPr>
    </w:tblStylePr>
    <w:tblStylePr w:type="nwCell">
      <w:tblPr>
        <w:tblLayout w:type="fixed"/>
      </w:tblPr>
      <w:tcPr>
        <w:shd w:val="clear" w:color="auto" w:fill="FFFFFF" w:themeFill="background1"/>
      </w:tcPr>
    </w:tblStylePr>
  </w:style>
  <w:style w:type="table" w:styleId="97">
    <w:name w:val="Medium Grid 2 Accent 3"/>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Layout w:type="fixed"/>
    </w:tblPr>
    <w:tcPr>
      <w:shd w:val="clear" w:color="auto" w:fill="E6EED5" w:themeFill="accent3" w:themeFillTint="3F"/>
    </w:tcPr>
    <w:tblStylePr w:type="firstRow">
      <w:rPr>
        <w:b/>
        <w:bCs/>
        <w:color w:val="000000" w:themeColor="text1"/>
        <w14:textFill>
          <w14:solidFill>
            <w14:schemeClr w14:val="tx1"/>
          </w14:solidFill>
        </w14:textFill>
      </w:rPr>
      <w:tblPr>
        <w:tblLayout w:type="fixed"/>
      </w:tblPr>
      <w:tcPr>
        <w:shd w:val="clear" w:color="auto" w:fill="F5F8EE" w:themeFill="accent3"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AF1DD" w:themeFill="accent3" w:themeFillTint="33"/>
      </w:tcPr>
    </w:tblStylePr>
    <w:tblStylePr w:type="band1Vert">
      <w:tblPr>
        <w:tblLayout w:type="fixed"/>
      </w:tblPr>
      <w:tcPr>
        <w:shd w:val="clear" w:color="auto" w:fill="CDDDAC" w:themeFill="accent3" w:themeFillTint="7F"/>
      </w:tcPr>
    </w:tblStylePr>
    <w:tblStylePr w:type="band1Horz">
      <w:tblPr>
        <w:tblLayout w:type="fixed"/>
      </w:tblPr>
      <w:tcPr>
        <w:tcBorders>
          <w:insideH w:val="single" w:sz="6" w:space="0"/>
          <w:insideV w:val="single" w:sz="6" w:space="0"/>
        </w:tcBorders>
        <w:shd w:val="clear" w:color="auto" w:fill="CDDDAC" w:themeFill="accent3" w:themeFillTint="7F"/>
      </w:tcPr>
    </w:tblStylePr>
    <w:tblStylePr w:type="nwCell">
      <w:tblPr>
        <w:tblLayout w:type="fixed"/>
      </w:tblPr>
      <w:tcPr>
        <w:shd w:val="clear" w:color="auto" w:fill="FFFFFF" w:themeFill="background1"/>
      </w:tcPr>
    </w:tblStylePr>
  </w:style>
  <w:style w:type="table" w:styleId="98">
    <w:name w:val="Medium Grid 2 Accent 4"/>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Layout w:type="fixed"/>
    </w:tblPr>
    <w:tcPr>
      <w:shd w:val="clear" w:color="auto" w:fill="DFD8E8" w:themeFill="accent4" w:themeFillTint="3F"/>
    </w:tcPr>
    <w:tblStylePr w:type="firstRow">
      <w:rPr>
        <w:b/>
        <w:bCs/>
        <w:color w:val="000000" w:themeColor="text1"/>
        <w14:textFill>
          <w14:solidFill>
            <w14:schemeClr w14:val="tx1"/>
          </w14:solidFill>
        </w14:textFill>
      </w:rPr>
      <w:tblPr>
        <w:tblLayout w:type="fixed"/>
      </w:tblPr>
      <w:tcPr>
        <w:shd w:val="clear" w:color="auto" w:fill="F2EFF5" w:themeFill="accent4"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E5DFEC" w:themeFill="accent4" w:themeFillTint="33"/>
      </w:tcPr>
    </w:tblStylePr>
    <w:tblStylePr w:type="band1Vert">
      <w:tblPr>
        <w:tblLayout w:type="fixed"/>
      </w:tblPr>
      <w:tcPr>
        <w:shd w:val="clear" w:color="auto" w:fill="BFB1D0" w:themeFill="accent4" w:themeFillTint="7F"/>
      </w:tcPr>
    </w:tblStylePr>
    <w:tblStylePr w:type="band1Horz">
      <w:tblPr>
        <w:tblLayout w:type="fixed"/>
      </w:tblPr>
      <w:tcPr>
        <w:tcBorders>
          <w:insideH w:val="single" w:sz="6" w:space="0"/>
          <w:insideV w:val="single" w:sz="6" w:space="0"/>
        </w:tcBorders>
        <w:shd w:val="clear" w:color="auto" w:fill="BFB1D0" w:themeFill="accent4" w:themeFillTint="7F"/>
      </w:tcPr>
    </w:tblStylePr>
    <w:tblStylePr w:type="nwCell">
      <w:tblPr>
        <w:tblLayout w:type="fixed"/>
      </w:tblPr>
      <w:tcPr>
        <w:shd w:val="clear" w:color="auto" w:fill="FFFFFF" w:themeFill="background1"/>
      </w:tcPr>
    </w:tblStylePr>
  </w:style>
  <w:style w:type="table" w:styleId="99">
    <w:name w:val="Medium Grid 2 Accent 5"/>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Pr>
    <w:tcPr>
      <w:shd w:val="clear" w:color="auto" w:fill="D2EAF0" w:themeFill="accent5" w:themeFillTint="3F"/>
    </w:tcPr>
    <w:tblStylePr w:type="firstRow">
      <w:rPr>
        <w:b/>
        <w:bCs/>
        <w:color w:val="000000" w:themeColor="text1"/>
        <w14:textFill>
          <w14:solidFill>
            <w14:schemeClr w14:val="tx1"/>
          </w14:solidFill>
        </w14:textFill>
      </w:rPr>
      <w:tblPr>
        <w:tblLayout w:type="fixed"/>
      </w:tblPr>
      <w:tcPr>
        <w:shd w:val="clear" w:color="auto" w:fill="EDF6F9" w:themeFill="accent5"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DAEEF3" w:themeFill="accent5" w:themeFillTint="33"/>
      </w:tcPr>
    </w:tblStylePr>
    <w:tblStylePr w:type="band1Vert">
      <w:tblPr>
        <w:tblLayout w:type="fixed"/>
      </w:tblPr>
      <w:tcPr>
        <w:shd w:val="clear" w:color="auto" w:fill="A5D5E2" w:themeFill="accent5" w:themeFillTint="7F"/>
      </w:tcPr>
    </w:tblStylePr>
    <w:tblStylePr w:type="band1Horz">
      <w:tblPr>
        <w:tblLayout w:type="fixed"/>
      </w:tblPr>
      <w:tcPr>
        <w:tcBorders>
          <w:insideH w:val="single" w:sz="6" w:space="0"/>
          <w:insideV w:val="single" w:sz="6" w:space="0"/>
        </w:tcBorders>
        <w:shd w:val="clear" w:color="auto" w:fill="A5D5E2" w:themeFill="accent5" w:themeFillTint="7F"/>
      </w:tcPr>
    </w:tblStylePr>
    <w:tblStylePr w:type="nwCell">
      <w:tblPr>
        <w:tblLayout w:type="fixed"/>
      </w:tblPr>
      <w:tcPr>
        <w:shd w:val="clear" w:color="auto" w:fill="FFFFFF" w:themeFill="background1"/>
      </w:tcPr>
    </w:tblStylePr>
  </w:style>
  <w:style w:type="table" w:styleId="100">
    <w:name w:val="Medium Grid 2 Accent 6"/>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Layout w:type="fixed"/>
    </w:tblPr>
    <w:tcPr>
      <w:shd w:val="clear" w:color="auto" w:fill="FDE5D1" w:themeFill="accent6" w:themeFillTint="3F"/>
    </w:tcPr>
    <w:tblStylePr w:type="firstRow">
      <w:rPr>
        <w:b/>
        <w:bCs/>
        <w:color w:val="000000" w:themeColor="text1"/>
        <w14:textFill>
          <w14:solidFill>
            <w14:schemeClr w14:val="tx1"/>
          </w14:solidFill>
        </w14:textFill>
      </w:rPr>
      <w:tblPr>
        <w:tblLayout w:type="fixed"/>
      </w:tblPr>
      <w:tcPr>
        <w:shd w:val="clear" w:color="auto" w:fill="FEF4EC" w:themeFill="accent6" w:themeFillTint="19"/>
      </w:tcPr>
    </w:tblStylePr>
    <w:tblStylePr w:type="lastRow">
      <w:rPr>
        <w:b/>
        <w:bCs/>
        <w:color w:val="000000" w:themeColor="text1"/>
        <w14:textFill>
          <w14:solidFill>
            <w14:schemeClr w14:val="tx1"/>
          </w14:solidFill>
        </w14:textFill>
      </w:rPr>
      <w:tblPr>
        <w:tblLayout w:type="fixed"/>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blLayout w:type="fixed"/>
      </w:tblPr>
      <w:tcPr>
        <w:tcBorders>
          <w:top w:val="nil"/>
          <w:left w:val="nil"/>
          <w:bottom w:val="nil"/>
          <w:right w:val="nil"/>
          <w:insideH w:val="nil"/>
          <w:insideV w:val="nil"/>
        </w:tcBorders>
        <w:shd w:val="clear" w:color="auto" w:fill="FDE9D9" w:themeFill="accent6" w:themeFillTint="33"/>
      </w:tcPr>
    </w:tblStylePr>
    <w:tblStylePr w:type="band1Vert">
      <w:tblPr>
        <w:tblLayout w:type="fixed"/>
      </w:tblPr>
      <w:tcPr>
        <w:shd w:val="clear" w:color="auto" w:fill="FBCAA2" w:themeFill="accent6" w:themeFillTint="7F"/>
      </w:tcPr>
    </w:tblStylePr>
    <w:tblStylePr w:type="band1Horz">
      <w:tblPr>
        <w:tblLayout w:type="fixed"/>
      </w:tblPr>
      <w:tcPr>
        <w:tcBorders>
          <w:insideH w:val="single" w:sz="6" w:space="0"/>
          <w:insideV w:val="single" w:sz="6" w:space="0"/>
        </w:tcBorders>
        <w:shd w:val="clear" w:color="auto" w:fill="FBCAA2" w:themeFill="accent6" w:themeFillTint="7F"/>
      </w:tcPr>
    </w:tblStylePr>
    <w:tblStylePr w:type="nwCell">
      <w:tblPr>
        <w:tblLayout w:type="fixed"/>
      </w:tblPr>
      <w:tcPr>
        <w:shd w:val="clear" w:color="auto" w:fill="FFFFFF" w:themeFill="background1"/>
      </w:tcPr>
    </w:tblStylePr>
  </w:style>
  <w:style w:type="table" w:styleId="101">
    <w:name w:val="Medium Grid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BFBFBF" w:themeFill="tex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blLayout w:type="fixed"/>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blLayout w:type="fixed"/>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rPr>
      <w:color w:val="FFFFFF" w:themeColor="background1"/>
      <w14:textFill>
        <w14:solidFill>
          <w14:schemeClr w14:val="bg1"/>
        </w14:solidFill>
      </w14:textFill>
    </w:rPr>
    <w:tblPr>
      <w:tblLayout w:type="fixed"/>
    </w:tblPr>
    <w:tcPr>
      <w:shd w:val="clear" w:color="auto" w:fill="000000" w:themeFill="tex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blLayout w:type="fixed"/>
      </w:tblPr>
      <w:tcPr>
        <w:tcBorders>
          <w:top w:val="nil"/>
          <w:left w:val="nil"/>
          <w:bottom w:val="nil"/>
          <w:right w:val="nil"/>
          <w:insideH w:val="nil"/>
          <w:insideV w:val="nil"/>
        </w:tcBorders>
        <w:shd w:val="clear" w:color="auto" w:fill="000000" w:themeFill="text1" w:themeFillShade="BF"/>
      </w:tcPr>
    </w:tblStylePr>
    <w:tblStylePr w:type="band1Horz">
      <w:tblPr>
        <w:tblLayout w:type="fixed"/>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rPr>
      <w:color w:val="FFFFFF" w:themeColor="background1"/>
      <w14:textFill>
        <w14:solidFill>
          <w14:schemeClr w14:val="bg1"/>
        </w14:solidFill>
      </w14:textFill>
    </w:rPr>
    <w:tblPr>
      <w:tblLayout w:type="fixed"/>
    </w:tblPr>
    <w:tcPr>
      <w:shd w:val="clear" w:color="auto" w:fill="4F81BD" w:themeFill="accent1"/>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blLayout w:type="fixed"/>
      </w:tblPr>
      <w:tcPr>
        <w:tcBorders>
          <w:top w:val="nil"/>
          <w:left w:val="nil"/>
          <w:bottom w:val="nil"/>
          <w:right w:val="nil"/>
          <w:insideH w:val="nil"/>
          <w:insideV w:val="nil"/>
        </w:tcBorders>
        <w:shd w:val="clear" w:color="auto" w:fill="366091" w:themeFill="accent1" w:themeFillShade="BF"/>
      </w:tcPr>
    </w:tblStylePr>
    <w:tblStylePr w:type="band1Horz">
      <w:tblPr>
        <w:tblLayout w:type="fixed"/>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rPr>
      <w:color w:val="FFFFFF" w:themeColor="background1"/>
      <w14:textFill>
        <w14:solidFill>
          <w14:schemeClr w14:val="bg1"/>
        </w14:solidFill>
      </w14:textFill>
    </w:rPr>
    <w:tblPr>
      <w:tblLayout w:type="fixed"/>
    </w:tblPr>
    <w:tcPr>
      <w:shd w:val="clear" w:color="auto" w:fill="C0504D" w:themeFill="accent2"/>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blLayout w:type="fixed"/>
      </w:tblPr>
      <w:tcPr>
        <w:tcBorders>
          <w:top w:val="nil"/>
          <w:left w:val="nil"/>
          <w:bottom w:val="nil"/>
          <w:right w:val="nil"/>
          <w:insideH w:val="nil"/>
          <w:insideV w:val="nil"/>
        </w:tcBorders>
        <w:shd w:val="clear" w:color="auto" w:fill="943734" w:themeFill="accent2" w:themeFillShade="BF"/>
      </w:tcPr>
    </w:tblStylePr>
    <w:tblStylePr w:type="band1Horz">
      <w:tblPr>
        <w:tblLayout w:type="fixed"/>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rPr>
      <w:color w:val="FFFFFF" w:themeColor="background1"/>
      <w14:textFill>
        <w14:solidFill>
          <w14:schemeClr w14:val="bg1"/>
        </w14:solidFill>
      </w14:textFill>
    </w:rPr>
    <w:tblPr>
      <w:tblLayout w:type="fixed"/>
    </w:tblPr>
    <w:tcPr>
      <w:shd w:val="clear" w:color="auto" w:fill="9BBB59" w:themeFill="accent3"/>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blLayout w:type="fixed"/>
      </w:tblPr>
      <w:tcPr>
        <w:tcBorders>
          <w:top w:val="nil"/>
          <w:left w:val="nil"/>
          <w:bottom w:val="nil"/>
          <w:right w:val="nil"/>
          <w:insideH w:val="nil"/>
          <w:insideV w:val="nil"/>
        </w:tcBorders>
        <w:shd w:val="clear" w:color="auto" w:fill="76923C" w:themeFill="accent3" w:themeFillShade="BF"/>
      </w:tcPr>
    </w:tblStylePr>
    <w:tblStylePr w:type="band1Horz">
      <w:tblPr>
        <w:tblLayout w:type="fixed"/>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rPr>
      <w:color w:val="FFFFFF" w:themeColor="background1"/>
      <w14:textFill>
        <w14:solidFill>
          <w14:schemeClr w14:val="bg1"/>
        </w14:solidFill>
      </w14:textFill>
    </w:rPr>
    <w:tblPr>
      <w:tblLayout w:type="fixed"/>
    </w:tblPr>
    <w:tcPr>
      <w:shd w:val="clear" w:color="auto" w:fill="8064A2" w:themeFill="accent4"/>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blLayout w:type="fixed"/>
      </w:tblPr>
      <w:tcPr>
        <w:tcBorders>
          <w:top w:val="nil"/>
          <w:left w:val="nil"/>
          <w:bottom w:val="nil"/>
          <w:right w:val="nil"/>
          <w:insideH w:val="nil"/>
          <w:insideV w:val="nil"/>
        </w:tcBorders>
        <w:shd w:val="clear" w:color="auto" w:fill="5F497A" w:themeFill="accent4" w:themeFillShade="BF"/>
      </w:tcPr>
    </w:tblStylePr>
    <w:tblStylePr w:type="band1Horz">
      <w:tblPr>
        <w:tblLayout w:type="fixed"/>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rPr>
      <w:color w:val="FFFFFF" w:themeColor="background1"/>
      <w14:textFill>
        <w14:solidFill>
          <w14:schemeClr w14:val="bg1"/>
        </w14:solidFill>
      </w14:textFill>
    </w:rPr>
    <w:tblPr>
      <w:tblLayout w:type="fixed"/>
    </w:tblPr>
    <w:tcPr>
      <w:shd w:val="clear" w:color="auto" w:fill="4BACC6" w:themeFill="accent5"/>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blLayout w:type="fixed"/>
      </w:tblPr>
      <w:tcPr>
        <w:tcBorders>
          <w:top w:val="nil"/>
          <w:left w:val="nil"/>
          <w:bottom w:val="nil"/>
          <w:right w:val="nil"/>
          <w:insideH w:val="nil"/>
          <w:insideV w:val="nil"/>
        </w:tcBorders>
        <w:shd w:val="clear" w:color="auto" w:fill="31849B" w:themeFill="accent5" w:themeFillShade="BF"/>
      </w:tcPr>
    </w:tblStylePr>
    <w:tblStylePr w:type="band1Horz">
      <w:tblPr>
        <w:tblLayout w:type="fixed"/>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rPr>
      <w:color w:val="FFFFFF" w:themeColor="background1"/>
      <w14:textFill>
        <w14:solidFill>
          <w14:schemeClr w14:val="bg1"/>
        </w14:solidFill>
      </w14:textFill>
    </w:rPr>
    <w:tblPr>
      <w:tblLayout w:type="fixed"/>
    </w:tblPr>
    <w:tcPr>
      <w:shd w:val="clear" w:color="auto" w:fill="F79646" w:themeFill="accent6"/>
    </w:tcPr>
    <w:tblStylePr w:type="firstRow">
      <w:rPr>
        <w:b/>
        <w:bCs/>
      </w:rPr>
      <w:tblPr>
        <w:tblLayout w:type="fixed"/>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blLayout w:type="fixed"/>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blLayout w:type="fixed"/>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blLayout w:type="fixed"/>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blLayout w:type="fixed"/>
      </w:tblPr>
      <w:tcPr>
        <w:tcBorders>
          <w:top w:val="nil"/>
          <w:left w:val="nil"/>
          <w:bottom w:val="nil"/>
          <w:right w:val="nil"/>
          <w:insideH w:val="nil"/>
          <w:insideV w:val="nil"/>
        </w:tcBorders>
        <w:shd w:val="clear" w:color="auto" w:fill="E36C09" w:themeFill="accent6" w:themeFillShade="BF"/>
      </w:tcPr>
    </w:tblStylePr>
    <w:tblStylePr w:type="band1Horz">
      <w:tblPr>
        <w:tblLayout w:type="fixed"/>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Layout w:type="fixed"/>
    </w:tblPr>
    <w:tcPr>
      <w:shd w:val="clear" w:color="auto" w:fill="E5E5E5" w:themeFill="tex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000000" w:themeFill="text1" w:themeFillShade="BF"/>
      </w:tcPr>
    </w:tblStylePr>
    <w:tblStylePr w:type="band1Vert">
      <w:tblPr>
        <w:tblLayout w:type="fixed"/>
      </w:tblPr>
      <w:tcPr>
        <w:shd w:val="clear" w:color="auto" w:fill="999999" w:themeFill="text1" w:themeFillTint="66"/>
      </w:tcPr>
    </w:tblStylePr>
    <w:tblStylePr w:type="band1Horz">
      <w:tblPr>
        <w:tblLayout w:type="fixed"/>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Layout w:type="fixed"/>
    </w:tblPr>
    <w:tcPr>
      <w:shd w:val="clear" w:color="auto" w:fill="EDF2F8" w:themeFill="accent1"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B4D74" w:themeFill="accent1" w:themeFillShade="99"/>
      </w:tcPr>
    </w:tblStylePr>
    <w:tblStylePr w:type="band1Vert">
      <w:tblPr>
        <w:tblLayout w:type="fixed"/>
      </w:tblPr>
      <w:tcPr>
        <w:shd w:val="clear" w:color="auto" w:fill="B8CCE4" w:themeFill="accent1" w:themeFillTint="66"/>
      </w:tcPr>
    </w:tblStylePr>
    <w:tblStylePr w:type="band1Horz">
      <w:tblPr>
        <w:tblLayout w:type="fixed"/>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Layout w:type="fixed"/>
    </w:tblPr>
    <w:tcPr>
      <w:shd w:val="clear" w:color="auto" w:fill="F8EDED" w:themeFill="accent2" w:themeFillTint="19"/>
    </w:tcPr>
    <w:tblStylePr w:type="firstRow">
      <w:rPr>
        <w:b/>
        <w:bCs/>
      </w:rPr>
      <w:tblPr>
        <w:tblLayout w:type="fixed"/>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772C2A" w:themeFill="accent2" w:themeFillShade="99"/>
      </w:tcPr>
    </w:tblStylePr>
    <w:tblStylePr w:type="band1Vert">
      <w:tblPr>
        <w:tblLayout w:type="fixed"/>
      </w:tblPr>
      <w:tcPr>
        <w:shd w:val="clear" w:color="auto" w:fill="E5B8B7" w:themeFill="accent2" w:themeFillTint="66"/>
      </w:tcPr>
    </w:tblStylePr>
    <w:tblStylePr w:type="band1Horz">
      <w:tblPr>
        <w:tblLayout w:type="fixed"/>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Layout w:type="fixed"/>
    </w:tblPr>
    <w:tcPr>
      <w:shd w:val="clear" w:color="auto" w:fill="F5F8EE" w:themeFill="accent3" w:themeFillTint="19"/>
    </w:tcPr>
    <w:tblStylePr w:type="firstRow">
      <w:rPr>
        <w:b/>
        <w:bCs/>
      </w:rPr>
      <w:tblPr>
        <w:tblLayout w:type="fixed"/>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5E7530" w:themeFill="accent3" w:themeFillShade="99"/>
      </w:tcPr>
    </w:tblStylePr>
    <w:tblStylePr w:type="band1Vert">
      <w:tblPr>
        <w:tblLayout w:type="fixed"/>
      </w:tblPr>
      <w:tcPr>
        <w:shd w:val="clear" w:color="auto" w:fill="D6E3BC" w:themeFill="accent3" w:themeFillTint="66"/>
      </w:tcPr>
    </w:tblStylePr>
    <w:tblStylePr w:type="band1Horz">
      <w:tblPr>
        <w:tblLayout w:type="fixed"/>
      </w:tblPr>
      <w:tcPr>
        <w:shd w:val="clear" w:color="auto" w:fill="CDDDAC" w:themeFill="accent3" w:themeFillTint="7F"/>
      </w:tcPr>
    </w:tblStylePr>
  </w:style>
  <w:style w:type="table" w:styleId="119">
    <w:name w:val="Colorful Shading Accent 4"/>
    <w:basedOn w:val="36"/>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Layout w:type="fixed"/>
    </w:tblPr>
    <w:tcPr>
      <w:shd w:val="clear" w:color="auto" w:fill="F2EFF5" w:themeFill="accent4" w:themeFillTint="19"/>
    </w:tcPr>
    <w:tblStylePr w:type="firstRow">
      <w:rPr>
        <w:b/>
        <w:bCs/>
      </w:rPr>
      <w:tblPr>
        <w:tblLayout w:type="fixed"/>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4C3A62" w:themeFill="accent4" w:themeFillShade="99"/>
      </w:tcPr>
    </w:tblStylePr>
    <w:tblStylePr w:type="band1Vert">
      <w:tblPr>
        <w:tblLayout w:type="fixed"/>
      </w:tblPr>
      <w:tcPr>
        <w:shd w:val="clear" w:color="auto" w:fill="CCC0D9" w:themeFill="accent4" w:themeFillTint="66"/>
      </w:tcPr>
    </w:tblStylePr>
    <w:tblStylePr w:type="band1Horz">
      <w:tblPr>
        <w:tblLayout w:type="fixed"/>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Layout w:type="fixed"/>
    </w:tblPr>
    <w:tcPr>
      <w:shd w:val="clear" w:color="auto" w:fill="EDF6F9" w:themeFill="accent5" w:themeFillTint="19"/>
    </w:tcPr>
    <w:tblStylePr w:type="firstRow">
      <w:rPr>
        <w:b/>
        <w:bCs/>
      </w:rPr>
      <w:tblPr>
        <w:tblLayout w:type="fixed"/>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276A7C" w:themeFill="accent5" w:themeFillShade="99"/>
      </w:tcPr>
    </w:tblStylePr>
    <w:tblStylePr w:type="band1Vert">
      <w:tblPr>
        <w:tblLayout w:type="fixed"/>
      </w:tblPr>
      <w:tcPr>
        <w:shd w:val="clear" w:color="auto" w:fill="B6DDE8" w:themeFill="accent5" w:themeFillTint="66"/>
      </w:tcPr>
    </w:tblStylePr>
    <w:tblStylePr w:type="band1Horz">
      <w:tblPr>
        <w:tblLayout w:type="fixed"/>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Layout w:type="fixed"/>
    </w:tblPr>
    <w:tcPr>
      <w:shd w:val="clear" w:color="auto" w:fill="FEF4EC" w:themeFill="accent6" w:themeFillTint="19"/>
    </w:tcPr>
    <w:tblStylePr w:type="firstRow">
      <w:rPr>
        <w:b/>
        <w:bCs/>
      </w:rPr>
      <w:tblPr>
        <w:tblLayout w:type="fixed"/>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blLayout w:type="fixed"/>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blLayout w:type="fixed"/>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blLayout w:type="fixed"/>
      </w:tblPr>
      <w:tcPr>
        <w:tcBorders>
          <w:top w:val="nil"/>
          <w:left w:val="nil"/>
          <w:bottom w:val="nil"/>
          <w:right w:val="nil"/>
          <w:insideH w:val="nil"/>
          <w:insideV w:val="nil"/>
        </w:tcBorders>
        <w:shd w:val="clear" w:color="auto" w:fill="B65607" w:themeFill="accent6" w:themeFillShade="99"/>
      </w:tcPr>
    </w:tblStylePr>
    <w:tblStylePr w:type="band1Vert">
      <w:tblPr>
        <w:tblLayout w:type="fixed"/>
      </w:tblPr>
      <w:tcPr>
        <w:shd w:val="clear" w:color="auto" w:fill="FBD4B4" w:themeFill="accent6" w:themeFillTint="66"/>
      </w:tcPr>
    </w:tblStylePr>
    <w:tblStylePr w:type="band1Horz">
      <w:tblPr>
        <w:tblLayout w:type="fixed"/>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rPr>
      <w:color w:val="000000" w:themeColor="text1"/>
      <w14:textFill>
        <w14:solidFill>
          <w14:schemeClr w14:val="tx1"/>
        </w14:solidFill>
      </w14:textFill>
    </w:rPr>
    <w:tblPr>
      <w:tblLayout w:type="fixed"/>
    </w:tblPr>
    <w:tcPr>
      <w:shd w:val="clear" w:color="auto" w:fill="E5E5E5" w:themeFill="tex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BFBFBF" w:themeFill="text1" w:themeFillTint="3F"/>
      </w:tcPr>
    </w:tblStylePr>
    <w:tblStylePr w:type="band1Horz">
      <w:tblPr>
        <w:tblLayout w:type="fixed"/>
      </w:tblPr>
      <w:tcPr>
        <w:shd w:val="clear" w:color="auto" w:fill="CCCCCC" w:themeFill="text1" w:themeFillTint="33"/>
      </w:tcPr>
    </w:tblStylePr>
  </w:style>
  <w:style w:type="table" w:styleId="123">
    <w:name w:val="Colorful List Accent 1"/>
    <w:basedOn w:val="36"/>
    <w:qFormat/>
    <w:uiPriority w:val="72"/>
    <w:rPr>
      <w:color w:val="000000" w:themeColor="text1"/>
      <w14:textFill>
        <w14:solidFill>
          <w14:schemeClr w14:val="tx1"/>
        </w14:solidFill>
      </w14:textFill>
    </w:rPr>
    <w:tblPr>
      <w:tblLayout w:type="fixed"/>
    </w:tblPr>
    <w:tcPr>
      <w:shd w:val="clear" w:color="auto" w:fill="EDF2F8" w:themeFill="accen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3DFEE" w:themeFill="accent1" w:themeFillTint="3F"/>
      </w:tcPr>
    </w:tblStylePr>
    <w:tblStylePr w:type="band1Horz">
      <w:tblPr>
        <w:tblLayout w:type="fixed"/>
      </w:tblPr>
      <w:tcPr>
        <w:shd w:val="clear" w:color="auto" w:fill="DBE5F1" w:themeFill="accent1" w:themeFillTint="33"/>
      </w:tcPr>
    </w:tblStylePr>
  </w:style>
  <w:style w:type="table" w:styleId="124">
    <w:name w:val="Colorful List Accent 2"/>
    <w:basedOn w:val="36"/>
    <w:qFormat/>
    <w:uiPriority w:val="72"/>
    <w:rPr>
      <w:color w:val="000000" w:themeColor="text1"/>
      <w14:textFill>
        <w14:solidFill>
          <w14:schemeClr w14:val="tx1"/>
        </w14:solidFill>
      </w14:textFill>
    </w:rPr>
    <w:tblPr>
      <w:tblLayout w:type="fixed"/>
    </w:tblPr>
    <w:tcPr>
      <w:shd w:val="clear" w:color="auto" w:fill="F8EDED" w:themeFill="accent2"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FD3D3" w:themeFill="accent2" w:themeFillTint="3F"/>
      </w:tcPr>
    </w:tblStylePr>
    <w:tblStylePr w:type="band1Horz">
      <w:tblPr>
        <w:tblLayout w:type="fixed"/>
      </w:tblPr>
      <w:tcPr>
        <w:shd w:val="clear" w:color="auto" w:fill="F2DBDB" w:themeFill="accent2" w:themeFillTint="33"/>
      </w:tcPr>
    </w:tblStylePr>
  </w:style>
  <w:style w:type="table" w:styleId="125">
    <w:name w:val="Colorful List Accent 3"/>
    <w:basedOn w:val="36"/>
    <w:qFormat/>
    <w:uiPriority w:val="72"/>
    <w:rPr>
      <w:color w:val="000000" w:themeColor="text1"/>
      <w14:textFill>
        <w14:solidFill>
          <w14:schemeClr w14:val="tx1"/>
        </w14:solidFill>
      </w14:textFill>
    </w:rPr>
    <w:tblPr>
      <w:tblLayout w:type="fixed"/>
    </w:tblPr>
    <w:tcPr>
      <w:shd w:val="clear" w:color="auto" w:fill="F5F8EE" w:themeFill="accent3"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E6EED5" w:themeFill="accent3" w:themeFillTint="3F"/>
      </w:tcPr>
    </w:tblStylePr>
    <w:tblStylePr w:type="band1Horz">
      <w:tblPr>
        <w:tblLayout w:type="fixed"/>
      </w:tblPr>
      <w:tcPr>
        <w:shd w:val="clear" w:color="auto" w:fill="EAF1DD" w:themeFill="accent3" w:themeFillTint="33"/>
      </w:tcPr>
    </w:tblStylePr>
  </w:style>
  <w:style w:type="table" w:styleId="126">
    <w:name w:val="Colorful List Accent 4"/>
    <w:basedOn w:val="36"/>
    <w:qFormat/>
    <w:uiPriority w:val="72"/>
    <w:rPr>
      <w:color w:val="000000" w:themeColor="text1"/>
      <w14:textFill>
        <w14:solidFill>
          <w14:schemeClr w14:val="tx1"/>
        </w14:solidFill>
      </w14:textFill>
    </w:rPr>
    <w:tblPr>
      <w:tblLayout w:type="fixed"/>
    </w:tblPr>
    <w:tcPr>
      <w:shd w:val="clear" w:color="auto" w:fill="F2EFF5" w:themeFill="accent4"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FD8E8" w:themeFill="accent4" w:themeFillTint="3F"/>
      </w:tcPr>
    </w:tblStylePr>
    <w:tblStylePr w:type="band1Horz">
      <w:tblPr>
        <w:tblLayout w:type="fixed"/>
      </w:tblPr>
      <w:tcPr>
        <w:shd w:val="clear" w:color="auto" w:fill="E5DFEC" w:themeFill="accent4" w:themeFillTint="33"/>
      </w:tcPr>
    </w:tblStylePr>
  </w:style>
  <w:style w:type="table" w:styleId="127">
    <w:name w:val="Colorful List Accent 5"/>
    <w:basedOn w:val="36"/>
    <w:qFormat/>
    <w:uiPriority w:val="72"/>
    <w:rPr>
      <w:color w:val="000000" w:themeColor="text1"/>
      <w14:textFill>
        <w14:solidFill>
          <w14:schemeClr w14:val="tx1"/>
        </w14:solidFill>
      </w14:textFill>
    </w:rPr>
    <w:tblPr>
      <w:tblLayout w:type="fixed"/>
    </w:tblPr>
    <w:tcPr>
      <w:shd w:val="clear" w:color="auto" w:fill="EDF6F9" w:themeFill="accent5"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2EAF0" w:themeFill="accent5" w:themeFillTint="3F"/>
      </w:tcPr>
    </w:tblStylePr>
    <w:tblStylePr w:type="band1Horz">
      <w:tblPr>
        <w:tblLayout w:type="fixed"/>
      </w:tblPr>
      <w:tcPr>
        <w:shd w:val="clear" w:color="auto" w:fill="DAEEF3" w:themeFill="accent5" w:themeFillTint="33"/>
      </w:tcPr>
    </w:tblStylePr>
  </w:style>
  <w:style w:type="table" w:styleId="128">
    <w:name w:val="Colorful List Accent 6"/>
    <w:basedOn w:val="36"/>
    <w:qFormat/>
    <w:uiPriority w:val="72"/>
    <w:rPr>
      <w:color w:val="000000" w:themeColor="text1"/>
      <w14:textFill>
        <w14:solidFill>
          <w14:schemeClr w14:val="tx1"/>
        </w14:solidFill>
      </w14:textFill>
    </w:rPr>
    <w:tblPr>
      <w:tblLayout w:type="fixed"/>
    </w:tblPr>
    <w:tcPr>
      <w:shd w:val="clear" w:color="auto" w:fill="FEF4EC" w:themeFill="accent6"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FDE5D1" w:themeFill="accent6" w:themeFillTint="3F"/>
      </w:tcPr>
    </w:tblStylePr>
    <w:tblStylePr w:type="band1Horz">
      <w:tblPr>
        <w:tblLayout w:type="fixed"/>
      </w:tblPr>
      <w:tcPr>
        <w:shd w:val="clear" w:color="auto" w:fill="FDE9D9" w:themeFill="accent6" w:themeFillTint="33"/>
      </w:tcPr>
    </w:tblStylePr>
  </w:style>
  <w:style w:type="table" w:styleId="129">
    <w:name w:val="Colorful Grid"/>
    <w:basedOn w:val="36"/>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CCCCCC" w:themeFill="text1" w:themeFillTint="33"/>
    </w:tcPr>
    <w:tblStylePr w:type="firstRow">
      <w:rPr>
        <w:b/>
        <w:bCs/>
      </w:rPr>
      <w:tblPr>
        <w:tblLayout w:type="fixed"/>
      </w:tblPr>
      <w:tcPr>
        <w:shd w:val="clear" w:color="auto" w:fill="999999" w:themeFill="text1" w:themeFillTint="66"/>
      </w:tcPr>
    </w:tblStylePr>
    <w:tblStylePr w:type="lastRow">
      <w:rPr>
        <w:b/>
        <w:bCs/>
        <w:color w:val="000000" w:themeColor="text1"/>
        <w14:textFill>
          <w14:solidFill>
            <w14:schemeClr w14:val="tx1"/>
          </w14:solidFill>
        </w14:textFill>
      </w:rPr>
      <w:tblPr>
        <w:tblLayout w:type="fixed"/>
      </w:tblPr>
      <w:tcPr>
        <w:shd w:val="clear" w:color="auto" w:fill="999999" w:themeFill="text1" w:themeFillTint="66"/>
      </w:tcPr>
    </w:tblStylePr>
    <w:tblStylePr w:type="firstCol">
      <w:rPr>
        <w:color w:val="FFFFFF" w:themeColor="background1"/>
        <w14:textFill>
          <w14:solidFill>
            <w14:schemeClr w14:val="bg1"/>
          </w14:solidFill>
        </w14:textFill>
      </w:rPr>
      <w:tblPr>
        <w:tblLayout w:type="fixed"/>
      </w:tblPr>
      <w:tcPr>
        <w:shd w:val="clear" w:color="auto" w:fill="000000" w:themeFill="text1" w:themeFillShade="BF"/>
      </w:tcPr>
    </w:tblStylePr>
    <w:tblStylePr w:type="lastCol">
      <w:rPr>
        <w:color w:val="FFFFFF" w:themeColor="background1"/>
        <w14:textFill>
          <w14:solidFill>
            <w14:schemeClr w14:val="bg1"/>
          </w14:solidFill>
        </w14:textFill>
      </w:rPr>
      <w:tblPr>
        <w:tblLayout w:type="fixed"/>
      </w:tblPr>
      <w:tcPr>
        <w:shd w:val="clear" w:color="auto" w:fill="000000" w:themeFill="text1" w:themeFillShade="BF"/>
      </w:tcPr>
    </w:tblStylePr>
    <w:tblStylePr w:type="band1Vert">
      <w:tblPr>
        <w:tblLayout w:type="fixed"/>
      </w:tblPr>
      <w:tcPr>
        <w:shd w:val="clear" w:color="auto" w:fill="7F7F7F" w:themeFill="text1" w:themeFillTint="7F"/>
      </w:tcPr>
    </w:tblStylePr>
    <w:tblStylePr w:type="band1Horz">
      <w:tblPr>
        <w:tblLayout w:type="fixed"/>
      </w:tblPr>
      <w:tcPr>
        <w:shd w:val="clear" w:color="auto" w:fill="7F7F7F" w:themeFill="text1" w:themeFillTint="7F"/>
      </w:tcPr>
    </w:tblStylePr>
  </w:style>
  <w:style w:type="table" w:styleId="130">
    <w:name w:val="Colorful Grid Accent 1"/>
    <w:basedOn w:val="36"/>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DBE5F1" w:themeFill="accent1" w:themeFillTint="33"/>
    </w:tcPr>
    <w:tblStylePr w:type="firstRow">
      <w:rPr>
        <w:b/>
        <w:bCs/>
      </w:rPr>
      <w:tblPr>
        <w:tblLayout w:type="fixed"/>
      </w:tblPr>
      <w:tcPr>
        <w:shd w:val="clear" w:color="auto" w:fill="B8CCE4" w:themeFill="accent1" w:themeFillTint="66"/>
      </w:tcPr>
    </w:tblStylePr>
    <w:tblStylePr w:type="lastRow">
      <w:rPr>
        <w:b/>
        <w:bCs/>
        <w:color w:val="000000" w:themeColor="text1"/>
        <w14:textFill>
          <w14:solidFill>
            <w14:schemeClr w14:val="tx1"/>
          </w14:solidFill>
        </w14:textFill>
      </w:rPr>
      <w:tblPr>
        <w:tblLayout w:type="fixed"/>
      </w:tblPr>
      <w:tcPr>
        <w:shd w:val="clear" w:color="auto" w:fill="B8CCE4" w:themeFill="accent1" w:themeFillTint="66"/>
      </w:tcPr>
    </w:tblStylePr>
    <w:tblStylePr w:type="fir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lastCol">
      <w:rPr>
        <w:color w:val="FFFFFF" w:themeColor="background1"/>
        <w14:textFill>
          <w14:solidFill>
            <w14:schemeClr w14:val="bg1"/>
          </w14:solidFill>
        </w14:textFill>
      </w:rPr>
      <w:tblPr>
        <w:tblLayout w:type="fixed"/>
      </w:tblPr>
      <w:tcPr>
        <w:shd w:val="clear" w:color="auto" w:fill="366091" w:themeFill="accent1" w:themeFillShade="BF"/>
      </w:tcPr>
    </w:tblStylePr>
    <w:tblStylePr w:type="band1Vert">
      <w:tblPr>
        <w:tblLayout w:type="fixed"/>
      </w:tblPr>
      <w:tcPr>
        <w:shd w:val="clear" w:color="auto" w:fill="A7C0DE" w:themeFill="accent1" w:themeFillTint="7F"/>
      </w:tcPr>
    </w:tblStylePr>
    <w:tblStylePr w:type="band1Horz">
      <w:tblPr>
        <w:tblLayout w:type="fixed"/>
      </w:tblPr>
      <w:tcPr>
        <w:shd w:val="clear" w:color="auto" w:fill="A7C0DE" w:themeFill="accent1" w:themeFillTint="7F"/>
      </w:tcPr>
    </w:tblStylePr>
  </w:style>
  <w:style w:type="table" w:styleId="131">
    <w:name w:val="Colorful Grid Accent 2"/>
    <w:basedOn w:val="36"/>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F2DBDB" w:themeFill="accent2" w:themeFillTint="33"/>
    </w:tcPr>
    <w:tblStylePr w:type="firstRow">
      <w:rPr>
        <w:b/>
        <w:bCs/>
      </w:rPr>
      <w:tblPr>
        <w:tblLayout w:type="fixed"/>
      </w:tblPr>
      <w:tcPr>
        <w:shd w:val="clear" w:color="auto" w:fill="E5B8B7" w:themeFill="accent2" w:themeFillTint="66"/>
      </w:tcPr>
    </w:tblStylePr>
    <w:tblStylePr w:type="lastRow">
      <w:rPr>
        <w:b/>
        <w:bCs/>
        <w:color w:val="000000" w:themeColor="text1"/>
        <w14:textFill>
          <w14:solidFill>
            <w14:schemeClr w14:val="tx1"/>
          </w14:solidFill>
        </w14:textFill>
      </w:rPr>
      <w:tblPr>
        <w:tblLayout w:type="fixed"/>
      </w:tblPr>
      <w:tcPr>
        <w:shd w:val="clear" w:color="auto" w:fill="E5B8B7" w:themeFill="accent2" w:themeFillTint="66"/>
      </w:tcPr>
    </w:tblStylePr>
    <w:tblStylePr w:type="fir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lastCol">
      <w:rPr>
        <w:color w:val="FFFFFF" w:themeColor="background1"/>
        <w14:textFill>
          <w14:solidFill>
            <w14:schemeClr w14:val="bg1"/>
          </w14:solidFill>
        </w14:textFill>
      </w:rPr>
      <w:tblPr>
        <w:tblLayout w:type="fixed"/>
      </w:tblPr>
      <w:tcPr>
        <w:shd w:val="clear" w:color="auto" w:fill="943734" w:themeFill="accent2" w:themeFillShade="BF"/>
      </w:tcPr>
    </w:tblStylePr>
    <w:tblStylePr w:type="band1Vert">
      <w:tblPr>
        <w:tblLayout w:type="fixed"/>
      </w:tblPr>
      <w:tcPr>
        <w:shd w:val="clear" w:color="auto" w:fill="DFA7A6" w:themeFill="accent2" w:themeFillTint="7F"/>
      </w:tcPr>
    </w:tblStylePr>
    <w:tblStylePr w:type="band1Horz">
      <w:tblPr>
        <w:tblLayout w:type="fixed"/>
      </w:tblPr>
      <w:tcPr>
        <w:shd w:val="clear" w:color="auto" w:fill="DFA7A6" w:themeFill="accent2" w:themeFillTint="7F"/>
      </w:tcPr>
    </w:tblStylePr>
  </w:style>
  <w:style w:type="table" w:styleId="132">
    <w:name w:val="Colorful Grid Accent 3"/>
    <w:basedOn w:val="36"/>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EAF1DD" w:themeFill="accent3" w:themeFillTint="33"/>
    </w:tcPr>
    <w:tblStylePr w:type="firstRow">
      <w:rPr>
        <w:b/>
        <w:bCs/>
      </w:rPr>
      <w:tblPr>
        <w:tblLayout w:type="fixed"/>
      </w:tblPr>
      <w:tcPr>
        <w:shd w:val="clear" w:color="auto" w:fill="D6E3BC" w:themeFill="accent3" w:themeFillTint="66"/>
      </w:tcPr>
    </w:tblStylePr>
    <w:tblStylePr w:type="lastRow">
      <w:rPr>
        <w:b/>
        <w:bCs/>
        <w:color w:val="000000" w:themeColor="text1"/>
        <w14:textFill>
          <w14:solidFill>
            <w14:schemeClr w14:val="tx1"/>
          </w14:solidFill>
        </w14:textFill>
      </w:rPr>
      <w:tblPr>
        <w:tblLayout w:type="fixed"/>
      </w:tblPr>
      <w:tcPr>
        <w:shd w:val="clear" w:color="auto" w:fill="D6E3BC" w:themeFill="accent3" w:themeFillTint="66"/>
      </w:tcPr>
    </w:tblStylePr>
    <w:tblStylePr w:type="fir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lastCol">
      <w:rPr>
        <w:color w:val="FFFFFF" w:themeColor="background1"/>
        <w14:textFill>
          <w14:solidFill>
            <w14:schemeClr w14:val="bg1"/>
          </w14:solidFill>
        </w14:textFill>
      </w:rPr>
      <w:tblPr>
        <w:tblLayout w:type="fixed"/>
      </w:tblPr>
      <w:tcPr>
        <w:shd w:val="clear" w:color="auto" w:fill="76923C" w:themeFill="accent3" w:themeFillShade="BF"/>
      </w:tcPr>
    </w:tblStylePr>
    <w:tblStylePr w:type="band1Vert">
      <w:tblPr>
        <w:tblLayout w:type="fixed"/>
      </w:tblPr>
      <w:tcPr>
        <w:shd w:val="clear" w:color="auto" w:fill="CDDDAC" w:themeFill="accent3" w:themeFillTint="7F"/>
      </w:tcPr>
    </w:tblStylePr>
    <w:tblStylePr w:type="band1Horz">
      <w:tblPr>
        <w:tblLayout w:type="fixed"/>
      </w:tblPr>
      <w:tcPr>
        <w:shd w:val="clear" w:color="auto" w:fill="CDDDAC" w:themeFill="accent3" w:themeFillTint="7F"/>
      </w:tcPr>
    </w:tblStylePr>
  </w:style>
  <w:style w:type="table" w:styleId="133">
    <w:name w:val="Colorful Grid Accent 4"/>
    <w:basedOn w:val="36"/>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E5DFEC" w:themeFill="accent4" w:themeFillTint="33"/>
    </w:tcPr>
    <w:tblStylePr w:type="firstRow">
      <w:rPr>
        <w:b/>
        <w:bCs/>
      </w:rPr>
      <w:tblPr>
        <w:tblLayout w:type="fixed"/>
      </w:tblPr>
      <w:tcPr>
        <w:shd w:val="clear" w:color="auto" w:fill="CCC0D9" w:themeFill="accent4" w:themeFillTint="66"/>
      </w:tcPr>
    </w:tblStylePr>
    <w:tblStylePr w:type="lastRow">
      <w:rPr>
        <w:b/>
        <w:bCs/>
        <w:color w:val="000000" w:themeColor="text1"/>
        <w14:textFill>
          <w14:solidFill>
            <w14:schemeClr w14:val="tx1"/>
          </w14:solidFill>
        </w14:textFill>
      </w:rPr>
      <w:tblPr>
        <w:tblLayout w:type="fixed"/>
      </w:tblPr>
      <w:tcPr>
        <w:shd w:val="clear" w:color="auto" w:fill="CCC0D9" w:themeFill="accent4" w:themeFillTint="66"/>
      </w:tcPr>
    </w:tblStylePr>
    <w:tblStylePr w:type="fir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lastCol">
      <w:rPr>
        <w:color w:val="FFFFFF" w:themeColor="background1"/>
        <w14:textFill>
          <w14:solidFill>
            <w14:schemeClr w14:val="bg1"/>
          </w14:solidFill>
        </w14:textFill>
      </w:rPr>
      <w:tblPr>
        <w:tblLayout w:type="fixed"/>
      </w:tblPr>
      <w:tcPr>
        <w:shd w:val="clear" w:color="auto" w:fill="5F497A" w:themeFill="accent4" w:themeFillShade="BF"/>
      </w:tcPr>
    </w:tblStylePr>
    <w:tblStylePr w:type="band1Vert">
      <w:tblPr>
        <w:tblLayout w:type="fixed"/>
      </w:tblPr>
      <w:tcPr>
        <w:shd w:val="clear" w:color="auto" w:fill="BFB1D0" w:themeFill="accent4" w:themeFillTint="7F"/>
      </w:tcPr>
    </w:tblStylePr>
    <w:tblStylePr w:type="band1Horz">
      <w:tblPr>
        <w:tblLayout w:type="fixed"/>
      </w:tblPr>
      <w:tcPr>
        <w:shd w:val="clear" w:color="auto" w:fill="BFB1D0" w:themeFill="accent4" w:themeFillTint="7F"/>
      </w:tcPr>
    </w:tblStylePr>
  </w:style>
  <w:style w:type="table" w:styleId="134">
    <w:name w:val="Colorful Grid Accent 5"/>
    <w:basedOn w:val="36"/>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DAEEF3" w:themeFill="accent5" w:themeFillTint="33"/>
    </w:tcPr>
    <w:tblStylePr w:type="firstRow">
      <w:rPr>
        <w:b/>
        <w:bCs/>
      </w:rPr>
      <w:tblPr>
        <w:tblLayout w:type="fixed"/>
      </w:tblPr>
      <w:tcPr>
        <w:shd w:val="clear" w:color="auto" w:fill="B6DDE8" w:themeFill="accent5" w:themeFillTint="66"/>
      </w:tcPr>
    </w:tblStylePr>
    <w:tblStylePr w:type="lastRow">
      <w:rPr>
        <w:b/>
        <w:bCs/>
        <w:color w:val="000000" w:themeColor="text1"/>
        <w14:textFill>
          <w14:solidFill>
            <w14:schemeClr w14:val="tx1"/>
          </w14:solidFill>
        </w14:textFill>
      </w:rPr>
      <w:tblPr>
        <w:tblLayout w:type="fixed"/>
      </w:tblPr>
      <w:tcPr>
        <w:shd w:val="clear" w:color="auto" w:fill="B6DDE8" w:themeFill="accent5" w:themeFillTint="66"/>
      </w:tcPr>
    </w:tblStylePr>
    <w:tblStylePr w:type="fir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lastCol">
      <w:rPr>
        <w:color w:val="FFFFFF" w:themeColor="background1"/>
        <w14:textFill>
          <w14:solidFill>
            <w14:schemeClr w14:val="bg1"/>
          </w14:solidFill>
        </w14:textFill>
      </w:rPr>
      <w:tblPr>
        <w:tblLayout w:type="fixed"/>
      </w:tblPr>
      <w:tcPr>
        <w:shd w:val="clear" w:color="auto" w:fill="31849B" w:themeFill="accent5" w:themeFillShade="BF"/>
      </w:tcPr>
    </w:tblStylePr>
    <w:tblStylePr w:type="band1Vert">
      <w:tblPr>
        <w:tblLayout w:type="fixed"/>
      </w:tblPr>
      <w:tcPr>
        <w:shd w:val="clear" w:color="auto" w:fill="A5D5E2" w:themeFill="accent5" w:themeFillTint="7F"/>
      </w:tcPr>
    </w:tblStylePr>
    <w:tblStylePr w:type="band1Horz">
      <w:tblPr>
        <w:tblLayout w:type="fixed"/>
      </w:tblPr>
      <w:tcPr>
        <w:shd w:val="clear" w:color="auto" w:fill="A5D5E2" w:themeFill="accent5" w:themeFillTint="7F"/>
      </w:tcPr>
    </w:tblStylePr>
  </w:style>
  <w:style w:type="table" w:styleId="135">
    <w:name w:val="Colorful Grid Accent 6"/>
    <w:basedOn w:val="36"/>
    <w:qFormat/>
    <w:uiPriority w:val="73"/>
    <w:rPr>
      <w:color w:val="000000" w:themeColor="text1"/>
      <w14:textFill>
        <w14:solidFill>
          <w14:schemeClr w14:val="tx1"/>
        </w14:solidFill>
      </w14:textFill>
    </w:rPr>
    <w:tblPr>
      <w:tblBorders>
        <w:insideH w:val="single" w:color="FFFFFF" w:themeColor="background1" w:sz="4" w:space="0"/>
      </w:tblBorders>
      <w:tblLayout w:type="fixed"/>
    </w:tblPr>
    <w:tcPr>
      <w:shd w:val="clear" w:color="auto" w:fill="FDE9D9" w:themeFill="accent6" w:themeFillTint="33"/>
    </w:tcPr>
    <w:tblStylePr w:type="firstRow">
      <w:rPr>
        <w:b/>
        <w:bCs/>
      </w:rPr>
      <w:tblPr>
        <w:tblLayout w:type="fixed"/>
      </w:tblPr>
      <w:tcPr>
        <w:shd w:val="clear" w:color="auto" w:fill="FBD4B4" w:themeFill="accent6" w:themeFillTint="66"/>
      </w:tcPr>
    </w:tblStylePr>
    <w:tblStylePr w:type="lastRow">
      <w:rPr>
        <w:b/>
        <w:bCs/>
        <w:color w:val="000000" w:themeColor="text1"/>
        <w14:textFill>
          <w14:solidFill>
            <w14:schemeClr w14:val="tx1"/>
          </w14:solidFill>
        </w14:textFill>
      </w:rPr>
      <w:tblPr>
        <w:tblLayout w:type="fixed"/>
      </w:tblPr>
      <w:tcPr>
        <w:shd w:val="clear" w:color="auto" w:fill="FBD4B4" w:themeFill="accent6" w:themeFillTint="66"/>
      </w:tcPr>
    </w:tblStylePr>
    <w:tblStylePr w:type="fir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lastCol">
      <w:rPr>
        <w:color w:val="FFFFFF" w:themeColor="background1"/>
        <w14:textFill>
          <w14:solidFill>
            <w14:schemeClr w14:val="bg1"/>
          </w14:solidFill>
        </w14:textFill>
      </w:rPr>
      <w:tblPr>
        <w:tblLayout w:type="fixed"/>
      </w:tblPr>
      <w:tcPr>
        <w:shd w:val="clear" w:color="auto" w:fill="E36C09" w:themeFill="accent6" w:themeFillShade="BF"/>
      </w:tcPr>
    </w:tblStylePr>
    <w:tblStylePr w:type="band1Vert">
      <w:tblPr>
        <w:tblLayout w:type="fixed"/>
      </w:tblPr>
      <w:tcPr>
        <w:shd w:val="clear" w:color="auto" w:fill="FBCAA2" w:themeFill="accent6" w:themeFillTint="7F"/>
      </w:tcPr>
    </w:tblStylePr>
    <w:tblStylePr w:type="band1Horz">
      <w:tblPr>
        <w:tblLayout w:type="fixed"/>
      </w:tblPr>
      <w:tcPr>
        <w:shd w:val="clear" w:color="auto" w:fill="FBCAA2" w:themeFill="accent6" w:themeFillTint="7F"/>
      </w:tcPr>
    </w:tblStylePr>
  </w:style>
  <w:style w:type="character" w:customStyle="1" w:styleId="136">
    <w:name w:val="标题 3 字符"/>
    <w:basedOn w:val="33"/>
    <w:link w:val="4"/>
    <w:qFormat/>
    <w:uiPriority w:val="9"/>
    <w:rPr>
      <w:rFonts w:ascii="宋体" w:hAnsi="宋体" w:eastAsia="宋体" w:cs="宋体"/>
      <w:b/>
      <w:bCs/>
      <w:sz w:val="24"/>
      <w:szCs w:val="24"/>
    </w:rPr>
  </w:style>
  <w:style w:type="character" w:customStyle="1" w:styleId="137">
    <w:name w:val="页眉 字符"/>
    <w:basedOn w:val="33"/>
    <w:link w:val="26"/>
    <w:qFormat/>
    <w:uiPriority w:val="99"/>
  </w:style>
  <w:style w:type="character" w:customStyle="1" w:styleId="138">
    <w:name w:val="页脚 字符"/>
    <w:basedOn w:val="33"/>
    <w:link w:val="25"/>
    <w:qFormat/>
    <w:uiPriority w:val="99"/>
  </w:style>
  <w:style w:type="paragraph" w:styleId="139">
    <w:name w:val="No Spacing"/>
    <w:qFormat/>
    <w:uiPriority w:val="1"/>
    <w:rPr>
      <w:rFonts w:eastAsia="宋体" w:asciiTheme="minorHAnsi" w:hAnsiTheme="minorHAnsi" w:cstheme="minorBidi"/>
      <w:sz w:val="22"/>
      <w:szCs w:val="22"/>
      <w:lang w:val="en-US" w:eastAsia="en-US" w:bidi="ar-SA"/>
    </w:rPr>
  </w:style>
  <w:style w:type="character" w:customStyle="1" w:styleId="140">
    <w:name w:val="标题 1 字符"/>
    <w:basedOn w:val="33"/>
    <w:link w:val="2"/>
    <w:qFormat/>
    <w:uiPriority w:val="9"/>
    <w:rPr>
      <w:rFonts w:eastAsia="宋体" w:asciiTheme="majorHAnsi" w:hAnsiTheme="majorHAnsi" w:cstheme="majorBidi"/>
      <w:b/>
      <w:bCs/>
      <w:sz w:val="30"/>
      <w:szCs w:val="28"/>
    </w:rPr>
  </w:style>
  <w:style w:type="character" w:customStyle="1" w:styleId="141">
    <w:name w:val="标题 2 字符"/>
    <w:basedOn w:val="33"/>
    <w:link w:val="3"/>
    <w:qFormat/>
    <w:uiPriority w:val="9"/>
    <w:rPr>
      <w:rFonts w:ascii="宋体" w:hAnsi="宋体" w:eastAsia="宋体" w:cs="宋体"/>
      <w:b/>
      <w:sz w:val="28"/>
      <w:szCs w:val="28"/>
    </w:rPr>
  </w:style>
  <w:style w:type="character" w:customStyle="1" w:styleId="142">
    <w:name w:val="标题 字符"/>
    <w:basedOn w:val="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副标题 字符"/>
    <w:basedOn w:val="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正文文本 字符"/>
    <w:basedOn w:val="33"/>
    <w:link w:val="20"/>
    <w:qFormat/>
    <w:uiPriority w:val="99"/>
  </w:style>
  <w:style w:type="character" w:customStyle="1" w:styleId="146">
    <w:name w:val="正文文本 2 字符"/>
    <w:basedOn w:val="33"/>
    <w:link w:val="29"/>
    <w:qFormat/>
    <w:uiPriority w:val="99"/>
  </w:style>
  <w:style w:type="character" w:customStyle="1" w:styleId="147">
    <w:name w:val="正文文本 3 字符"/>
    <w:basedOn w:val="33"/>
    <w:link w:val="18"/>
    <w:qFormat/>
    <w:uiPriority w:val="99"/>
    <w:rPr>
      <w:sz w:val="16"/>
      <w:szCs w:val="16"/>
    </w:rPr>
  </w:style>
  <w:style w:type="character" w:customStyle="1" w:styleId="148">
    <w:name w:val="宏文本 字符"/>
    <w:basedOn w:val="33"/>
    <w:link w:val="13"/>
    <w:qFormat/>
    <w:uiPriority w:val="99"/>
    <w:rPr>
      <w:rFonts w:ascii="宋体" w:hAnsi="宋体"/>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引用 字符"/>
    <w:basedOn w:val="33"/>
    <w:link w:val="149"/>
    <w:qFormat/>
    <w:uiPriority w:val="29"/>
    <w:rPr>
      <w:i/>
      <w:iCs/>
      <w:color w:val="000000" w:themeColor="text1"/>
      <w14:textFill>
        <w14:solidFill>
          <w14:schemeClr w14:val="tx1"/>
        </w14:solidFill>
      </w14:textFill>
    </w:rPr>
  </w:style>
  <w:style w:type="character" w:customStyle="1" w:styleId="151">
    <w:name w:val="标题 4 字符"/>
    <w:basedOn w:val="33"/>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标题 5 字符"/>
    <w:basedOn w:val="33"/>
    <w:link w:val="6"/>
    <w:semiHidden/>
    <w:qFormat/>
    <w:uiPriority w:val="9"/>
    <w:rPr>
      <w:rFonts w:asciiTheme="majorHAnsi" w:hAnsiTheme="majorHAnsi" w:eastAsiaTheme="majorEastAsia" w:cstheme="majorBidi"/>
      <w:color w:val="254061" w:themeColor="accent1" w:themeShade="80"/>
    </w:rPr>
  </w:style>
  <w:style w:type="character" w:customStyle="1" w:styleId="153">
    <w:name w:val="标题 6 字符"/>
    <w:basedOn w:val="33"/>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标题 7 字符"/>
    <w:basedOn w:val="33"/>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标题 8 字符"/>
    <w:basedOn w:val="33"/>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标题 9 字符"/>
    <w:basedOn w:val="33"/>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明显引用 字符"/>
    <w:basedOn w:val="33"/>
    <w:link w:val="157"/>
    <w:qFormat/>
    <w:uiPriority w:val="30"/>
    <w:rPr>
      <w:b/>
      <w:bCs/>
      <w:i/>
      <w:iCs/>
      <w:color w:val="4F81BD" w:themeColor="accent1"/>
      <w14:textFill>
        <w14:solidFill>
          <w14:schemeClr w14:val="accent1"/>
        </w14:solidFill>
      </w14:textFill>
    </w:rPr>
  </w:style>
  <w:style w:type="character" w:customStyle="1" w:styleId="159">
    <w:name w:val="不明显强调1"/>
    <w:basedOn w:val="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明显强调1"/>
    <w:basedOn w:val="33"/>
    <w:qFormat/>
    <w:uiPriority w:val="21"/>
    <w:rPr>
      <w:b/>
      <w:bCs/>
      <w:i/>
      <w:iCs/>
      <w:color w:val="4F81BD" w:themeColor="accent1"/>
      <w14:textFill>
        <w14:solidFill>
          <w14:schemeClr w14:val="accent1"/>
        </w14:solidFill>
      </w14:textFill>
    </w:rPr>
  </w:style>
  <w:style w:type="character" w:customStyle="1" w:styleId="161">
    <w:name w:val="不明显参考1"/>
    <w:basedOn w:val="33"/>
    <w:qFormat/>
    <w:uiPriority w:val="31"/>
    <w:rPr>
      <w:smallCaps/>
      <w:color w:val="C0504D" w:themeColor="accent2"/>
      <w:u w:val="single"/>
      <w14:textFill>
        <w14:solidFill>
          <w14:schemeClr w14:val="accent2"/>
        </w14:solidFill>
      </w14:textFill>
    </w:rPr>
  </w:style>
  <w:style w:type="character" w:customStyle="1" w:styleId="162">
    <w:name w:val="明显参考1"/>
    <w:basedOn w:val="33"/>
    <w:qFormat/>
    <w:uiPriority w:val="32"/>
    <w:rPr>
      <w:b/>
      <w:bCs/>
      <w:smallCaps/>
      <w:color w:val="C0504D" w:themeColor="accent2"/>
      <w:spacing w:val="5"/>
      <w:u w:val="single"/>
      <w14:textFill>
        <w14:solidFill>
          <w14:schemeClr w14:val="accent2"/>
        </w14:solidFill>
      </w14:textFill>
    </w:rPr>
  </w:style>
  <w:style w:type="character" w:customStyle="1" w:styleId="163">
    <w:name w:val="书籍标题1"/>
    <w:basedOn w:val="33"/>
    <w:qFormat/>
    <w:uiPriority w:val="33"/>
    <w:rPr>
      <w:b/>
      <w:bCs/>
      <w:smallCaps/>
      <w:spacing w:val="5"/>
    </w:rPr>
  </w:style>
  <w:style w:type="paragraph" w:customStyle="1" w:styleId="164">
    <w:name w:val="TOC 标题1"/>
    <w:basedOn w:val="2"/>
    <w:next w:val="1"/>
    <w:semiHidden/>
    <w:unhideWhenUsed/>
    <w:qFormat/>
    <w:uiPriority w:val="39"/>
    <w:pPr>
      <w:outlineLvl w:val="9"/>
    </w:pPr>
  </w:style>
  <w:style w:type="paragraph" w:customStyle="1" w:styleId="165">
    <w:name w:val="修订1"/>
    <w:hidden/>
    <w:unhideWhenUsed/>
    <w:qFormat/>
    <w:uiPriority w:val="99"/>
    <w:rPr>
      <w:rFonts w:ascii="宋体" w:hAnsi="宋体" w:eastAsia="宋体" w:cstheme="minorBidi"/>
      <w:sz w:val="24"/>
      <w:szCs w:val="22"/>
      <w:lang w:val="en-US" w:eastAsia="en-US" w:bidi="ar-SA"/>
    </w:rPr>
  </w:style>
  <w:style w:type="paragraph" w:customStyle="1" w:styleId="166">
    <w:name w:val="Default"/>
    <w:qFormat/>
    <w:uiPriority w:val="0"/>
    <w:pPr>
      <w:widowControl w:val="0"/>
      <w:autoSpaceDE w:val="0"/>
      <w:autoSpaceDN w:val="0"/>
      <w:adjustRightInd w:val="0"/>
    </w:pPr>
    <w:rPr>
      <w:rFonts w:ascii="宋体" w:hAnsi="宋体" w:eastAsia="宋体" w:cs="宋体"/>
      <w:color w:val="000000"/>
      <w:sz w:val="21"/>
      <w:szCs w:val="24"/>
      <w:lang w:val="en-US" w:eastAsia="zh-CN" w:bidi="ar-SA"/>
    </w:rPr>
  </w:style>
  <w:style w:type="paragraph" w:customStyle="1" w:styleId="167">
    <w:name w:val="正文表格"/>
    <w:basedOn w:val="1"/>
    <w:qFormat/>
    <w:uiPriority w:val="0"/>
    <w:pPr>
      <w:widowControl w:val="0"/>
      <w:spacing w:after="0" w:line="240" w:lineRule="auto"/>
      <w:jc w:val="center"/>
    </w:pPr>
    <w:rPr>
      <w:bCs/>
      <w:sz w:val="21"/>
      <w:szCs w:val="21"/>
    </w:rPr>
  </w:style>
  <w:style w:type="character" w:customStyle="1" w:styleId="168">
    <w:name w:val="font21"/>
    <w:basedOn w:val="33"/>
    <w:qFormat/>
    <w:uiPriority w:val="0"/>
    <w:rPr>
      <w:rFonts w:hint="eastAsia" w:ascii="宋体" w:hAnsi="宋体" w:eastAsia="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13858</Words>
  <Characters>15139</Characters>
  <Lines>103</Lines>
  <Paragraphs>29</Paragraphs>
  <ScaleCrop>false</ScaleCrop>
  <LinksUpToDate>false</LinksUpToDate>
  <CharactersWithSpaces>15284</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2026-07-09T08:44:00Z</dcterms:created>
  <dc:creator>python-docx</dc:creator>
  <dc:description>generated by python-docx</dc:description>
  <cp:lastModifiedBy>赖宇娟</cp:lastModifiedBy>
  <dcterms:modified xsi:type="dcterms:W3CDTF">2026-07-24T08:14:30Z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eyJoZGlkIjoiY2YxNTJiOTNhZjAwNGZmNTNhNmJmZmZlYmY3YTYyNDEiLCJ1c2VySWQiOiIxNzE4ODc4In0=</vt:lpwstr>
  </property>
  <property fmtid="{D5CDD505-2E9C-101B-9397-08002B2CF9AE}" pid="3" name="KSOProductBuildVer">
    <vt:lpwstr>2052-10.1.0.7224</vt:lpwstr>
  </property>
  <property fmtid="{D5CDD505-2E9C-101B-9397-08002B2CF9AE}" pid="4" name="ICV">
    <vt:lpwstr>11B50CC3D8EC4595A215705232107D93_13</vt:lpwstr>
  </property>
</Properties>
</file>