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042BC2">
      <w:pPr>
        <w:spacing w:line="420" w:lineRule="exact"/>
        <w:rPr>
          <w:rFonts w:hint="default" w:ascii="仿宋_GB2312" w:hAnsi="Times New Roman" w:eastAsia="仿宋_GB2312" w:cs="Times New Roman"/>
          <w:b w:val="0"/>
          <w:bCs w:val="0"/>
          <w:kern w:val="2"/>
          <w:sz w:val="28"/>
          <w:szCs w:val="28"/>
          <w:lang w:val="en-US" w:eastAsia="zh-CN" w:bidi="ar-SA"/>
        </w:rPr>
      </w:pPr>
      <w:bookmarkStart w:id="0" w:name="heading_0"/>
      <w:r>
        <w:rPr>
          <w:rFonts w:hint="eastAsia" w:ascii="仿宋_GB2312" w:hAnsi="Times New Roman" w:eastAsia="仿宋_GB2312" w:cs="Times New Roman"/>
          <w:b w:val="0"/>
          <w:bCs w:val="0"/>
          <w:kern w:val="2"/>
          <w:sz w:val="28"/>
          <w:szCs w:val="28"/>
          <w:lang w:val="en-US" w:eastAsia="zh-CN" w:bidi="ar-SA"/>
        </w:rPr>
        <w:t>附件3：</w:t>
      </w:r>
    </w:p>
    <w:p w14:paraId="3EFDC403">
      <w:pPr>
        <w:spacing w:line="360" w:lineRule="auto"/>
        <w:ind w:firstLine="643" w:firstLineChars="200"/>
        <w:jc w:val="center"/>
        <w:rPr>
          <w:rFonts w:hint="eastAsia" w:ascii="宋体" w:hAnsi="宋体" w:cs="宋体"/>
          <w:b/>
          <w:bCs/>
          <w:sz w:val="32"/>
          <w:szCs w:val="32"/>
        </w:rPr>
      </w:pPr>
      <w:r>
        <w:rPr>
          <w:rFonts w:hint="eastAsia" w:ascii="宋体" w:hAnsi="宋体" w:cs="宋体"/>
          <w:b/>
          <w:bCs/>
          <w:sz w:val="32"/>
          <w:szCs w:val="32"/>
        </w:rPr>
        <w:t>评审方案</w:t>
      </w:r>
    </w:p>
    <w:p w14:paraId="0FEC1C1A">
      <w:pPr>
        <w:pStyle w:val="3"/>
      </w:pPr>
    </w:p>
    <w:p w14:paraId="05F832D6">
      <w:pPr>
        <w:spacing w:line="360" w:lineRule="auto"/>
        <w:ind w:firstLine="422" w:firstLineChars="200"/>
        <w:rPr>
          <w:rFonts w:ascii="宋体" w:hAnsi="宋体"/>
          <w:szCs w:val="21"/>
        </w:rPr>
      </w:pPr>
      <w:r>
        <w:rPr>
          <w:rFonts w:hint="eastAsia" w:ascii="宋体" w:hAnsi="宋体"/>
          <w:b/>
          <w:bCs/>
          <w:szCs w:val="21"/>
        </w:rPr>
        <w:t>1、评审步骤：</w:t>
      </w:r>
      <w:r>
        <w:rPr>
          <w:rFonts w:hint="eastAsia" w:ascii="宋体" w:hAnsi="宋体"/>
          <w:szCs w:val="21"/>
        </w:rPr>
        <w:t>评审小组对响应文件的评审分为初审（资格性和符合性审查，详见响应文件模版参考内容）和详细评审，初审通过才进入详细评审环节。</w:t>
      </w:r>
    </w:p>
    <w:p w14:paraId="39D6986D">
      <w:pPr>
        <w:spacing w:line="360" w:lineRule="auto"/>
        <w:ind w:firstLine="422" w:firstLineChars="200"/>
        <w:rPr>
          <w:rFonts w:ascii="宋体" w:hAnsi="宋体"/>
          <w:szCs w:val="21"/>
        </w:rPr>
      </w:pPr>
      <w:r>
        <w:rPr>
          <w:rFonts w:hint="eastAsia" w:ascii="宋体" w:hAnsi="宋体"/>
          <w:b/>
          <w:bCs/>
          <w:szCs w:val="21"/>
        </w:rPr>
        <w:t>2、</w:t>
      </w:r>
      <w:r>
        <w:rPr>
          <w:rFonts w:hint="eastAsia" w:ascii="宋体" w:hAnsi="宋体"/>
          <w:szCs w:val="21"/>
        </w:rPr>
        <w:t>详细评审时，根据评分表的内容，评审小组各成员应当独立对每个有效响应的文件进行评价、打分，从商务技术和价格方面进行综合评审。各成员评分的算术平均值即为该供应商的商务技术得分。得分按四舍五入规则，精确到小数点后2位。</w:t>
      </w:r>
    </w:p>
    <w:p w14:paraId="370992D0">
      <w:pPr>
        <w:spacing w:line="360" w:lineRule="auto"/>
        <w:ind w:firstLine="422" w:firstLineChars="200"/>
        <w:rPr>
          <w:rFonts w:ascii="宋体" w:hAnsi="宋体"/>
          <w:szCs w:val="21"/>
        </w:rPr>
      </w:pPr>
      <w:r>
        <w:rPr>
          <w:rFonts w:hint="eastAsia" w:ascii="宋体" w:hAnsi="宋体"/>
          <w:b/>
          <w:bCs/>
          <w:szCs w:val="21"/>
        </w:rPr>
        <w:t>3、评审总得分＝商务技术得分+响应报价得分</w:t>
      </w:r>
      <w:r>
        <w:rPr>
          <w:rFonts w:hint="eastAsia" w:ascii="宋体" w:hAnsi="宋体"/>
          <w:szCs w:val="21"/>
        </w:rPr>
        <w:t>　　</w:t>
      </w:r>
    </w:p>
    <w:p w14:paraId="001E8853">
      <w:pPr>
        <w:spacing w:line="360" w:lineRule="auto"/>
        <w:ind w:firstLine="422" w:firstLineChars="200"/>
        <w:rPr>
          <w:rFonts w:ascii="宋体" w:hAnsi="宋体"/>
          <w:szCs w:val="21"/>
        </w:rPr>
      </w:pPr>
      <w:r>
        <w:rPr>
          <w:rFonts w:hint="eastAsia" w:ascii="宋体" w:hAnsi="宋体"/>
          <w:b/>
          <w:bCs/>
          <w:szCs w:val="21"/>
        </w:rPr>
        <w:t>4、</w:t>
      </w:r>
      <w:r>
        <w:rPr>
          <w:rFonts w:hint="eastAsia" w:ascii="宋体" w:hAnsi="宋体"/>
          <w:szCs w:val="21"/>
        </w:rPr>
        <w:t>评审小组按评审得分由高到低进行排序，排名第一的推荐为第一成交候选人，排名第二的供应商为第二成交候选人，排名第三的供应商为第三成交候选人。出现综合总得分并列时，按下列顺序比较确定：（1）报价（由低到高）；（2）商务技术评分（由高到低）。如以上都相同的，由全体评审专家投票确定名次。</w:t>
      </w:r>
    </w:p>
    <w:p w14:paraId="47B63FE4">
      <w:pPr>
        <w:spacing w:line="360" w:lineRule="auto"/>
        <w:ind w:firstLine="422" w:firstLineChars="200"/>
        <w:rPr>
          <w:rFonts w:ascii="宋体" w:hAnsi="宋体"/>
          <w:b/>
          <w:bCs/>
          <w:szCs w:val="21"/>
        </w:rPr>
      </w:pPr>
      <w:r>
        <w:rPr>
          <w:rFonts w:hint="eastAsia" w:ascii="宋体" w:hAnsi="宋体"/>
          <w:b/>
          <w:bCs/>
          <w:szCs w:val="21"/>
        </w:rPr>
        <w:t>5、响应文件的澄清</w:t>
      </w:r>
    </w:p>
    <w:p w14:paraId="07744837">
      <w:pPr>
        <w:spacing w:line="360" w:lineRule="auto"/>
        <w:ind w:firstLine="420" w:firstLineChars="200"/>
        <w:rPr>
          <w:rFonts w:ascii="宋体" w:hAnsi="宋体"/>
          <w:szCs w:val="21"/>
        </w:rPr>
      </w:pPr>
      <w:r>
        <w:rPr>
          <w:rFonts w:hint="eastAsia" w:ascii="宋体" w:hAnsi="宋体"/>
          <w:szCs w:val="21"/>
        </w:rPr>
        <w:t>评审期间，对响应文件中含义不明确、同类问题表述不一致或者有明显文字和计算错误</w:t>
      </w:r>
      <w:r>
        <w:rPr>
          <w:rFonts w:hint="eastAsia" w:ascii="宋体" w:hAnsi="宋体"/>
          <w:szCs w:val="21"/>
          <w:lang w:eastAsia="zh-CN"/>
        </w:rPr>
        <w:t>。</w:t>
      </w:r>
      <w:r>
        <w:rPr>
          <w:rFonts w:hint="eastAsia" w:ascii="宋体" w:hAnsi="宋体"/>
          <w:szCs w:val="21"/>
        </w:rPr>
        <w:t>的内容，评审小组可以书面形式（应当由评审小组专家签字）要求供应商作出必要的澄清、说明或者纠正，但不得允许供应商对响应报价等实质性内容做任何更改。供应商的澄清、说明或者纠正应当采用书面形式，由其授权的代表签字，并不得超出响应文件的范围或者改变响应文件的实质性内容。有关澄清的答复均应由供应商的法定代表人或授权代表签名的书面形式作出。供应商的澄清文件是其响应文件的组成部分。</w:t>
      </w:r>
    </w:p>
    <w:p w14:paraId="5374CD2F">
      <w:pPr>
        <w:spacing w:line="360" w:lineRule="auto"/>
        <w:ind w:firstLine="422" w:firstLineChars="200"/>
      </w:pPr>
      <w:r>
        <w:rPr>
          <w:rFonts w:hint="eastAsia" w:ascii="宋体" w:hAnsi="宋体"/>
          <w:b/>
          <w:bCs/>
          <w:szCs w:val="21"/>
        </w:rPr>
        <w:t>6、</w:t>
      </w:r>
      <w:r>
        <w:rPr>
          <w:rFonts w:hint="eastAsia" w:ascii="宋体" w:hAnsi="宋体"/>
          <w:szCs w:val="21"/>
        </w:rPr>
        <w:t>评审专家按照总得分由高到低的顺序推荐中选人名单。排名第一的推荐为第一成交候选人。如果推荐的第一成交候选人向采购人来书面函退出或违反采购文件规定或不能履行合同的，则采购人视为该第一成交候选人放弃成交资格。则采购人在法律法规允许的情况下可按中选人排名顺序依次确定递补中选人资格，或重新组织采购。</w:t>
      </w:r>
    </w:p>
    <w:p w14:paraId="16F6BF7D">
      <w:pPr>
        <w:spacing w:before="380" w:after="140" w:line="288" w:lineRule="auto"/>
        <w:ind w:left="0"/>
        <w:jc w:val="center"/>
        <w:outlineLvl w:val="0"/>
        <w:rPr>
          <w:rFonts w:ascii="Arial" w:hAnsi="Arial" w:eastAsia="等线" w:cs="Arial"/>
          <w:b/>
          <w:sz w:val="36"/>
        </w:rPr>
      </w:pPr>
    </w:p>
    <w:p w14:paraId="465411DD">
      <w:pPr>
        <w:spacing w:before="380" w:after="140" w:line="288" w:lineRule="auto"/>
        <w:ind w:left="0"/>
        <w:jc w:val="center"/>
        <w:outlineLvl w:val="0"/>
        <w:rPr>
          <w:rFonts w:ascii="Arial" w:hAnsi="Arial" w:eastAsia="等线" w:cs="Arial"/>
          <w:b/>
          <w:sz w:val="36"/>
        </w:rPr>
      </w:pPr>
    </w:p>
    <w:p w14:paraId="1BF0C1D9">
      <w:pPr>
        <w:spacing w:before="380" w:after="140" w:line="288" w:lineRule="auto"/>
        <w:ind w:left="0"/>
        <w:jc w:val="center"/>
        <w:outlineLvl w:val="0"/>
        <w:rPr>
          <w:rFonts w:ascii="Arial" w:hAnsi="Arial" w:eastAsia="等线" w:cs="Arial"/>
          <w:b/>
          <w:sz w:val="36"/>
        </w:rPr>
      </w:pPr>
    </w:p>
    <w:p w14:paraId="5BC27EE8">
      <w:pPr>
        <w:spacing w:before="380" w:after="140" w:line="288" w:lineRule="auto"/>
        <w:ind w:left="0"/>
        <w:jc w:val="center"/>
        <w:outlineLvl w:val="0"/>
        <w:rPr>
          <w:rFonts w:ascii="Arial" w:hAnsi="Arial" w:eastAsia="等线" w:cs="Arial"/>
          <w:b/>
          <w:sz w:val="36"/>
        </w:rPr>
      </w:pPr>
    </w:p>
    <w:p w14:paraId="78B7A488">
      <w:pPr>
        <w:spacing w:before="380" w:after="140" w:line="288" w:lineRule="auto"/>
        <w:ind w:left="0"/>
        <w:jc w:val="both"/>
        <w:outlineLvl w:val="0"/>
        <w:rPr>
          <w:rFonts w:hint="eastAsia" w:asciiTheme="minorEastAsia" w:hAnsiTheme="minorEastAsia" w:eastAsiaTheme="minorEastAsia" w:cstheme="minorEastAsia"/>
          <w:b/>
          <w:sz w:val="30"/>
          <w:szCs w:val="30"/>
          <w:lang w:eastAsia="zh-CN"/>
        </w:rPr>
      </w:pPr>
      <w:r>
        <w:rPr>
          <w:rFonts w:hint="eastAsia" w:asciiTheme="minorEastAsia" w:hAnsiTheme="minorEastAsia" w:cstheme="minorEastAsia"/>
          <w:b/>
          <w:sz w:val="30"/>
          <w:szCs w:val="30"/>
          <w:lang w:eastAsia="zh-CN"/>
        </w:rPr>
        <w:t>附表：</w:t>
      </w:r>
    </w:p>
    <w:p w14:paraId="23FB6110">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outlineLvl w:val="0"/>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中山市黄圃人民医院 2026</w:t>
      </w:r>
      <w:r>
        <w:rPr>
          <w:rFonts w:hint="eastAsia" w:asciiTheme="minorEastAsia" w:hAnsiTheme="minorEastAsia" w:cstheme="minorEastAsia"/>
          <w:b/>
          <w:sz w:val="30"/>
          <w:szCs w:val="30"/>
          <w:lang w:eastAsia="zh-CN"/>
        </w:rPr>
        <w:t>年</w:t>
      </w:r>
      <w:r>
        <w:rPr>
          <w:rFonts w:hint="eastAsia" w:asciiTheme="minorEastAsia" w:hAnsiTheme="minorEastAsia" w:eastAsiaTheme="minorEastAsia" w:cstheme="minorEastAsia"/>
          <w:b/>
          <w:sz w:val="30"/>
          <w:szCs w:val="30"/>
        </w:rPr>
        <w:t>-2028 年门禁监控维保服务</w:t>
      </w:r>
    </w:p>
    <w:p w14:paraId="2A9AE339">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outlineLvl w:val="0"/>
        <w:rPr>
          <w:rFonts w:hint="eastAsia" w:asciiTheme="minorEastAsia" w:hAnsiTheme="minorEastAsia" w:eastAsiaTheme="minorEastAsia" w:cstheme="minorEastAsia"/>
          <w:sz w:val="30"/>
          <w:szCs w:val="30"/>
          <w:lang w:eastAsia="zh-CN"/>
        </w:rPr>
      </w:pPr>
      <w:r>
        <w:rPr>
          <w:rFonts w:hint="eastAsia" w:asciiTheme="minorEastAsia" w:hAnsiTheme="minorEastAsia" w:eastAsiaTheme="minorEastAsia" w:cstheme="minorEastAsia"/>
          <w:b/>
          <w:sz w:val="30"/>
          <w:szCs w:val="30"/>
        </w:rPr>
        <w:t>项目</w:t>
      </w:r>
      <w:bookmarkEnd w:id="0"/>
      <w:r>
        <w:rPr>
          <w:rFonts w:hint="eastAsia" w:asciiTheme="minorEastAsia" w:hAnsiTheme="minorEastAsia" w:eastAsiaTheme="minorEastAsia" w:cstheme="minorEastAsia"/>
          <w:b/>
          <w:sz w:val="30"/>
          <w:szCs w:val="30"/>
          <w:lang w:eastAsia="zh-CN"/>
        </w:rPr>
        <w:t>评分表</w:t>
      </w:r>
    </w:p>
    <w:p w14:paraId="1AEA8109">
      <w:pPr>
        <w:spacing w:before="380" w:after="140" w:line="288" w:lineRule="auto"/>
        <w:ind w:left="0"/>
        <w:jc w:val="left"/>
        <w:outlineLvl w:val="0"/>
        <w:rPr>
          <w:rFonts w:hint="eastAsia" w:asciiTheme="minorEastAsia" w:hAnsiTheme="minorEastAsia" w:eastAsiaTheme="minorEastAsia" w:cstheme="minorEastAsia"/>
          <w:b/>
          <w:sz w:val="28"/>
          <w:szCs w:val="28"/>
        </w:rPr>
      </w:pPr>
      <w:bookmarkStart w:id="1" w:name="heading_3"/>
      <w:r>
        <w:rPr>
          <w:rFonts w:hint="eastAsia" w:asciiTheme="minorEastAsia" w:hAnsiTheme="minorEastAsia" w:cstheme="minorEastAsia"/>
          <w:b/>
          <w:sz w:val="28"/>
          <w:szCs w:val="28"/>
          <w:lang w:eastAsia="zh-CN"/>
        </w:rPr>
        <w:t>一</w:t>
      </w:r>
      <w:r>
        <w:rPr>
          <w:rFonts w:hint="eastAsia" w:asciiTheme="minorEastAsia" w:hAnsiTheme="minorEastAsia" w:eastAsiaTheme="minorEastAsia" w:cstheme="minorEastAsia"/>
          <w:b/>
          <w:sz w:val="28"/>
          <w:szCs w:val="28"/>
        </w:rPr>
        <w:t>、商务</w:t>
      </w:r>
      <w:r>
        <w:rPr>
          <w:rFonts w:hint="eastAsia" w:asciiTheme="minorEastAsia" w:hAnsiTheme="minorEastAsia" w:cstheme="minorEastAsia"/>
          <w:b/>
          <w:sz w:val="28"/>
          <w:szCs w:val="28"/>
          <w:lang w:eastAsia="zh-CN"/>
        </w:rPr>
        <w:t>技术</w:t>
      </w:r>
      <w:r>
        <w:rPr>
          <w:rFonts w:hint="eastAsia" w:asciiTheme="minorEastAsia" w:hAnsiTheme="minorEastAsia" w:eastAsiaTheme="minorEastAsia" w:cstheme="minorEastAsia"/>
          <w:b/>
          <w:sz w:val="28"/>
          <w:szCs w:val="28"/>
        </w:rPr>
        <w:t>部分（</w:t>
      </w:r>
      <w:r>
        <w:rPr>
          <w:rFonts w:hint="eastAsia" w:asciiTheme="minorEastAsia" w:hAnsiTheme="minorEastAsia" w:cstheme="minorEastAsia"/>
          <w:b/>
          <w:sz w:val="28"/>
          <w:szCs w:val="28"/>
          <w:lang w:val="en-US" w:eastAsia="zh-CN"/>
        </w:rPr>
        <w:t>70</w:t>
      </w:r>
      <w:r>
        <w:rPr>
          <w:rFonts w:hint="eastAsia" w:asciiTheme="minorEastAsia" w:hAnsiTheme="minorEastAsia" w:eastAsiaTheme="minorEastAsia" w:cstheme="minorEastAsia"/>
          <w:b/>
          <w:sz w:val="28"/>
          <w:szCs w:val="28"/>
        </w:rPr>
        <w:t>分）</w:t>
      </w:r>
      <w:bookmarkEnd w:id="1"/>
    </w:p>
    <w:tbl>
      <w:tblPr>
        <w:tblStyle w:val="8"/>
        <w:tblW w:w="8295" w:type="dxa"/>
        <w:tblInd w:w="126"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8" w:type="dxa"/>
          <w:bottom w:w="0" w:type="dxa"/>
          <w:right w:w="108" w:type="dxa"/>
        </w:tblCellMar>
      </w:tblPr>
      <w:tblGrid>
        <w:gridCol w:w="1679"/>
        <w:gridCol w:w="5476"/>
        <w:gridCol w:w="1140"/>
      </w:tblGrid>
      <w:tr w14:paraId="6587AA6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8" w:type="dxa"/>
            <w:bottom w:w="0" w:type="dxa"/>
            <w:right w:w="108" w:type="dxa"/>
          </w:tblCellMar>
        </w:tblPrEx>
        <w:tc>
          <w:tcPr>
            <w:tcW w:w="167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0542F97">
            <w:pPr>
              <w:bidi w:val="0"/>
              <w:jc w:val="center"/>
              <w:rPr>
                <w:rFonts w:hint="eastAsia"/>
                <w:b/>
                <w:bCs/>
                <w:lang w:val="en-US" w:eastAsia="zh-CN"/>
              </w:rPr>
            </w:pPr>
            <w:r>
              <w:rPr>
                <w:rFonts w:hint="eastAsia"/>
                <w:b/>
                <w:bCs/>
                <w:lang w:val="en-US" w:eastAsia="zh-CN"/>
              </w:rPr>
              <w:t>评审项目</w:t>
            </w:r>
          </w:p>
        </w:tc>
        <w:tc>
          <w:tcPr>
            <w:tcW w:w="547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AF81397">
            <w:pPr>
              <w:bidi w:val="0"/>
              <w:jc w:val="center"/>
              <w:rPr>
                <w:rFonts w:hint="eastAsia"/>
                <w:b/>
                <w:bCs/>
                <w:lang w:val="en-US" w:eastAsia="zh-CN"/>
              </w:rPr>
            </w:pPr>
            <w:r>
              <w:rPr>
                <w:rFonts w:hint="eastAsia"/>
                <w:b/>
                <w:bCs/>
                <w:lang w:val="en-US" w:eastAsia="zh-CN"/>
              </w:rPr>
              <w:t>评分细则</w:t>
            </w:r>
          </w:p>
        </w:tc>
        <w:tc>
          <w:tcPr>
            <w:tcW w:w="114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75D6D57">
            <w:pPr>
              <w:bidi w:val="0"/>
              <w:jc w:val="center"/>
              <w:rPr>
                <w:rFonts w:hint="eastAsia"/>
                <w:b/>
                <w:bCs/>
                <w:lang w:val="en-US" w:eastAsia="zh-CN"/>
              </w:rPr>
            </w:pPr>
            <w:r>
              <w:rPr>
                <w:rFonts w:hint="eastAsia"/>
                <w:b/>
                <w:bCs/>
                <w:lang w:val="en-US" w:eastAsia="zh-CN"/>
              </w:rPr>
              <w:t>分值</w:t>
            </w:r>
          </w:p>
        </w:tc>
      </w:tr>
      <w:tr w14:paraId="40277A8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8" w:type="dxa"/>
            <w:bottom w:w="0" w:type="dxa"/>
            <w:right w:w="108" w:type="dxa"/>
          </w:tblCellMar>
        </w:tblPrEx>
        <w:tc>
          <w:tcPr>
            <w:tcW w:w="167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1828110">
            <w:pPr>
              <w:spacing w:before="120" w:after="120" w:line="288" w:lineRule="auto"/>
              <w:ind w:left="0"/>
              <w:jc w:val="both"/>
              <w:rPr>
                <w:rFonts w:hint="eastAsia" w:asciiTheme="minorEastAsia" w:hAnsiTheme="minorEastAsia" w:eastAsiaTheme="minorEastAsia" w:cstheme="minorEastAsia"/>
                <w:sz w:val="21"/>
                <w:szCs w:val="21"/>
                <w:lang w:val="zh-CN"/>
              </w:rPr>
            </w:pPr>
          </w:p>
          <w:p w14:paraId="7470E5C8">
            <w:pPr>
              <w:spacing w:before="120" w:after="120" w:line="288" w:lineRule="auto"/>
              <w:ind w:left="0"/>
              <w:jc w:val="center"/>
              <w:rPr>
                <w:rFonts w:hint="eastAsia" w:asciiTheme="minorEastAsia" w:hAnsiTheme="minorEastAsia" w:eastAsiaTheme="minorEastAsia" w:cstheme="minorEastAsia"/>
                <w:sz w:val="21"/>
                <w:szCs w:val="21"/>
                <w:lang w:val="zh-CN"/>
              </w:rPr>
            </w:pPr>
          </w:p>
          <w:p w14:paraId="0FB78EA5">
            <w:pPr>
              <w:spacing w:before="120" w:after="120" w:line="288" w:lineRule="auto"/>
              <w:ind w:left="0"/>
              <w:jc w:val="center"/>
              <w:rPr>
                <w:rFonts w:hint="eastAsia" w:asciiTheme="minorEastAsia" w:hAnsiTheme="minorEastAsia" w:eastAsiaTheme="minorEastAsia" w:cstheme="minorEastAsia"/>
                <w:sz w:val="21"/>
                <w:szCs w:val="21"/>
                <w:lang w:val="zh-CN"/>
              </w:rPr>
            </w:pPr>
            <w:r>
              <w:rPr>
                <w:rFonts w:hint="eastAsia" w:asciiTheme="minorEastAsia" w:hAnsiTheme="minorEastAsia" w:eastAsiaTheme="minorEastAsia" w:cstheme="minorEastAsia"/>
                <w:sz w:val="21"/>
                <w:szCs w:val="21"/>
                <w:lang w:val="zh-CN"/>
              </w:rPr>
              <w:t>同类项目业绩</w:t>
            </w:r>
          </w:p>
        </w:tc>
        <w:tc>
          <w:tcPr>
            <w:tcW w:w="547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1E6C86D">
            <w:pPr>
              <w:spacing w:before="120" w:after="120" w:line="288" w:lineRule="auto"/>
              <w:ind w:left="0"/>
              <w:jc w:val="left"/>
              <w:rPr>
                <w:rFonts w:hint="eastAsia" w:asciiTheme="minorEastAsia" w:hAnsiTheme="minorEastAsia" w:eastAsiaTheme="minorEastAsia" w:cstheme="minorEastAsia"/>
                <w:sz w:val="21"/>
                <w:szCs w:val="21"/>
                <w:lang w:val="zh-CN"/>
              </w:rPr>
            </w:pPr>
            <w:r>
              <w:rPr>
                <w:rFonts w:hint="eastAsia" w:ascii="宋体" w:hAnsi="宋体" w:cs="宋体"/>
                <w:szCs w:val="21"/>
                <w:lang w:bidi="ar"/>
              </w:rPr>
              <w:t>供应商自 202</w:t>
            </w:r>
            <w:r>
              <w:rPr>
                <w:rFonts w:hint="eastAsia" w:ascii="宋体" w:hAnsi="宋体" w:cs="宋体"/>
                <w:szCs w:val="21"/>
                <w:lang w:val="en-US" w:eastAsia="zh-CN" w:bidi="ar"/>
              </w:rPr>
              <w:t>3</w:t>
            </w:r>
            <w:r>
              <w:rPr>
                <w:rFonts w:hint="eastAsia" w:ascii="宋体" w:hAnsi="宋体" w:cs="宋体"/>
                <w:szCs w:val="21"/>
                <w:lang w:bidi="ar"/>
              </w:rPr>
              <w:t>年1月1日以来（以合同签订时间或供货单时间为准）</w:t>
            </w:r>
            <w:r>
              <w:rPr>
                <w:rFonts w:hint="eastAsia" w:ascii="宋体" w:hAnsi="宋体" w:cs="宋体"/>
                <w:color w:val="auto"/>
                <w:szCs w:val="21"/>
                <w:lang w:eastAsia="zh-CN" w:bidi="ar"/>
              </w:rPr>
              <w:t>签订</w:t>
            </w:r>
            <w:r>
              <w:rPr>
                <w:rFonts w:hint="eastAsia" w:ascii="宋体" w:hAnsi="宋体" w:cs="宋体"/>
                <w:szCs w:val="21"/>
                <w:lang w:bidi="ar"/>
              </w:rPr>
              <w:t>的所投项目（安防类）的业绩，相同购买方限1个业绩，每提供1个得</w:t>
            </w:r>
            <w:r>
              <w:rPr>
                <w:rFonts w:hint="eastAsia" w:ascii="宋体" w:hAnsi="宋体" w:cs="宋体"/>
                <w:szCs w:val="21"/>
                <w:lang w:val="en-US" w:eastAsia="zh-CN" w:bidi="ar"/>
              </w:rPr>
              <w:t>2</w:t>
            </w:r>
            <w:r>
              <w:rPr>
                <w:rFonts w:hint="eastAsia" w:ascii="宋体" w:hAnsi="宋体" w:cs="宋体"/>
                <w:szCs w:val="21"/>
                <w:lang w:bidi="ar"/>
              </w:rPr>
              <w:t>分，最高得</w:t>
            </w:r>
            <w:r>
              <w:rPr>
                <w:rFonts w:hint="eastAsia" w:ascii="宋体" w:hAnsi="宋体" w:cs="宋体"/>
                <w:szCs w:val="21"/>
                <w:lang w:val="en-US" w:eastAsia="zh-CN" w:bidi="ar"/>
              </w:rPr>
              <w:t>10</w:t>
            </w:r>
            <w:r>
              <w:rPr>
                <w:rFonts w:hint="eastAsia" w:ascii="宋体" w:hAnsi="宋体" w:cs="宋体"/>
                <w:szCs w:val="21"/>
                <w:lang w:bidi="ar"/>
              </w:rPr>
              <w:t>分。</w:t>
            </w:r>
            <w:r>
              <w:rPr>
                <w:rFonts w:hint="eastAsia" w:ascii="宋体" w:hAnsi="宋体" w:cs="宋体"/>
                <w:szCs w:val="21"/>
                <w:lang w:bidi="ar"/>
              </w:rPr>
              <w:br w:type="textWrapping"/>
            </w:r>
            <w:r>
              <w:rPr>
                <w:rFonts w:hint="eastAsia" w:ascii="宋体" w:hAnsi="宋体" w:cs="宋体"/>
                <w:szCs w:val="21"/>
                <w:lang w:bidi="ar"/>
              </w:rPr>
              <w:t>注：提供合同复印件</w:t>
            </w:r>
            <w:bookmarkStart w:id="4" w:name="_GoBack"/>
            <w:bookmarkEnd w:id="4"/>
            <w:r>
              <w:rPr>
                <w:rFonts w:hint="eastAsia" w:ascii="宋体" w:hAnsi="宋体" w:cs="宋体"/>
                <w:szCs w:val="21"/>
                <w:lang w:bidi="ar"/>
              </w:rPr>
              <w:t>或供货单复印件（加盖公章），未提供或未按要求提供相关证明材料的不得分。</w:t>
            </w:r>
          </w:p>
        </w:tc>
        <w:tc>
          <w:tcPr>
            <w:tcW w:w="114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BED80C0">
            <w:pPr>
              <w:spacing w:before="120" w:after="120" w:line="288" w:lineRule="auto"/>
              <w:ind w:left="0"/>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10</w:t>
            </w:r>
          </w:p>
        </w:tc>
      </w:tr>
      <w:tr w14:paraId="12EAA4D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8" w:type="dxa"/>
            <w:bottom w:w="0" w:type="dxa"/>
            <w:right w:w="108" w:type="dxa"/>
          </w:tblCellMar>
        </w:tblPrEx>
        <w:trPr>
          <w:trHeight w:val="4865" w:hRule="atLeast"/>
        </w:trPr>
        <w:tc>
          <w:tcPr>
            <w:tcW w:w="167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F25A5B8">
            <w:pPr>
              <w:spacing w:before="120" w:after="120" w:line="288" w:lineRule="auto"/>
              <w:ind w:left="0"/>
              <w:jc w:val="center"/>
              <w:rPr>
                <w:rFonts w:hint="eastAsia" w:asciiTheme="minorEastAsia" w:hAnsiTheme="minorEastAsia" w:eastAsiaTheme="minorEastAsia" w:cstheme="minorEastAsia"/>
                <w:sz w:val="21"/>
                <w:szCs w:val="21"/>
                <w:lang w:val="zh-CN"/>
              </w:rPr>
            </w:pPr>
          </w:p>
          <w:p w14:paraId="5E1E9C0D">
            <w:pPr>
              <w:spacing w:before="120" w:after="120" w:line="288" w:lineRule="auto"/>
              <w:ind w:left="0"/>
              <w:jc w:val="center"/>
              <w:rPr>
                <w:rFonts w:hint="eastAsia" w:asciiTheme="minorEastAsia" w:hAnsiTheme="minorEastAsia" w:eastAsiaTheme="minorEastAsia" w:cstheme="minorEastAsia"/>
                <w:sz w:val="21"/>
                <w:szCs w:val="21"/>
                <w:lang w:val="zh-CN"/>
              </w:rPr>
            </w:pPr>
          </w:p>
          <w:p w14:paraId="4FA15D89">
            <w:pPr>
              <w:spacing w:before="120" w:after="120" w:line="288" w:lineRule="auto"/>
              <w:ind w:left="0"/>
              <w:jc w:val="center"/>
              <w:rPr>
                <w:rFonts w:hint="eastAsia" w:asciiTheme="minorEastAsia" w:hAnsiTheme="minorEastAsia" w:cstheme="minorEastAsia"/>
                <w:sz w:val="21"/>
                <w:szCs w:val="21"/>
                <w:lang w:val="zh-CN" w:eastAsia="zh-CN"/>
              </w:rPr>
            </w:pPr>
          </w:p>
          <w:p w14:paraId="7F102661">
            <w:pPr>
              <w:spacing w:before="120" w:after="120" w:line="288" w:lineRule="auto"/>
              <w:ind w:left="0"/>
              <w:jc w:val="center"/>
              <w:rPr>
                <w:rFonts w:hint="eastAsia" w:asciiTheme="minorEastAsia" w:hAnsiTheme="minorEastAsia" w:eastAsiaTheme="minorEastAsia" w:cstheme="minorEastAsia"/>
                <w:sz w:val="21"/>
                <w:szCs w:val="21"/>
                <w:lang w:val="zh-CN" w:eastAsia="zh-CN"/>
              </w:rPr>
            </w:pPr>
            <w:r>
              <w:rPr>
                <w:rFonts w:hint="eastAsia" w:asciiTheme="minorEastAsia" w:hAnsiTheme="minorEastAsia" w:cstheme="minorEastAsia"/>
                <w:sz w:val="21"/>
                <w:szCs w:val="21"/>
                <w:lang w:val="zh-CN" w:eastAsia="zh-CN"/>
              </w:rPr>
              <w:t>维保人员要求</w:t>
            </w:r>
          </w:p>
        </w:tc>
        <w:tc>
          <w:tcPr>
            <w:tcW w:w="547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94353FC">
            <w:pPr>
              <w:spacing w:before="120" w:after="120" w:line="288" w:lineRule="auto"/>
              <w:ind w:left="0"/>
              <w:jc w:val="left"/>
              <w:rPr>
                <w:rFonts w:hint="eastAsia" w:asciiTheme="minorEastAsia" w:hAnsiTheme="minorEastAsia" w:eastAsiaTheme="minorEastAsia" w:cstheme="minorEastAsia"/>
                <w:sz w:val="21"/>
                <w:szCs w:val="21"/>
                <w:lang w:val="zh-CN"/>
              </w:rPr>
            </w:pPr>
            <w:r>
              <w:rPr>
                <w:rFonts w:hint="eastAsia" w:asciiTheme="minorEastAsia" w:hAnsiTheme="minorEastAsia" w:eastAsiaTheme="minorEastAsia" w:cstheme="minorEastAsia"/>
                <w:sz w:val="21"/>
                <w:szCs w:val="21"/>
                <w:lang w:val="zh-CN"/>
              </w:rPr>
              <w:t>供应商</w:t>
            </w:r>
            <w:r>
              <w:rPr>
                <w:rFonts w:hint="eastAsia" w:asciiTheme="minorEastAsia" w:hAnsiTheme="minorEastAsia" w:eastAsiaTheme="minorEastAsia" w:cstheme="minorEastAsia"/>
                <w:sz w:val="21"/>
                <w:szCs w:val="21"/>
                <w:lang w:val="en-US" w:eastAsia="zh-CN"/>
              </w:rPr>
              <w:t>持</w:t>
            </w:r>
            <w:r>
              <w:rPr>
                <w:rFonts w:hint="eastAsia" w:asciiTheme="minorEastAsia" w:hAnsiTheme="minorEastAsia" w:eastAsiaTheme="minorEastAsia" w:cstheme="minorEastAsia"/>
                <w:sz w:val="21"/>
                <w:szCs w:val="21"/>
                <w:lang w:val="zh-CN"/>
              </w:rPr>
              <w:t>有特种作业操作证（低压电工作业证、高空作业证）服务人员：双证同时</w:t>
            </w:r>
            <w:r>
              <w:rPr>
                <w:rFonts w:hint="eastAsia" w:asciiTheme="minorEastAsia" w:hAnsiTheme="minorEastAsia" w:eastAsiaTheme="minorEastAsia" w:cstheme="minorEastAsia"/>
                <w:sz w:val="21"/>
                <w:szCs w:val="21"/>
                <w:lang w:val="en-US" w:eastAsia="zh-CN"/>
              </w:rPr>
              <w:t>持</w:t>
            </w:r>
            <w:r>
              <w:rPr>
                <w:rFonts w:hint="eastAsia" w:asciiTheme="minorEastAsia" w:hAnsiTheme="minorEastAsia" w:eastAsiaTheme="minorEastAsia" w:cstheme="minorEastAsia"/>
                <w:sz w:val="21"/>
                <w:szCs w:val="21"/>
                <w:lang w:val="zh-CN"/>
              </w:rPr>
              <w:t>有每提供1名得4分；只持单证（低压电工作业证或高空作业证）每提供1名得</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lang w:val="zh-CN"/>
              </w:rPr>
              <w:t>分；本项最高得10分；</w:t>
            </w:r>
          </w:p>
          <w:p w14:paraId="194DA02D">
            <w:pPr>
              <w:spacing w:before="120" w:after="120" w:line="288" w:lineRule="auto"/>
              <w:ind w:left="0"/>
              <w:jc w:val="left"/>
              <w:rPr>
                <w:rFonts w:hint="eastAsia" w:asciiTheme="minorEastAsia" w:hAnsiTheme="minorEastAsia" w:eastAsiaTheme="minorEastAsia" w:cstheme="minorEastAsia"/>
                <w:sz w:val="21"/>
                <w:szCs w:val="21"/>
                <w:lang w:val="zh-CN"/>
              </w:rPr>
            </w:pPr>
            <w:r>
              <w:rPr>
                <w:rFonts w:hint="eastAsia" w:asciiTheme="minorEastAsia" w:hAnsiTheme="minorEastAsia" w:eastAsiaTheme="minorEastAsia" w:cstheme="minorEastAsia"/>
                <w:sz w:val="21"/>
                <w:szCs w:val="21"/>
                <w:lang w:val="zh-CN"/>
              </w:rPr>
              <w:t>注：（1）同一人员不得重复得分；(2)提供上述有效证件复印件（加盖公章）；（3）提供由供应商为其购买的响应截止时间前近3个月任意1个月的社保证明文件复印件并加盖公章。如果供应商未能提供社保证明文件复印件的，可在响应文件中提供相关承诺(格式自拟，承诺书内容包括但不限于以下内容:若我单位成交，合同签订时保证按响应文件中所配备的人员到位并提供以上拟派人员的社保证明文件或劳务合同，否则视为我单位放弃成交资格)，视为满足社保评审要求。未提供或未按上述要求提供相关证明材料的不得分。</w:t>
            </w:r>
          </w:p>
        </w:tc>
        <w:tc>
          <w:tcPr>
            <w:tcW w:w="114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8309BEF">
            <w:pPr>
              <w:spacing w:before="120" w:after="120" w:line="288" w:lineRule="auto"/>
              <w:ind w:left="0"/>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10</w:t>
            </w:r>
          </w:p>
        </w:tc>
      </w:tr>
      <w:tr w14:paraId="2FC82C1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8" w:type="dxa"/>
            <w:bottom w:w="0" w:type="dxa"/>
            <w:right w:w="108" w:type="dxa"/>
          </w:tblCellMar>
        </w:tblPrEx>
        <w:trPr>
          <w:trHeight w:val="1175" w:hRule="atLeast"/>
        </w:trPr>
        <w:tc>
          <w:tcPr>
            <w:tcW w:w="167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top"/>
          </w:tcPr>
          <w:p w14:paraId="7A65DDDD">
            <w:pPr>
              <w:spacing w:before="120" w:after="120" w:line="288" w:lineRule="auto"/>
              <w:ind w:left="0"/>
              <w:jc w:val="center"/>
              <w:rPr>
                <w:rFonts w:hint="eastAsia" w:asciiTheme="minorEastAsia" w:hAnsiTheme="minorEastAsia" w:eastAsiaTheme="minorEastAsia" w:cstheme="minorEastAsia"/>
                <w:sz w:val="21"/>
                <w:szCs w:val="21"/>
                <w:lang w:val="zh-CN"/>
              </w:rPr>
            </w:pPr>
            <w:bookmarkStart w:id="2" w:name="heading_4"/>
          </w:p>
          <w:p w14:paraId="0B25CB20">
            <w:pPr>
              <w:spacing w:before="120" w:after="120" w:line="288" w:lineRule="auto"/>
              <w:ind w:left="0"/>
              <w:jc w:val="center"/>
              <w:rPr>
                <w:rFonts w:hint="eastAsia" w:asciiTheme="minorEastAsia" w:hAnsiTheme="minorEastAsia" w:eastAsiaTheme="minorEastAsia" w:cstheme="minorEastAsia"/>
                <w:sz w:val="21"/>
                <w:szCs w:val="21"/>
                <w:lang w:val="zh-CN"/>
              </w:rPr>
            </w:pPr>
          </w:p>
          <w:p w14:paraId="578D0108">
            <w:pPr>
              <w:spacing w:before="120" w:after="120" w:line="288" w:lineRule="auto"/>
              <w:ind w:left="0"/>
              <w:jc w:val="center"/>
              <w:rPr>
                <w:rFonts w:hint="eastAsia" w:asciiTheme="minorEastAsia" w:hAnsiTheme="minorEastAsia" w:eastAsiaTheme="minorEastAsia" w:cstheme="minorEastAsia"/>
                <w:sz w:val="21"/>
                <w:szCs w:val="21"/>
                <w:lang w:val="zh-CN"/>
              </w:rPr>
            </w:pPr>
          </w:p>
          <w:p w14:paraId="29E333CA">
            <w:pPr>
              <w:spacing w:before="120" w:after="120" w:line="288" w:lineRule="auto"/>
              <w:ind w:left="0"/>
              <w:jc w:val="center"/>
              <w:rPr>
                <w:rFonts w:hint="eastAsia" w:asciiTheme="minorEastAsia" w:hAnsiTheme="minorEastAsia" w:eastAsiaTheme="minorEastAsia" w:cstheme="minorEastAsia"/>
                <w:sz w:val="21"/>
                <w:szCs w:val="21"/>
                <w:lang w:val="zh-CN"/>
              </w:rPr>
            </w:pPr>
          </w:p>
          <w:p w14:paraId="65A6AF93">
            <w:pPr>
              <w:spacing w:before="120" w:after="120" w:line="288" w:lineRule="auto"/>
              <w:ind w:left="0" w:leftChars="0"/>
              <w:jc w:val="center"/>
              <w:rPr>
                <w:rFonts w:hint="eastAsia" w:asciiTheme="minorEastAsia" w:hAnsiTheme="minorEastAsia" w:eastAsiaTheme="minorEastAsia" w:cstheme="minorEastAsia"/>
                <w:sz w:val="21"/>
                <w:szCs w:val="21"/>
                <w:lang w:val="zh-CN" w:eastAsia="zh-CN"/>
              </w:rPr>
            </w:pPr>
            <w:r>
              <w:rPr>
                <w:rFonts w:hint="eastAsia" w:asciiTheme="minorEastAsia" w:hAnsiTheme="minorEastAsia" w:eastAsiaTheme="minorEastAsia" w:cstheme="minorEastAsia"/>
                <w:sz w:val="21"/>
                <w:szCs w:val="21"/>
                <w:lang w:val="zh-CN"/>
              </w:rPr>
              <w:t>维保实施方案</w:t>
            </w:r>
          </w:p>
        </w:tc>
        <w:tc>
          <w:tcPr>
            <w:tcW w:w="547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top"/>
          </w:tcPr>
          <w:p w14:paraId="633B2AD3">
            <w:pPr>
              <w:spacing w:before="120" w:after="120" w:line="288" w:lineRule="auto"/>
              <w:ind w:left="0"/>
              <w:jc w:val="left"/>
              <w:rPr>
                <w:rFonts w:hint="eastAsia" w:asciiTheme="minorEastAsia" w:hAnsiTheme="minorEastAsia" w:eastAsiaTheme="minorEastAsia" w:cstheme="minorEastAsia"/>
                <w:sz w:val="21"/>
                <w:szCs w:val="21"/>
                <w:lang w:val="zh-CN"/>
              </w:rPr>
            </w:pPr>
            <w:r>
              <w:rPr>
                <w:rFonts w:hint="eastAsia" w:asciiTheme="minorEastAsia" w:hAnsiTheme="minorEastAsia" w:eastAsiaTheme="minorEastAsia" w:cstheme="minorEastAsia"/>
                <w:sz w:val="21"/>
                <w:szCs w:val="21"/>
                <w:lang w:val="zh-CN"/>
              </w:rPr>
              <w:t>依据</w:t>
            </w:r>
            <w:r>
              <w:rPr>
                <w:rFonts w:hint="eastAsia" w:asciiTheme="minorEastAsia" w:hAnsiTheme="minorEastAsia" w:cstheme="minorEastAsia"/>
                <w:sz w:val="21"/>
                <w:szCs w:val="21"/>
                <w:lang w:val="zh-CN"/>
              </w:rPr>
              <w:t>供应商</w:t>
            </w:r>
            <w:r>
              <w:rPr>
                <w:rFonts w:hint="eastAsia" w:asciiTheme="minorEastAsia" w:hAnsiTheme="minorEastAsia" w:eastAsiaTheme="minorEastAsia" w:cstheme="minorEastAsia"/>
                <w:sz w:val="21"/>
                <w:szCs w:val="21"/>
                <w:lang w:val="zh-CN"/>
              </w:rPr>
              <w:t>提交的全院区监控、门禁系统整体维保方案、日常巡检计划、季度及年度保养方案、设备检测方案、线路排查方案、台账管理制度等内容，从内容完整性、医院场景针对性、方案可落地性进行综合评分：</w:t>
            </w:r>
          </w:p>
          <w:p w14:paraId="12B879A7">
            <w:pPr>
              <w:spacing w:before="120" w:after="120" w:line="288" w:lineRule="auto"/>
              <w:ind w:left="0"/>
              <w:jc w:val="left"/>
              <w:rPr>
                <w:rFonts w:hint="eastAsia" w:asciiTheme="minorEastAsia" w:hAnsiTheme="minorEastAsia" w:eastAsiaTheme="minorEastAsia" w:cstheme="minorEastAsia"/>
                <w:sz w:val="21"/>
                <w:szCs w:val="21"/>
                <w:lang w:val="zh-CN"/>
              </w:rPr>
            </w:pPr>
            <w:r>
              <w:rPr>
                <w:rFonts w:hint="eastAsia" w:asciiTheme="minorEastAsia" w:hAnsiTheme="minorEastAsia" w:eastAsiaTheme="minorEastAsia" w:cstheme="minorEastAsia"/>
                <w:sz w:val="21"/>
                <w:szCs w:val="21"/>
                <w:lang w:val="zh-CN"/>
              </w:rPr>
              <w:t>1</w:t>
            </w:r>
            <w:r>
              <w:rPr>
                <w:rFonts w:hint="eastAsia" w:asciiTheme="minorEastAsia" w:hAnsiTheme="minorEastAsia" w:cstheme="minorEastAsia"/>
                <w:sz w:val="21"/>
                <w:szCs w:val="21"/>
                <w:lang w:val="zh-CN" w:eastAsia="zh-CN"/>
              </w:rPr>
              <w:t>.</w:t>
            </w:r>
            <w:r>
              <w:rPr>
                <w:rFonts w:hint="eastAsia" w:asciiTheme="minorEastAsia" w:hAnsiTheme="minorEastAsia" w:eastAsiaTheme="minorEastAsia" w:cstheme="minorEastAsia"/>
                <w:sz w:val="21"/>
                <w:szCs w:val="21"/>
                <w:lang w:val="zh-CN"/>
              </w:rPr>
              <w:t>方案完善、贴合医院实际场景，内容完整、针对性强、可落地性高</w:t>
            </w:r>
            <w:r>
              <w:rPr>
                <w:rFonts w:hint="eastAsia" w:asciiTheme="minorEastAsia" w:hAnsiTheme="minorEastAsia" w:cstheme="minorEastAsia"/>
                <w:sz w:val="21"/>
                <w:szCs w:val="21"/>
                <w:lang w:val="zh-CN"/>
              </w:rPr>
              <w:t>，</w:t>
            </w:r>
            <w:r>
              <w:rPr>
                <w:rFonts w:hint="eastAsia" w:ascii="宋体" w:hAnsi="宋体" w:eastAsia="宋体" w:cs="宋体"/>
                <w:bCs/>
                <w:color w:val="000000" w:themeColor="text1"/>
                <w:kern w:val="2"/>
                <w:sz w:val="21"/>
                <w:szCs w:val="21"/>
                <w:lang w:val="zh-CN" w:eastAsia="zh-CN" w:bidi="ar-SA"/>
              </w:rPr>
              <w:t>得</w:t>
            </w:r>
            <w:r>
              <w:rPr>
                <w:rFonts w:hint="eastAsia" w:ascii="宋体" w:hAnsi="宋体" w:eastAsia="宋体" w:cs="宋体"/>
                <w:bCs/>
                <w:color w:val="000000" w:themeColor="text1"/>
                <w:kern w:val="2"/>
                <w:sz w:val="21"/>
                <w:szCs w:val="21"/>
                <w:lang w:val="en-US" w:eastAsia="zh-CN" w:bidi="ar-SA"/>
              </w:rPr>
              <w:t>20</w:t>
            </w:r>
            <w:r>
              <w:rPr>
                <w:rFonts w:hint="eastAsia" w:ascii="宋体" w:hAnsi="宋体" w:eastAsia="宋体" w:cs="宋体"/>
                <w:bCs/>
                <w:color w:val="000000" w:themeColor="text1"/>
                <w:kern w:val="2"/>
                <w:sz w:val="21"/>
                <w:szCs w:val="21"/>
                <w:lang w:val="zh-CN" w:eastAsia="zh-CN" w:bidi="ar-SA"/>
              </w:rPr>
              <w:t>分</w:t>
            </w:r>
            <w:r>
              <w:rPr>
                <w:rFonts w:hint="eastAsia" w:asciiTheme="minorEastAsia" w:hAnsiTheme="minorEastAsia" w:cstheme="minorEastAsia"/>
                <w:sz w:val="21"/>
                <w:szCs w:val="21"/>
                <w:lang w:val="zh-CN"/>
              </w:rPr>
              <w:t>；</w:t>
            </w:r>
          </w:p>
          <w:p w14:paraId="612CC569">
            <w:pPr>
              <w:spacing w:before="120" w:after="120" w:line="288" w:lineRule="auto"/>
              <w:ind w:left="0"/>
              <w:jc w:val="left"/>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2.</w:t>
            </w:r>
            <w:r>
              <w:rPr>
                <w:rFonts w:hint="eastAsia" w:asciiTheme="minorEastAsia" w:hAnsiTheme="minorEastAsia" w:eastAsiaTheme="minorEastAsia" w:cstheme="minorEastAsia"/>
                <w:sz w:val="21"/>
                <w:szCs w:val="21"/>
                <w:lang w:val="zh-CN"/>
              </w:rPr>
              <w:t>方案</w:t>
            </w:r>
            <w:r>
              <w:rPr>
                <w:rFonts w:hint="eastAsia" w:asciiTheme="minorEastAsia" w:hAnsiTheme="minorEastAsia" w:cstheme="minorEastAsia"/>
                <w:sz w:val="21"/>
                <w:szCs w:val="21"/>
                <w:lang w:val="zh-CN"/>
              </w:rPr>
              <w:t>较</w:t>
            </w:r>
            <w:r>
              <w:rPr>
                <w:rFonts w:hint="eastAsia" w:asciiTheme="minorEastAsia" w:hAnsiTheme="minorEastAsia" w:eastAsiaTheme="minorEastAsia" w:cstheme="minorEastAsia"/>
                <w:sz w:val="21"/>
                <w:szCs w:val="21"/>
                <w:lang w:val="zh-CN"/>
              </w:rPr>
              <w:t>完善</w:t>
            </w:r>
            <w:r>
              <w:rPr>
                <w:rFonts w:hint="eastAsia" w:asciiTheme="minorEastAsia" w:hAnsiTheme="minorEastAsia" w:cstheme="minorEastAsia"/>
                <w:sz w:val="21"/>
                <w:szCs w:val="21"/>
                <w:lang w:val="zh-CN"/>
              </w:rPr>
              <w:t>及</w:t>
            </w:r>
            <w:r>
              <w:rPr>
                <w:rFonts w:hint="eastAsia" w:asciiTheme="minorEastAsia" w:hAnsiTheme="minorEastAsia" w:eastAsiaTheme="minorEastAsia" w:cstheme="minorEastAsia"/>
                <w:sz w:val="21"/>
                <w:szCs w:val="21"/>
                <w:lang w:val="zh-CN"/>
              </w:rPr>
              <w:t>贴合医院实际场景，内容</w:t>
            </w:r>
            <w:r>
              <w:rPr>
                <w:rFonts w:hint="eastAsia" w:asciiTheme="minorEastAsia" w:hAnsiTheme="minorEastAsia" w:cstheme="minorEastAsia"/>
                <w:sz w:val="21"/>
                <w:szCs w:val="21"/>
                <w:lang w:val="zh-CN"/>
              </w:rPr>
              <w:t>较</w:t>
            </w:r>
            <w:r>
              <w:rPr>
                <w:rFonts w:hint="eastAsia" w:asciiTheme="minorEastAsia" w:hAnsiTheme="minorEastAsia" w:eastAsiaTheme="minorEastAsia" w:cstheme="minorEastAsia"/>
                <w:sz w:val="21"/>
                <w:szCs w:val="21"/>
                <w:lang w:val="zh-CN"/>
              </w:rPr>
              <w:t>完整、针对性</w:t>
            </w:r>
            <w:r>
              <w:rPr>
                <w:rFonts w:hint="eastAsia" w:asciiTheme="minorEastAsia" w:hAnsiTheme="minorEastAsia" w:cstheme="minorEastAsia"/>
                <w:sz w:val="21"/>
                <w:szCs w:val="21"/>
                <w:lang w:val="zh-CN"/>
              </w:rPr>
              <w:t>较</w:t>
            </w:r>
            <w:r>
              <w:rPr>
                <w:rFonts w:hint="eastAsia" w:asciiTheme="minorEastAsia" w:hAnsiTheme="minorEastAsia" w:eastAsiaTheme="minorEastAsia" w:cstheme="minorEastAsia"/>
                <w:sz w:val="21"/>
                <w:szCs w:val="21"/>
                <w:lang w:val="zh-CN"/>
              </w:rPr>
              <w:t>强、可落地性</w:t>
            </w:r>
            <w:r>
              <w:rPr>
                <w:rFonts w:hint="eastAsia" w:asciiTheme="minorEastAsia" w:hAnsiTheme="minorEastAsia" w:cstheme="minorEastAsia"/>
                <w:sz w:val="21"/>
                <w:szCs w:val="21"/>
                <w:lang w:val="zh-CN"/>
              </w:rPr>
              <w:t>较</w:t>
            </w:r>
            <w:r>
              <w:rPr>
                <w:rFonts w:hint="eastAsia" w:asciiTheme="minorEastAsia" w:hAnsiTheme="minorEastAsia" w:eastAsiaTheme="minorEastAsia" w:cstheme="minorEastAsia"/>
                <w:sz w:val="21"/>
                <w:szCs w:val="21"/>
                <w:lang w:val="zh-CN"/>
              </w:rPr>
              <w:t>高</w:t>
            </w:r>
            <w:r>
              <w:rPr>
                <w:rFonts w:hint="eastAsia" w:asciiTheme="minorEastAsia" w:hAnsiTheme="minorEastAsia" w:cstheme="minorEastAsia"/>
                <w:sz w:val="21"/>
                <w:szCs w:val="21"/>
                <w:lang w:val="zh-CN"/>
              </w:rPr>
              <w:t>，</w:t>
            </w:r>
            <w:r>
              <w:rPr>
                <w:rFonts w:hint="eastAsia" w:ascii="宋体" w:hAnsi="宋体" w:eastAsia="宋体" w:cs="宋体"/>
                <w:bCs/>
                <w:color w:val="000000" w:themeColor="text1"/>
                <w:kern w:val="2"/>
                <w:sz w:val="21"/>
                <w:szCs w:val="21"/>
                <w:lang w:val="zh-CN" w:eastAsia="zh-CN" w:bidi="ar-SA"/>
              </w:rPr>
              <w:t>得</w:t>
            </w:r>
            <w:r>
              <w:rPr>
                <w:rFonts w:hint="eastAsia" w:ascii="宋体" w:hAnsi="宋体" w:eastAsia="宋体" w:cs="宋体"/>
                <w:bCs/>
                <w:color w:val="000000" w:themeColor="text1"/>
                <w:kern w:val="2"/>
                <w:sz w:val="21"/>
                <w:szCs w:val="21"/>
                <w:lang w:val="en-US" w:eastAsia="zh-CN" w:bidi="ar-SA"/>
              </w:rPr>
              <w:t>15</w:t>
            </w:r>
            <w:r>
              <w:rPr>
                <w:rFonts w:hint="eastAsia" w:ascii="宋体" w:hAnsi="宋体" w:eastAsia="宋体" w:cs="宋体"/>
                <w:bCs/>
                <w:color w:val="000000" w:themeColor="text1"/>
                <w:kern w:val="2"/>
                <w:sz w:val="21"/>
                <w:szCs w:val="21"/>
                <w:lang w:val="zh-CN" w:eastAsia="zh-CN" w:bidi="ar-SA"/>
              </w:rPr>
              <w:t>分</w:t>
            </w:r>
            <w:r>
              <w:rPr>
                <w:rFonts w:hint="eastAsia" w:asciiTheme="minorEastAsia" w:hAnsiTheme="minorEastAsia" w:cstheme="minorEastAsia"/>
                <w:sz w:val="21"/>
                <w:szCs w:val="21"/>
                <w:lang w:val="zh-CN"/>
              </w:rPr>
              <w:t>；</w:t>
            </w:r>
          </w:p>
          <w:p w14:paraId="3D531218">
            <w:pPr>
              <w:spacing w:before="120" w:after="120" w:line="288" w:lineRule="auto"/>
              <w:ind w:left="0"/>
              <w:jc w:val="left"/>
              <w:rPr>
                <w:rFonts w:hint="eastAsia" w:asciiTheme="minorEastAsia" w:hAnsiTheme="minorEastAsia" w:eastAsiaTheme="minorEastAsia" w:cstheme="minorEastAsia"/>
                <w:sz w:val="21"/>
                <w:szCs w:val="21"/>
                <w:lang w:val="zh-CN"/>
              </w:rPr>
            </w:pPr>
            <w:r>
              <w:rPr>
                <w:rFonts w:hint="eastAsia" w:asciiTheme="minorEastAsia" w:hAnsiTheme="minorEastAsia" w:cstheme="minorEastAsia"/>
                <w:sz w:val="21"/>
                <w:szCs w:val="21"/>
                <w:lang w:val="en-US" w:eastAsia="zh-CN"/>
              </w:rPr>
              <w:t>3</w:t>
            </w:r>
            <w:r>
              <w:rPr>
                <w:rFonts w:hint="eastAsia" w:asciiTheme="minorEastAsia" w:hAnsiTheme="minorEastAsia" w:cstheme="minorEastAsia"/>
                <w:sz w:val="21"/>
                <w:szCs w:val="21"/>
                <w:lang w:val="zh-CN"/>
              </w:rPr>
              <w:t>.</w:t>
            </w:r>
            <w:r>
              <w:rPr>
                <w:rFonts w:hint="eastAsia" w:asciiTheme="minorEastAsia" w:hAnsiTheme="minorEastAsia" w:eastAsiaTheme="minorEastAsia" w:cstheme="minorEastAsia"/>
                <w:sz w:val="21"/>
                <w:szCs w:val="21"/>
                <w:lang w:val="zh-CN"/>
              </w:rPr>
              <w:t>方案</w:t>
            </w:r>
            <w:r>
              <w:rPr>
                <w:rFonts w:hint="eastAsia" w:asciiTheme="minorEastAsia" w:hAnsiTheme="minorEastAsia" w:cstheme="minorEastAsia"/>
                <w:sz w:val="21"/>
                <w:szCs w:val="21"/>
                <w:lang w:val="zh-CN"/>
              </w:rPr>
              <w:t>内容一般</w:t>
            </w:r>
            <w:r>
              <w:rPr>
                <w:rFonts w:hint="eastAsia" w:asciiTheme="minorEastAsia" w:hAnsiTheme="minorEastAsia" w:eastAsiaTheme="minorEastAsia" w:cstheme="minorEastAsia"/>
                <w:sz w:val="21"/>
                <w:szCs w:val="21"/>
                <w:lang w:val="zh-CN"/>
              </w:rPr>
              <w:t>，针对性、可落地性</w:t>
            </w:r>
            <w:r>
              <w:rPr>
                <w:rFonts w:hint="eastAsia" w:asciiTheme="minorEastAsia" w:hAnsiTheme="minorEastAsia" w:cstheme="minorEastAsia"/>
                <w:sz w:val="21"/>
                <w:szCs w:val="21"/>
                <w:lang w:val="zh-CN"/>
              </w:rPr>
              <w:t>一般，</w:t>
            </w:r>
            <w:r>
              <w:rPr>
                <w:rFonts w:hint="eastAsia" w:ascii="宋体" w:hAnsi="宋体" w:eastAsia="宋体" w:cs="宋体"/>
                <w:bCs/>
                <w:color w:val="000000" w:themeColor="text1"/>
                <w:kern w:val="2"/>
                <w:sz w:val="21"/>
                <w:szCs w:val="21"/>
                <w:lang w:val="zh-CN" w:eastAsia="zh-CN" w:bidi="ar-SA"/>
              </w:rPr>
              <w:t>得</w:t>
            </w:r>
            <w:r>
              <w:rPr>
                <w:rFonts w:hint="eastAsia" w:ascii="宋体" w:hAnsi="宋体" w:eastAsia="宋体" w:cs="宋体"/>
                <w:bCs/>
                <w:color w:val="000000" w:themeColor="text1"/>
                <w:kern w:val="2"/>
                <w:sz w:val="21"/>
                <w:szCs w:val="21"/>
                <w:lang w:val="en-US" w:eastAsia="zh-CN" w:bidi="ar-SA"/>
              </w:rPr>
              <w:t>10</w:t>
            </w:r>
            <w:r>
              <w:rPr>
                <w:rFonts w:hint="eastAsia" w:ascii="宋体" w:hAnsi="宋体" w:eastAsia="宋体" w:cs="宋体"/>
                <w:bCs/>
                <w:color w:val="000000" w:themeColor="text1"/>
                <w:kern w:val="2"/>
                <w:sz w:val="21"/>
                <w:szCs w:val="21"/>
                <w:lang w:val="zh-CN" w:eastAsia="zh-CN" w:bidi="ar-SA"/>
              </w:rPr>
              <w:t>分；</w:t>
            </w:r>
            <w:r>
              <w:rPr>
                <w:rFonts w:hint="eastAsia" w:asciiTheme="minorEastAsia" w:hAnsiTheme="minorEastAsia" w:eastAsiaTheme="minorEastAsia" w:cstheme="minorEastAsia"/>
                <w:sz w:val="21"/>
                <w:szCs w:val="21"/>
                <w:lang w:val="zh-CN"/>
              </w:rPr>
              <w:t xml:space="preserve"> </w:t>
            </w:r>
          </w:p>
          <w:p w14:paraId="77E4353D">
            <w:pPr>
              <w:spacing w:before="120" w:after="120" w:line="288" w:lineRule="auto"/>
              <w:ind w:left="0"/>
              <w:jc w:val="left"/>
              <w:rPr>
                <w:rFonts w:hint="eastAsia" w:asciiTheme="minorEastAsia" w:hAnsiTheme="minorEastAsia" w:eastAsiaTheme="minorEastAsia" w:cstheme="minorEastAsia"/>
                <w:sz w:val="21"/>
                <w:szCs w:val="21"/>
                <w:lang w:val="zh-CN" w:eastAsia="zh-CN"/>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lang w:val="zh-CN"/>
              </w:rPr>
              <w:t>.方案简单、内容缺失较多、针对性弱、落地性差，</w:t>
            </w:r>
            <w:r>
              <w:rPr>
                <w:rFonts w:hint="eastAsia" w:asciiTheme="minorEastAsia" w:hAnsiTheme="minorEastAsia" w:eastAsiaTheme="minorEastAsia" w:cstheme="minorEastAsia"/>
                <w:sz w:val="21"/>
                <w:szCs w:val="21"/>
                <w:lang w:val="zh-CN" w:eastAsia="zh-CN"/>
              </w:rPr>
              <w:t>得</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lang w:val="zh-CN" w:eastAsia="zh-CN"/>
              </w:rPr>
              <w:t>分</w:t>
            </w:r>
            <w:r>
              <w:rPr>
                <w:rFonts w:hint="eastAsia" w:asciiTheme="minorEastAsia" w:hAnsiTheme="minorEastAsia" w:cstheme="minorEastAsia"/>
                <w:sz w:val="21"/>
                <w:szCs w:val="21"/>
                <w:lang w:val="zh-CN" w:eastAsia="zh-CN"/>
              </w:rPr>
              <w:t>；</w:t>
            </w:r>
          </w:p>
          <w:p w14:paraId="7B01C426">
            <w:pPr>
              <w:spacing w:before="120" w:after="120" w:line="288" w:lineRule="auto"/>
              <w:ind w:left="0"/>
              <w:jc w:val="left"/>
              <w:rPr>
                <w:rFonts w:hint="eastAsia" w:ascii="宋体" w:hAnsi="宋体" w:eastAsia="宋体" w:cs="宋体"/>
                <w:bCs/>
                <w:color w:val="000000" w:themeColor="text1"/>
                <w:kern w:val="2"/>
                <w:sz w:val="21"/>
                <w:szCs w:val="21"/>
                <w:lang w:val="zh-CN" w:eastAsia="zh-CN" w:bidi="ar-SA"/>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lang w:val="zh-CN" w:eastAsia="zh-CN"/>
              </w:rPr>
              <w:t>不提供不得分。</w:t>
            </w:r>
          </w:p>
        </w:tc>
        <w:tc>
          <w:tcPr>
            <w:tcW w:w="114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E215000">
            <w:pPr>
              <w:spacing w:before="120" w:after="120" w:line="288" w:lineRule="auto"/>
              <w:ind w:left="0" w:leftChars="0"/>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20</w:t>
            </w:r>
          </w:p>
        </w:tc>
      </w:tr>
      <w:tr w14:paraId="3C6D4B4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8" w:type="dxa"/>
            <w:bottom w:w="0" w:type="dxa"/>
            <w:right w:w="108" w:type="dxa"/>
          </w:tblCellMar>
        </w:tblPrEx>
        <w:trPr>
          <w:trHeight w:val="3616" w:hRule="atLeast"/>
        </w:trPr>
        <w:tc>
          <w:tcPr>
            <w:tcW w:w="167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top"/>
          </w:tcPr>
          <w:p w14:paraId="00DB1884">
            <w:pPr>
              <w:spacing w:before="120" w:after="120" w:line="288" w:lineRule="auto"/>
              <w:ind w:left="0"/>
              <w:jc w:val="left"/>
              <w:rPr>
                <w:rFonts w:hint="eastAsia" w:asciiTheme="minorEastAsia" w:hAnsiTheme="minorEastAsia" w:eastAsiaTheme="minorEastAsia" w:cstheme="minorEastAsia"/>
                <w:sz w:val="21"/>
                <w:szCs w:val="21"/>
                <w:lang w:val="zh-CN"/>
              </w:rPr>
            </w:pPr>
          </w:p>
          <w:p w14:paraId="0686CABC">
            <w:pPr>
              <w:spacing w:before="120" w:after="120" w:line="288" w:lineRule="auto"/>
              <w:ind w:left="0"/>
              <w:jc w:val="left"/>
              <w:rPr>
                <w:rFonts w:hint="eastAsia" w:asciiTheme="minorEastAsia" w:hAnsiTheme="minorEastAsia" w:eastAsiaTheme="minorEastAsia" w:cstheme="minorEastAsia"/>
                <w:sz w:val="21"/>
                <w:szCs w:val="21"/>
                <w:lang w:val="zh-CN"/>
              </w:rPr>
            </w:pPr>
          </w:p>
          <w:p w14:paraId="441341F2">
            <w:pPr>
              <w:spacing w:before="120" w:after="120" w:line="288" w:lineRule="auto"/>
              <w:ind w:left="0"/>
              <w:jc w:val="left"/>
              <w:rPr>
                <w:rFonts w:hint="eastAsia" w:asciiTheme="minorEastAsia" w:hAnsiTheme="minorEastAsia" w:eastAsiaTheme="minorEastAsia" w:cstheme="minorEastAsia"/>
                <w:sz w:val="21"/>
                <w:szCs w:val="21"/>
                <w:lang w:val="zh-CN"/>
              </w:rPr>
            </w:pPr>
          </w:p>
          <w:p w14:paraId="458FC83F">
            <w:pPr>
              <w:spacing w:before="120" w:after="120" w:line="288" w:lineRule="auto"/>
              <w:ind w:left="0" w:leftChars="0"/>
              <w:jc w:val="center"/>
              <w:rPr>
                <w:rFonts w:hint="eastAsia" w:asciiTheme="minorEastAsia" w:hAnsiTheme="minorEastAsia" w:eastAsiaTheme="minorEastAsia" w:cstheme="minorEastAsia"/>
                <w:sz w:val="21"/>
                <w:szCs w:val="21"/>
                <w:lang w:val="zh-CN"/>
              </w:rPr>
            </w:pPr>
            <w:r>
              <w:rPr>
                <w:rFonts w:hint="eastAsia" w:asciiTheme="minorEastAsia" w:hAnsiTheme="minorEastAsia" w:eastAsiaTheme="minorEastAsia" w:cstheme="minorEastAsia"/>
                <w:sz w:val="21"/>
                <w:szCs w:val="21"/>
                <w:lang w:val="zh-CN"/>
              </w:rPr>
              <w:t>应急服务方案</w:t>
            </w:r>
          </w:p>
        </w:tc>
        <w:tc>
          <w:tcPr>
            <w:tcW w:w="547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top"/>
          </w:tcPr>
          <w:p w14:paraId="446CD2B9">
            <w:pPr>
              <w:spacing w:before="120" w:after="120" w:line="288" w:lineRule="auto"/>
              <w:ind w:left="0"/>
              <w:jc w:val="left"/>
              <w:rPr>
                <w:rFonts w:hint="eastAsia" w:asciiTheme="minorEastAsia" w:hAnsiTheme="minorEastAsia" w:eastAsiaTheme="minorEastAsia" w:cstheme="minorEastAsia"/>
                <w:sz w:val="21"/>
                <w:szCs w:val="21"/>
                <w:lang w:val="zh-CN"/>
              </w:rPr>
            </w:pPr>
            <w:r>
              <w:rPr>
                <w:rFonts w:hint="eastAsia" w:asciiTheme="minorEastAsia" w:hAnsiTheme="minorEastAsia" w:eastAsiaTheme="minorEastAsia" w:cstheme="minorEastAsia"/>
                <w:sz w:val="21"/>
                <w:szCs w:val="21"/>
                <w:lang w:val="zh-CN"/>
              </w:rPr>
              <w:t>根据</w:t>
            </w:r>
            <w:r>
              <w:rPr>
                <w:rFonts w:hint="eastAsia" w:asciiTheme="minorEastAsia" w:hAnsiTheme="minorEastAsia" w:cstheme="minorEastAsia"/>
                <w:sz w:val="21"/>
                <w:szCs w:val="21"/>
                <w:lang w:val="zh-CN"/>
              </w:rPr>
              <w:t>供应商</w:t>
            </w:r>
            <w:r>
              <w:rPr>
                <w:rFonts w:hint="eastAsia" w:asciiTheme="minorEastAsia" w:hAnsiTheme="minorEastAsia" w:eastAsiaTheme="minorEastAsia" w:cstheme="minorEastAsia"/>
                <w:sz w:val="21"/>
                <w:szCs w:val="21"/>
                <w:lang w:val="zh-CN"/>
              </w:rPr>
              <w:t>提供的7×24小时值守机制、故障响应时效、到场处置流程、系统瘫痪应急处置、门禁故障专项处置、突发安保事件保障、节假日全天候保障等应急预案内容，从体系完整性、响应时效性、流程可行性、医院场景适配性综合打分，评分标准如下：</w:t>
            </w:r>
          </w:p>
          <w:p w14:paraId="2776D1C5">
            <w:pPr>
              <w:spacing w:before="120" w:after="120" w:line="288" w:lineRule="auto"/>
              <w:ind w:left="0"/>
              <w:jc w:val="left"/>
              <w:rPr>
                <w:rFonts w:hint="eastAsia" w:asciiTheme="minorEastAsia" w:hAnsiTheme="minorEastAsia" w:eastAsiaTheme="minorEastAsia" w:cstheme="minorEastAsia"/>
                <w:sz w:val="21"/>
                <w:szCs w:val="21"/>
                <w:lang w:val="zh-CN" w:eastAsia="zh-CN"/>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lang w:val="zh-CN"/>
              </w:rPr>
              <w:t>预案完善、响应及时、贴合医院实际场景，</w:t>
            </w:r>
            <w:r>
              <w:rPr>
                <w:rFonts w:hint="eastAsia" w:asciiTheme="minorEastAsia" w:hAnsiTheme="minorEastAsia" w:eastAsiaTheme="minorEastAsia" w:cstheme="minorEastAsia"/>
                <w:sz w:val="21"/>
                <w:szCs w:val="21"/>
                <w:lang w:val="zh-CN" w:eastAsia="zh-CN"/>
              </w:rPr>
              <w:t>得</w:t>
            </w:r>
            <w:r>
              <w:rPr>
                <w:rFonts w:hint="eastAsia" w:asciiTheme="minorEastAsia" w:hAnsiTheme="minorEastAsia" w:eastAsiaTheme="minorEastAsia" w:cstheme="minorEastAsia"/>
                <w:sz w:val="21"/>
                <w:szCs w:val="21"/>
                <w:lang w:val="en-US" w:eastAsia="zh-CN"/>
              </w:rPr>
              <w:t>15</w:t>
            </w:r>
            <w:r>
              <w:rPr>
                <w:rFonts w:hint="eastAsia" w:asciiTheme="minorEastAsia" w:hAnsiTheme="minorEastAsia" w:eastAsiaTheme="minorEastAsia" w:cstheme="minorEastAsia"/>
                <w:sz w:val="21"/>
                <w:szCs w:val="21"/>
                <w:lang w:val="zh-CN" w:eastAsia="zh-CN"/>
              </w:rPr>
              <w:t>分；</w:t>
            </w:r>
          </w:p>
          <w:p w14:paraId="68663685">
            <w:pPr>
              <w:spacing w:before="120" w:after="120" w:line="288" w:lineRule="auto"/>
              <w:ind w:left="0"/>
              <w:jc w:val="left"/>
              <w:rPr>
                <w:rFonts w:hint="eastAsia" w:asciiTheme="minorEastAsia" w:hAnsiTheme="minorEastAsia" w:eastAsiaTheme="minorEastAsia" w:cstheme="minorEastAsia"/>
                <w:sz w:val="21"/>
                <w:szCs w:val="21"/>
                <w:lang w:val="zh-CN"/>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lang w:val="zh-CN"/>
              </w:rPr>
              <w:t>预案基本齐全、具备常规保障能力，</w:t>
            </w:r>
            <w:r>
              <w:rPr>
                <w:rFonts w:hint="eastAsia" w:asciiTheme="minorEastAsia" w:hAnsiTheme="minorEastAsia" w:eastAsiaTheme="minorEastAsia" w:cstheme="minorEastAsia"/>
                <w:sz w:val="21"/>
                <w:szCs w:val="21"/>
                <w:lang w:val="zh-CN" w:eastAsia="zh-CN"/>
              </w:rPr>
              <w:t>得</w:t>
            </w: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lang w:val="zh-CN" w:eastAsia="zh-CN"/>
              </w:rPr>
              <w:t>分；</w:t>
            </w:r>
          </w:p>
          <w:p w14:paraId="1B58C7ED">
            <w:pPr>
              <w:spacing w:before="120" w:after="120" w:line="288" w:lineRule="auto"/>
              <w:ind w:left="0"/>
              <w:jc w:val="left"/>
              <w:rPr>
                <w:rFonts w:hint="eastAsia" w:asciiTheme="minorEastAsia" w:hAnsiTheme="minorEastAsia" w:eastAsiaTheme="minorEastAsia" w:cstheme="minorEastAsia"/>
                <w:sz w:val="21"/>
                <w:szCs w:val="21"/>
                <w:lang w:val="zh-CN" w:eastAsia="zh-CN"/>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lang w:val="zh-CN"/>
              </w:rPr>
              <w:t>预案不完善、关键内容缺失或可行性差，</w:t>
            </w:r>
            <w:r>
              <w:rPr>
                <w:rFonts w:hint="eastAsia" w:asciiTheme="minorEastAsia" w:hAnsiTheme="minorEastAsia" w:eastAsiaTheme="minorEastAsia" w:cstheme="minorEastAsia"/>
                <w:sz w:val="21"/>
                <w:szCs w:val="21"/>
                <w:lang w:val="zh-CN" w:eastAsia="zh-CN"/>
              </w:rPr>
              <w:t>得</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lang w:val="zh-CN" w:eastAsia="zh-CN"/>
              </w:rPr>
              <w:t>分。</w:t>
            </w:r>
          </w:p>
          <w:p w14:paraId="32BA6900">
            <w:pPr>
              <w:spacing w:before="120" w:after="120" w:line="288" w:lineRule="auto"/>
              <w:ind w:left="0"/>
              <w:jc w:val="left"/>
              <w:rPr>
                <w:rFonts w:hint="eastAsia" w:ascii="宋体" w:hAnsi="宋体" w:eastAsia="宋体" w:cs="宋体"/>
                <w:bCs/>
                <w:color w:val="000000" w:themeColor="text1"/>
                <w:kern w:val="2"/>
                <w:sz w:val="21"/>
                <w:szCs w:val="21"/>
                <w:lang w:val="en-US" w:eastAsia="zh-CN" w:bidi="ar-SA"/>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lang w:val="zh-CN" w:eastAsia="zh-CN"/>
              </w:rPr>
              <w:t>不提供不得分。</w:t>
            </w:r>
          </w:p>
        </w:tc>
        <w:tc>
          <w:tcPr>
            <w:tcW w:w="114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96CCAF6">
            <w:pPr>
              <w:spacing w:before="120" w:after="120" w:line="288" w:lineRule="auto"/>
              <w:ind w:left="0" w:leftChars="0"/>
              <w:jc w:val="center"/>
              <w:rPr>
                <w:rFonts w:hint="eastAsia" w:asciiTheme="minorEastAsia" w:hAnsiTheme="minorEastAsia" w:eastAsiaTheme="minorEastAsia" w:cstheme="minorEastAsia"/>
                <w:sz w:val="21"/>
                <w:szCs w:val="21"/>
                <w:lang w:val="zh-CN" w:eastAsia="zh-CN"/>
              </w:rPr>
            </w:pPr>
            <w:r>
              <w:rPr>
                <w:rFonts w:hint="eastAsia" w:asciiTheme="minorEastAsia" w:hAnsiTheme="minorEastAsia" w:eastAsiaTheme="minorEastAsia" w:cstheme="minorEastAsia"/>
                <w:sz w:val="21"/>
                <w:szCs w:val="21"/>
                <w:lang w:val="zh-CN"/>
              </w:rPr>
              <w:t>1</w:t>
            </w:r>
            <w:r>
              <w:rPr>
                <w:rFonts w:hint="eastAsia" w:asciiTheme="minorEastAsia" w:hAnsiTheme="minorEastAsia" w:cstheme="minorEastAsia"/>
                <w:sz w:val="21"/>
                <w:szCs w:val="21"/>
                <w:lang w:val="en-US" w:eastAsia="zh-CN"/>
              </w:rPr>
              <w:t>5</w:t>
            </w:r>
          </w:p>
        </w:tc>
      </w:tr>
      <w:tr w14:paraId="2F1A540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8" w:type="dxa"/>
            <w:bottom w:w="0" w:type="dxa"/>
            <w:right w:w="108" w:type="dxa"/>
          </w:tblCellMar>
        </w:tblPrEx>
        <w:tc>
          <w:tcPr>
            <w:tcW w:w="167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top"/>
          </w:tcPr>
          <w:p w14:paraId="10ED92DF">
            <w:pPr>
              <w:spacing w:before="120" w:after="120" w:line="288" w:lineRule="auto"/>
              <w:ind w:left="0"/>
              <w:jc w:val="left"/>
              <w:rPr>
                <w:rFonts w:hint="eastAsia" w:asciiTheme="minorEastAsia" w:hAnsiTheme="minorEastAsia" w:eastAsiaTheme="minorEastAsia" w:cstheme="minorEastAsia"/>
                <w:sz w:val="21"/>
                <w:szCs w:val="21"/>
                <w:lang w:val="zh-CN"/>
              </w:rPr>
            </w:pPr>
          </w:p>
          <w:p w14:paraId="53443C59">
            <w:pPr>
              <w:spacing w:before="120" w:after="120" w:line="288" w:lineRule="auto"/>
              <w:ind w:left="0" w:leftChars="0"/>
              <w:jc w:val="center"/>
              <w:rPr>
                <w:rFonts w:hint="eastAsia" w:asciiTheme="minorEastAsia" w:hAnsiTheme="minorEastAsia" w:cstheme="minorEastAsia"/>
                <w:sz w:val="21"/>
                <w:szCs w:val="21"/>
                <w:lang w:val="zh-CN" w:eastAsia="zh-CN"/>
              </w:rPr>
            </w:pPr>
          </w:p>
          <w:p w14:paraId="2C29F168">
            <w:pPr>
              <w:spacing w:before="120" w:after="120" w:line="288" w:lineRule="auto"/>
              <w:ind w:left="0" w:leftChars="0"/>
              <w:jc w:val="center"/>
              <w:rPr>
                <w:rFonts w:hint="eastAsia" w:asciiTheme="minorEastAsia" w:hAnsiTheme="minorEastAsia" w:cstheme="minorEastAsia"/>
                <w:sz w:val="21"/>
                <w:szCs w:val="21"/>
                <w:lang w:val="zh-CN" w:eastAsia="zh-CN"/>
              </w:rPr>
            </w:pPr>
          </w:p>
          <w:p w14:paraId="021EA066">
            <w:pPr>
              <w:spacing w:before="120" w:after="120" w:line="288" w:lineRule="auto"/>
              <w:ind w:left="0" w:leftChars="0"/>
              <w:jc w:val="center"/>
              <w:rPr>
                <w:rFonts w:hint="eastAsia" w:asciiTheme="minorEastAsia" w:hAnsiTheme="minorEastAsia" w:cstheme="minorEastAsia"/>
                <w:sz w:val="21"/>
                <w:szCs w:val="21"/>
                <w:lang w:val="zh-CN" w:eastAsia="zh-CN"/>
              </w:rPr>
            </w:pPr>
          </w:p>
          <w:p w14:paraId="081CF7E5">
            <w:pPr>
              <w:spacing w:before="120" w:after="120" w:line="288" w:lineRule="auto"/>
              <w:ind w:left="0" w:leftChars="0"/>
              <w:jc w:val="center"/>
              <w:rPr>
                <w:rFonts w:hint="eastAsia" w:asciiTheme="minorEastAsia" w:hAnsiTheme="minorEastAsia" w:eastAsiaTheme="minorEastAsia" w:cstheme="minorEastAsia"/>
                <w:sz w:val="21"/>
                <w:szCs w:val="21"/>
                <w:lang w:val="zh-CN" w:eastAsia="zh-CN"/>
              </w:rPr>
            </w:pPr>
            <w:r>
              <w:rPr>
                <w:rFonts w:hint="eastAsia" w:asciiTheme="minorEastAsia" w:hAnsiTheme="minorEastAsia" w:cstheme="minorEastAsia"/>
                <w:sz w:val="21"/>
                <w:szCs w:val="21"/>
                <w:lang w:val="zh-CN" w:eastAsia="zh-CN"/>
              </w:rPr>
              <w:t>保</w:t>
            </w:r>
            <w:r>
              <w:rPr>
                <w:rFonts w:hint="eastAsia" w:asciiTheme="minorEastAsia" w:hAnsiTheme="minorEastAsia" w:cstheme="minorEastAsia"/>
                <w:sz w:val="21"/>
                <w:szCs w:val="21"/>
                <w:lang w:val="zh-CN"/>
              </w:rPr>
              <w:t>修服务方案</w:t>
            </w:r>
          </w:p>
        </w:tc>
        <w:tc>
          <w:tcPr>
            <w:tcW w:w="547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top"/>
          </w:tcPr>
          <w:p w14:paraId="69830D1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Cs/>
                <w:color w:val="000000" w:themeColor="text1"/>
                <w:kern w:val="2"/>
                <w:sz w:val="21"/>
                <w:szCs w:val="21"/>
                <w:lang w:val="zh-CN" w:eastAsia="zh-CN" w:bidi="ar-SA"/>
              </w:rPr>
            </w:pPr>
            <w:r>
              <w:rPr>
                <w:rFonts w:hint="eastAsia" w:ascii="宋体" w:hAnsi="宋体" w:eastAsia="宋体" w:cs="宋体"/>
                <w:bCs/>
                <w:color w:val="000000" w:themeColor="text1"/>
                <w:kern w:val="2"/>
                <w:sz w:val="21"/>
                <w:szCs w:val="21"/>
                <w:lang w:val="zh-CN" w:eastAsia="zh-CN" w:bidi="ar-SA"/>
              </w:rPr>
              <w:t>根据</w:t>
            </w:r>
            <w:r>
              <w:rPr>
                <w:rFonts w:hint="eastAsia" w:ascii="宋体" w:hAnsi="宋体" w:eastAsia="宋体" w:cs="宋体"/>
                <w:i w:val="0"/>
                <w:iCs w:val="0"/>
                <w:caps w:val="0"/>
                <w:color w:val="auto"/>
                <w:spacing w:val="0"/>
                <w:kern w:val="0"/>
                <w:sz w:val="21"/>
                <w:szCs w:val="21"/>
                <w:highlight w:val="none"/>
                <w:shd w:val="clear" w:color="auto" w:fill="FFFFFF"/>
                <w:vertAlign w:val="baseline"/>
                <w:lang w:val="en-US" w:eastAsia="zh-CN" w:bidi="ar"/>
              </w:rPr>
              <w:t>供应商更换的设备及零部件</w:t>
            </w:r>
            <w:r>
              <w:rPr>
                <w:rFonts w:hint="eastAsia" w:ascii="宋体" w:hAnsi="宋体" w:eastAsia="宋体" w:cs="宋体"/>
                <w:bCs/>
                <w:color w:val="000000" w:themeColor="text1"/>
                <w:kern w:val="2"/>
                <w:sz w:val="21"/>
                <w:szCs w:val="21"/>
                <w:lang w:val="zh-CN" w:eastAsia="zh-CN" w:bidi="ar-SA"/>
              </w:rPr>
              <w:t>（包括但不限于</w:t>
            </w:r>
            <w:r>
              <w:rPr>
                <w:rFonts w:hint="eastAsia" w:ascii="宋体" w:hAnsi="宋体" w:cs="宋体"/>
                <w:bCs/>
                <w:color w:val="000000" w:themeColor="text1"/>
                <w:kern w:val="2"/>
                <w:sz w:val="21"/>
                <w:szCs w:val="21"/>
                <w:lang w:val="zh-CN" w:eastAsia="zh-CN" w:bidi="ar-SA"/>
              </w:rPr>
              <w:t>保修期、保修</w:t>
            </w:r>
            <w:r>
              <w:rPr>
                <w:rFonts w:hint="eastAsia" w:ascii="宋体" w:hAnsi="宋体" w:eastAsia="宋体" w:cs="宋体"/>
                <w:bCs/>
                <w:color w:val="000000" w:themeColor="text1"/>
                <w:kern w:val="2"/>
                <w:sz w:val="21"/>
                <w:szCs w:val="21"/>
                <w:lang w:val="zh-CN" w:eastAsia="zh-CN" w:bidi="ar-SA"/>
              </w:rPr>
              <w:t>期内产品维护措施）进行评审：</w:t>
            </w:r>
          </w:p>
          <w:p w14:paraId="79412F8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Cs/>
                <w:color w:val="000000" w:themeColor="text1"/>
                <w:kern w:val="2"/>
                <w:sz w:val="21"/>
                <w:szCs w:val="21"/>
                <w:lang w:val="zh-CN" w:eastAsia="zh-CN" w:bidi="ar-SA"/>
              </w:rPr>
            </w:pPr>
            <w:r>
              <w:rPr>
                <w:rFonts w:hint="eastAsia" w:ascii="宋体" w:hAnsi="宋体" w:eastAsia="宋体" w:cs="宋体"/>
                <w:bCs/>
                <w:color w:val="000000" w:themeColor="text1"/>
                <w:kern w:val="2"/>
                <w:sz w:val="21"/>
                <w:szCs w:val="21"/>
                <w:lang w:val="zh-CN" w:eastAsia="zh-CN" w:bidi="ar-SA"/>
              </w:rPr>
              <w:t>1.</w:t>
            </w:r>
            <w:r>
              <w:rPr>
                <w:rFonts w:hint="eastAsia" w:ascii="宋体" w:hAnsi="宋体" w:cs="宋体"/>
                <w:bCs/>
                <w:color w:val="000000" w:themeColor="text1"/>
                <w:kern w:val="2"/>
                <w:sz w:val="21"/>
                <w:szCs w:val="21"/>
                <w:lang w:val="zh-CN" w:eastAsia="zh-CN" w:bidi="ar-SA"/>
              </w:rPr>
              <w:t>保修期</w:t>
            </w:r>
            <w:r>
              <w:rPr>
                <w:rFonts w:hint="eastAsia" w:ascii="宋体" w:hAnsi="宋体" w:eastAsia="宋体" w:cs="宋体"/>
                <w:bCs/>
                <w:color w:val="000000" w:themeColor="text1"/>
                <w:kern w:val="2"/>
                <w:sz w:val="21"/>
                <w:szCs w:val="21"/>
                <w:lang w:val="zh-CN" w:eastAsia="zh-CN" w:bidi="ar-SA"/>
              </w:rPr>
              <w:t>优于采购文件要求，有详细的</w:t>
            </w:r>
            <w:r>
              <w:rPr>
                <w:rFonts w:hint="eastAsia" w:ascii="宋体" w:hAnsi="宋体" w:cs="宋体"/>
                <w:bCs/>
                <w:color w:val="000000" w:themeColor="text1"/>
                <w:kern w:val="2"/>
                <w:sz w:val="21"/>
                <w:szCs w:val="21"/>
                <w:lang w:val="zh-CN" w:eastAsia="zh-CN" w:bidi="ar-SA"/>
              </w:rPr>
              <w:t>保修</w:t>
            </w:r>
            <w:r>
              <w:rPr>
                <w:rFonts w:hint="eastAsia" w:ascii="宋体" w:hAnsi="宋体" w:eastAsia="宋体" w:cs="宋体"/>
                <w:bCs/>
                <w:color w:val="000000" w:themeColor="text1"/>
                <w:kern w:val="2"/>
                <w:sz w:val="21"/>
                <w:szCs w:val="21"/>
                <w:lang w:val="zh-CN" w:eastAsia="zh-CN" w:bidi="ar-SA"/>
              </w:rPr>
              <w:t>期内产品维护措施，针对性</w:t>
            </w:r>
            <w:r>
              <w:rPr>
                <w:rFonts w:hint="eastAsia" w:ascii="宋体" w:hAnsi="宋体" w:cs="宋体"/>
                <w:bCs/>
                <w:color w:val="000000" w:themeColor="text1"/>
                <w:kern w:val="2"/>
                <w:sz w:val="21"/>
                <w:szCs w:val="21"/>
                <w:lang w:val="zh-CN" w:eastAsia="zh-CN" w:bidi="ar-SA"/>
              </w:rPr>
              <w:t>强</w:t>
            </w:r>
            <w:r>
              <w:rPr>
                <w:rFonts w:hint="eastAsia" w:ascii="宋体" w:hAnsi="宋体" w:eastAsia="宋体" w:cs="宋体"/>
                <w:bCs/>
                <w:color w:val="000000" w:themeColor="text1"/>
                <w:kern w:val="2"/>
                <w:sz w:val="21"/>
                <w:szCs w:val="21"/>
                <w:lang w:val="zh-CN" w:eastAsia="zh-CN" w:bidi="ar-SA"/>
              </w:rPr>
              <w:t>，得</w:t>
            </w:r>
            <w:r>
              <w:rPr>
                <w:rFonts w:hint="eastAsia" w:ascii="宋体" w:hAnsi="宋体" w:eastAsia="宋体" w:cs="宋体"/>
                <w:bCs/>
                <w:color w:val="000000" w:themeColor="text1"/>
                <w:kern w:val="2"/>
                <w:sz w:val="21"/>
                <w:szCs w:val="21"/>
                <w:lang w:val="en-US" w:eastAsia="zh-CN" w:bidi="ar-SA"/>
              </w:rPr>
              <w:t>15</w:t>
            </w:r>
            <w:r>
              <w:rPr>
                <w:rFonts w:hint="eastAsia" w:ascii="宋体" w:hAnsi="宋体" w:eastAsia="宋体" w:cs="宋体"/>
                <w:bCs/>
                <w:color w:val="000000" w:themeColor="text1"/>
                <w:kern w:val="2"/>
                <w:sz w:val="21"/>
                <w:szCs w:val="21"/>
                <w:lang w:val="zh-CN" w:eastAsia="zh-CN" w:bidi="ar-SA"/>
              </w:rPr>
              <w:t>分</w:t>
            </w:r>
            <w:r>
              <w:rPr>
                <w:rFonts w:hint="eastAsia" w:ascii="宋体" w:hAnsi="宋体" w:cs="宋体"/>
                <w:bCs/>
                <w:color w:val="000000" w:themeColor="text1"/>
                <w:kern w:val="2"/>
                <w:sz w:val="21"/>
                <w:szCs w:val="21"/>
                <w:lang w:val="zh-CN" w:eastAsia="zh-CN" w:bidi="ar-SA"/>
              </w:rPr>
              <w:t>；</w:t>
            </w:r>
          </w:p>
          <w:p w14:paraId="4426D46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Cs/>
                <w:color w:val="000000" w:themeColor="text1"/>
                <w:kern w:val="2"/>
                <w:sz w:val="21"/>
                <w:szCs w:val="21"/>
                <w:lang w:val="zh-CN" w:eastAsia="zh-CN" w:bidi="ar-SA"/>
              </w:rPr>
            </w:pPr>
            <w:r>
              <w:rPr>
                <w:rFonts w:hint="eastAsia" w:ascii="宋体" w:hAnsi="宋体" w:eastAsia="宋体" w:cs="宋体"/>
                <w:bCs/>
                <w:color w:val="000000" w:themeColor="text1"/>
                <w:kern w:val="2"/>
                <w:sz w:val="21"/>
                <w:szCs w:val="21"/>
                <w:lang w:val="zh-CN" w:eastAsia="zh-CN" w:bidi="ar-SA"/>
              </w:rPr>
              <w:t>2.</w:t>
            </w:r>
            <w:r>
              <w:rPr>
                <w:rFonts w:hint="eastAsia" w:ascii="宋体" w:hAnsi="宋体" w:cs="宋体"/>
                <w:bCs/>
                <w:color w:val="000000" w:themeColor="text1"/>
                <w:kern w:val="2"/>
                <w:sz w:val="21"/>
                <w:szCs w:val="21"/>
                <w:lang w:val="zh-CN" w:eastAsia="zh-CN" w:bidi="ar-SA"/>
              </w:rPr>
              <w:t>保修期</w:t>
            </w:r>
            <w:r>
              <w:rPr>
                <w:rFonts w:hint="eastAsia" w:ascii="宋体" w:hAnsi="宋体" w:eastAsia="宋体" w:cs="宋体"/>
                <w:bCs/>
                <w:color w:val="000000" w:themeColor="text1"/>
                <w:kern w:val="2"/>
                <w:sz w:val="21"/>
                <w:szCs w:val="21"/>
                <w:lang w:val="zh-CN" w:eastAsia="zh-CN" w:bidi="ar-SA"/>
              </w:rPr>
              <w:t>满足采购文件要求，有</w:t>
            </w:r>
            <w:r>
              <w:rPr>
                <w:rFonts w:hint="eastAsia" w:ascii="宋体" w:hAnsi="宋体" w:cs="宋体"/>
                <w:bCs/>
                <w:color w:val="000000" w:themeColor="text1"/>
                <w:kern w:val="2"/>
                <w:sz w:val="21"/>
                <w:szCs w:val="21"/>
                <w:lang w:val="zh-CN" w:eastAsia="zh-CN" w:bidi="ar-SA"/>
              </w:rPr>
              <w:t>较详细</w:t>
            </w:r>
            <w:r>
              <w:rPr>
                <w:rFonts w:hint="eastAsia" w:ascii="宋体" w:hAnsi="宋体" w:eastAsia="宋体" w:cs="宋体"/>
                <w:bCs/>
                <w:color w:val="000000" w:themeColor="text1"/>
                <w:kern w:val="2"/>
                <w:sz w:val="21"/>
                <w:szCs w:val="21"/>
                <w:lang w:val="zh-CN" w:eastAsia="zh-CN" w:bidi="ar-SA"/>
              </w:rPr>
              <w:t>的</w:t>
            </w:r>
            <w:r>
              <w:rPr>
                <w:rFonts w:hint="eastAsia" w:ascii="宋体" w:hAnsi="宋体" w:cs="宋体"/>
                <w:bCs/>
                <w:color w:val="000000" w:themeColor="text1"/>
                <w:kern w:val="2"/>
                <w:sz w:val="21"/>
                <w:szCs w:val="21"/>
                <w:lang w:val="zh-CN" w:eastAsia="zh-CN" w:bidi="ar-SA"/>
              </w:rPr>
              <w:t>保修</w:t>
            </w:r>
            <w:r>
              <w:rPr>
                <w:rFonts w:hint="eastAsia" w:ascii="宋体" w:hAnsi="宋体" w:eastAsia="宋体" w:cs="宋体"/>
                <w:bCs/>
                <w:color w:val="000000" w:themeColor="text1"/>
                <w:kern w:val="2"/>
                <w:sz w:val="21"/>
                <w:szCs w:val="21"/>
                <w:lang w:val="zh-CN" w:eastAsia="zh-CN" w:bidi="ar-SA"/>
              </w:rPr>
              <w:t>期内产品维护措施，有</w:t>
            </w:r>
            <w:r>
              <w:rPr>
                <w:rFonts w:hint="eastAsia" w:ascii="宋体" w:hAnsi="宋体" w:cs="宋体"/>
                <w:bCs/>
                <w:color w:val="000000" w:themeColor="text1"/>
                <w:kern w:val="2"/>
                <w:sz w:val="21"/>
                <w:szCs w:val="21"/>
                <w:lang w:val="zh-CN" w:eastAsia="zh-CN" w:bidi="ar-SA"/>
              </w:rPr>
              <w:t>较好</w:t>
            </w:r>
            <w:r>
              <w:rPr>
                <w:rFonts w:hint="eastAsia" w:ascii="宋体" w:hAnsi="宋体" w:eastAsia="宋体" w:cs="宋体"/>
                <w:bCs/>
                <w:color w:val="000000" w:themeColor="text1"/>
                <w:kern w:val="2"/>
                <w:sz w:val="21"/>
                <w:szCs w:val="21"/>
                <w:lang w:val="zh-CN" w:eastAsia="zh-CN" w:bidi="ar-SA"/>
              </w:rPr>
              <w:t>的针对性，得</w:t>
            </w:r>
            <w:r>
              <w:rPr>
                <w:rFonts w:hint="eastAsia" w:ascii="宋体" w:hAnsi="宋体" w:cs="宋体"/>
                <w:bCs/>
                <w:color w:val="000000" w:themeColor="text1"/>
                <w:kern w:val="2"/>
                <w:sz w:val="21"/>
                <w:szCs w:val="21"/>
                <w:lang w:val="en-US" w:eastAsia="zh-CN" w:bidi="ar-SA"/>
              </w:rPr>
              <w:t>10</w:t>
            </w:r>
            <w:r>
              <w:rPr>
                <w:rFonts w:hint="eastAsia" w:ascii="宋体" w:hAnsi="宋体" w:eastAsia="宋体" w:cs="宋体"/>
                <w:bCs/>
                <w:color w:val="000000" w:themeColor="text1"/>
                <w:kern w:val="2"/>
                <w:sz w:val="21"/>
                <w:szCs w:val="21"/>
                <w:lang w:val="zh-CN" w:eastAsia="zh-CN" w:bidi="ar-SA"/>
              </w:rPr>
              <w:t>分</w:t>
            </w:r>
            <w:r>
              <w:rPr>
                <w:rFonts w:hint="eastAsia" w:ascii="宋体" w:hAnsi="宋体" w:cs="宋体"/>
                <w:bCs/>
                <w:color w:val="000000" w:themeColor="text1"/>
                <w:kern w:val="2"/>
                <w:sz w:val="21"/>
                <w:szCs w:val="21"/>
                <w:lang w:val="zh-CN" w:eastAsia="zh-CN" w:bidi="ar-SA"/>
              </w:rPr>
              <w:t>；</w:t>
            </w:r>
          </w:p>
          <w:p w14:paraId="5025308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Cs/>
                <w:color w:val="000000" w:themeColor="text1"/>
                <w:kern w:val="2"/>
                <w:sz w:val="21"/>
                <w:szCs w:val="21"/>
                <w:lang w:val="zh-CN" w:eastAsia="zh-CN" w:bidi="ar-SA"/>
              </w:rPr>
            </w:pPr>
            <w:r>
              <w:rPr>
                <w:rFonts w:hint="eastAsia" w:ascii="宋体" w:hAnsi="宋体" w:eastAsia="宋体" w:cs="宋体"/>
                <w:bCs/>
                <w:color w:val="000000" w:themeColor="text1"/>
                <w:kern w:val="2"/>
                <w:sz w:val="21"/>
                <w:szCs w:val="21"/>
                <w:lang w:val="zh-CN" w:eastAsia="zh-CN" w:bidi="ar-SA"/>
              </w:rPr>
              <w:t>3.</w:t>
            </w:r>
            <w:r>
              <w:rPr>
                <w:rFonts w:hint="eastAsia" w:ascii="宋体" w:hAnsi="宋体" w:cs="宋体"/>
                <w:bCs/>
                <w:color w:val="000000" w:themeColor="text1"/>
                <w:kern w:val="2"/>
                <w:sz w:val="21"/>
                <w:szCs w:val="21"/>
                <w:lang w:val="zh-CN" w:eastAsia="zh-CN" w:bidi="ar-SA"/>
              </w:rPr>
              <w:t>保修期</w:t>
            </w:r>
            <w:r>
              <w:rPr>
                <w:rFonts w:hint="eastAsia" w:ascii="宋体" w:hAnsi="宋体" w:eastAsia="宋体" w:cs="宋体"/>
                <w:bCs/>
                <w:color w:val="000000" w:themeColor="text1"/>
                <w:kern w:val="2"/>
                <w:sz w:val="21"/>
                <w:szCs w:val="21"/>
                <w:lang w:val="zh-CN" w:eastAsia="zh-CN" w:bidi="ar-SA"/>
              </w:rPr>
              <w:t>不能满足采购文件要求，提供的</w:t>
            </w:r>
            <w:r>
              <w:rPr>
                <w:rFonts w:hint="eastAsia" w:ascii="宋体" w:hAnsi="宋体" w:cs="宋体"/>
                <w:bCs/>
                <w:color w:val="000000" w:themeColor="text1"/>
                <w:kern w:val="2"/>
                <w:sz w:val="21"/>
                <w:szCs w:val="21"/>
                <w:lang w:val="zh-CN" w:eastAsia="zh-CN" w:bidi="ar-SA"/>
              </w:rPr>
              <w:t>保修</w:t>
            </w:r>
            <w:r>
              <w:rPr>
                <w:rFonts w:hint="eastAsia" w:ascii="宋体" w:hAnsi="宋体" w:eastAsia="宋体" w:cs="宋体"/>
                <w:bCs/>
                <w:color w:val="000000" w:themeColor="text1"/>
                <w:kern w:val="2"/>
                <w:sz w:val="21"/>
                <w:szCs w:val="21"/>
                <w:lang w:val="zh-CN" w:eastAsia="zh-CN" w:bidi="ar-SA"/>
              </w:rPr>
              <w:t>期内产品维护措施</w:t>
            </w:r>
            <w:r>
              <w:rPr>
                <w:rFonts w:hint="eastAsia" w:ascii="宋体" w:hAnsi="宋体" w:cs="宋体"/>
                <w:bCs/>
                <w:color w:val="000000" w:themeColor="text1"/>
                <w:kern w:val="2"/>
                <w:sz w:val="21"/>
                <w:szCs w:val="21"/>
                <w:lang w:val="zh-CN" w:eastAsia="zh-CN" w:bidi="ar-SA"/>
              </w:rPr>
              <w:t>一般</w:t>
            </w:r>
            <w:r>
              <w:rPr>
                <w:rFonts w:hint="eastAsia" w:ascii="宋体" w:hAnsi="宋体" w:eastAsia="宋体" w:cs="宋体"/>
                <w:bCs/>
                <w:color w:val="000000" w:themeColor="text1"/>
                <w:kern w:val="2"/>
                <w:sz w:val="21"/>
                <w:szCs w:val="21"/>
                <w:lang w:val="zh-CN" w:eastAsia="zh-CN" w:bidi="ar-SA"/>
              </w:rPr>
              <w:t>，应用性、针对性</w:t>
            </w:r>
            <w:r>
              <w:rPr>
                <w:rFonts w:hint="eastAsia" w:ascii="宋体" w:hAnsi="宋体" w:cs="宋体"/>
                <w:bCs/>
                <w:color w:val="000000" w:themeColor="text1"/>
                <w:kern w:val="2"/>
                <w:sz w:val="21"/>
                <w:szCs w:val="21"/>
                <w:lang w:val="zh-CN" w:eastAsia="zh-CN" w:bidi="ar-SA"/>
              </w:rPr>
              <w:t>一般</w:t>
            </w:r>
            <w:r>
              <w:rPr>
                <w:rFonts w:hint="eastAsia" w:ascii="宋体" w:hAnsi="宋体" w:eastAsia="宋体" w:cs="宋体"/>
                <w:bCs/>
                <w:color w:val="000000" w:themeColor="text1"/>
                <w:kern w:val="2"/>
                <w:sz w:val="21"/>
                <w:szCs w:val="21"/>
                <w:lang w:val="zh-CN" w:eastAsia="zh-CN" w:bidi="ar-SA"/>
              </w:rPr>
              <w:t>，得</w:t>
            </w:r>
            <w:r>
              <w:rPr>
                <w:rFonts w:hint="eastAsia" w:ascii="宋体" w:hAnsi="宋体" w:eastAsia="宋体" w:cs="宋体"/>
                <w:bCs/>
                <w:color w:val="000000" w:themeColor="text1"/>
                <w:kern w:val="2"/>
                <w:sz w:val="21"/>
                <w:szCs w:val="21"/>
                <w:lang w:val="en-US" w:eastAsia="zh-CN" w:bidi="ar-SA"/>
              </w:rPr>
              <w:t>5</w:t>
            </w:r>
            <w:r>
              <w:rPr>
                <w:rFonts w:hint="eastAsia" w:ascii="宋体" w:hAnsi="宋体" w:eastAsia="宋体" w:cs="宋体"/>
                <w:bCs/>
                <w:color w:val="000000" w:themeColor="text1"/>
                <w:kern w:val="2"/>
                <w:sz w:val="21"/>
                <w:szCs w:val="21"/>
                <w:lang w:val="zh-CN" w:eastAsia="zh-CN" w:bidi="ar-SA"/>
              </w:rPr>
              <w:t>分</w:t>
            </w:r>
            <w:r>
              <w:rPr>
                <w:rFonts w:hint="eastAsia" w:ascii="宋体" w:hAnsi="宋体" w:cs="宋体"/>
                <w:bCs/>
                <w:color w:val="000000" w:themeColor="text1"/>
                <w:kern w:val="2"/>
                <w:sz w:val="21"/>
                <w:szCs w:val="21"/>
                <w:lang w:val="zh-CN" w:eastAsia="zh-CN" w:bidi="ar-SA"/>
              </w:rPr>
              <w:t>；</w:t>
            </w:r>
          </w:p>
          <w:p w14:paraId="53C797C8">
            <w:pPr>
              <w:pStyle w:val="3"/>
              <w:rPr>
                <w:rFonts w:hint="eastAsia" w:asciiTheme="minorEastAsia" w:hAnsiTheme="minorEastAsia" w:eastAsiaTheme="minorEastAsia" w:cstheme="minorEastAsia"/>
                <w:sz w:val="21"/>
                <w:szCs w:val="21"/>
                <w:lang w:val="en-US" w:eastAsia="zh-CN"/>
              </w:rPr>
            </w:pPr>
            <w:r>
              <w:rPr>
                <w:rFonts w:hint="eastAsia"/>
                <w:lang w:val="en-US" w:eastAsia="zh-CN"/>
              </w:rPr>
              <w:t>4.</w:t>
            </w:r>
            <w:r>
              <w:rPr>
                <w:rFonts w:hint="eastAsia" w:ascii="宋体" w:hAnsi="宋体" w:eastAsia="宋体" w:cs="宋体"/>
                <w:bCs/>
                <w:color w:val="000000" w:themeColor="text1"/>
                <w:kern w:val="2"/>
                <w:sz w:val="21"/>
                <w:szCs w:val="21"/>
                <w:lang w:val="zh-CN" w:eastAsia="zh-CN" w:bidi="ar-SA"/>
              </w:rPr>
              <w:t>不提供不得分。</w:t>
            </w:r>
          </w:p>
        </w:tc>
        <w:tc>
          <w:tcPr>
            <w:tcW w:w="114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8A2D9B7">
            <w:pPr>
              <w:spacing w:before="120" w:after="120" w:line="288" w:lineRule="auto"/>
              <w:ind w:left="0" w:leftChars="0"/>
              <w:jc w:val="center"/>
              <w:rPr>
                <w:rFonts w:hint="eastAsia" w:asciiTheme="minorEastAsia" w:hAnsiTheme="minorEastAsia" w:eastAsiaTheme="minorEastAsia" w:cstheme="minorEastAsia"/>
                <w:sz w:val="21"/>
                <w:szCs w:val="21"/>
                <w:lang w:val="zh-CN" w:eastAsia="zh-CN"/>
              </w:rPr>
            </w:pPr>
            <w:r>
              <w:rPr>
                <w:rFonts w:hint="eastAsia" w:asciiTheme="minorEastAsia" w:hAnsiTheme="minorEastAsia" w:eastAsiaTheme="minorEastAsia" w:cstheme="minorEastAsia"/>
                <w:sz w:val="21"/>
                <w:szCs w:val="21"/>
                <w:lang w:val="zh-CN"/>
              </w:rPr>
              <w:t>1</w:t>
            </w:r>
            <w:r>
              <w:rPr>
                <w:rFonts w:hint="eastAsia" w:asciiTheme="minorEastAsia" w:hAnsiTheme="minorEastAsia" w:cstheme="minorEastAsia"/>
                <w:sz w:val="21"/>
                <w:szCs w:val="21"/>
                <w:lang w:val="en-US" w:eastAsia="zh-CN"/>
              </w:rPr>
              <w:t>5</w:t>
            </w:r>
          </w:p>
        </w:tc>
      </w:tr>
      <w:bookmarkEnd w:id="2"/>
    </w:tbl>
    <w:p w14:paraId="013E75AF">
      <w:pPr>
        <w:spacing w:before="320" w:after="120" w:line="288" w:lineRule="auto"/>
        <w:ind w:left="0"/>
        <w:jc w:val="left"/>
        <w:outlineLvl w:val="1"/>
        <w:rPr>
          <w:rFonts w:hint="eastAsia" w:asciiTheme="minorEastAsia" w:hAnsiTheme="minorEastAsia" w:eastAsiaTheme="minorEastAsia" w:cstheme="minorEastAsia"/>
          <w:sz w:val="28"/>
          <w:szCs w:val="28"/>
        </w:rPr>
      </w:pPr>
      <w:bookmarkStart w:id="3" w:name="heading_2"/>
      <w:r>
        <w:rPr>
          <w:rFonts w:hint="eastAsia" w:asciiTheme="minorEastAsia" w:hAnsiTheme="minorEastAsia" w:cstheme="minorEastAsia"/>
          <w:b/>
          <w:sz w:val="28"/>
          <w:szCs w:val="28"/>
          <w:lang w:eastAsia="zh-CN"/>
        </w:rPr>
        <w:t>二</w:t>
      </w:r>
      <w:r>
        <w:rPr>
          <w:rFonts w:hint="eastAsia" w:asciiTheme="minorEastAsia" w:hAnsiTheme="minorEastAsia" w:eastAsiaTheme="minorEastAsia" w:cstheme="minorEastAsia"/>
          <w:b/>
          <w:sz w:val="28"/>
          <w:szCs w:val="28"/>
        </w:rPr>
        <w:t>、价格部分（30 分）</w:t>
      </w:r>
      <w:bookmarkEnd w:id="3"/>
    </w:p>
    <w:tbl>
      <w:tblPr>
        <w:tblStyle w:val="8"/>
        <w:tblW w:w="8310" w:type="dxa"/>
        <w:tblInd w:w="111"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8" w:type="dxa"/>
          <w:bottom w:w="0" w:type="dxa"/>
          <w:right w:w="108" w:type="dxa"/>
        </w:tblCellMar>
      </w:tblPr>
      <w:tblGrid>
        <w:gridCol w:w="1694"/>
        <w:gridCol w:w="5476"/>
        <w:gridCol w:w="1140"/>
      </w:tblGrid>
      <w:tr w14:paraId="2D0B5A1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8" w:type="dxa"/>
            <w:bottom w:w="0" w:type="dxa"/>
            <w:right w:w="108" w:type="dxa"/>
          </w:tblCellMar>
        </w:tblPrEx>
        <w:trPr>
          <w:trHeight w:val="323" w:hRule="atLeast"/>
        </w:trPr>
        <w:tc>
          <w:tcPr>
            <w:tcW w:w="169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98D9300">
            <w:pPr>
              <w:bidi w:val="0"/>
              <w:jc w:val="center"/>
              <w:rPr>
                <w:rFonts w:hint="eastAsia"/>
                <w:b/>
                <w:bCs/>
                <w:lang w:val="en-US" w:eastAsia="zh-CN"/>
              </w:rPr>
            </w:pPr>
            <w:r>
              <w:rPr>
                <w:rFonts w:hint="eastAsia"/>
                <w:b/>
                <w:bCs/>
                <w:lang w:val="en-US" w:eastAsia="zh-CN"/>
              </w:rPr>
              <w:t>评审项目</w:t>
            </w:r>
          </w:p>
        </w:tc>
        <w:tc>
          <w:tcPr>
            <w:tcW w:w="547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FE38691">
            <w:pPr>
              <w:bidi w:val="0"/>
              <w:jc w:val="center"/>
              <w:rPr>
                <w:rFonts w:hint="eastAsia"/>
                <w:b/>
                <w:bCs/>
                <w:lang w:val="en-US" w:eastAsia="zh-CN"/>
              </w:rPr>
            </w:pPr>
            <w:r>
              <w:rPr>
                <w:rFonts w:hint="eastAsia"/>
                <w:b/>
                <w:bCs/>
                <w:lang w:val="en-US" w:eastAsia="zh-CN"/>
              </w:rPr>
              <w:t>评分细则</w:t>
            </w:r>
          </w:p>
        </w:tc>
        <w:tc>
          <w:tcPr>
            <w:tcW w:w="114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E305B54">
            <w:pPr>
              <w:bidi w:val="0"/>
              <w:jc w:val="center"/>
              <w:rPr>
                <w:rFonts w:hint="eastAsia"/>
                <w:b/>
                <w:bCs/>
                <w:lang w:val="en-US" w:eastAsia="zh-CN"/>
              </w:rPr>
            </w:pPr>
            <w:r>
              <w:rPr>
                <w:rFonts w:hint="eastAsia"/>
                <w:b/>
                <w:bCs/>
                <w:lang w:val="en-US" w:eastAsia="zh-CN"/>
              </w:rPr>
              <w:t>分值</w:t>
            </w:r>
          </w:p>
        </w:tc>
      </w:tr>
      <w:tr w14:paraId="36B2C1E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8" w:type="dxa"/>
            <w:bottom w:w="0" w:type="dxa"/>
            <w:right w:w="108" w:type="dxa"/>
          </w:tblCellMar>
        </w:tblPrEx>
        <w:tc>
          <w:tcPr>
            <w:tcW w:w="169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9D4D8F9">
            <w:pPr>
              <w:spacing w:before="120" w:after="120" w:line="288" w:lineRule="auto"/>
              <w:ind w:left="0"/>
              <w:jc w:val="both"/>
              <w:rPr>
                <w:rFonts w:hint="eastAsia" w:asciiTheme="minorEastAsia" w:hAnsiTheme="minorEastAsia" w:eastAsiaTheme="minorEastAsia" w:cstheme="minorEastAsia"/>
                <w:sz w:val="21"/>
                <w:szCs w:val="21"/>
                <w:lang w:eastAsia="zh-CN"/>
              </w:rPr>
            </w:pPr>
          </w:p>
          <w:p w14:paraId="44225CF9">
            <w:pPr>
              <w:spacing w:before="120" w:after="120" w:line="288" w:lineRule="auto"/>
              <w:ind w:left="0"/>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响应报价</w:t>
            </w:r>
          </w:p>
        </w:tc>
        <w:tc>
          <w:tcPr>
            <w:tcW w:w="547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25A70A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Cs/>
                <w:color w:val="000000" w:themeColor="text1"/>
                <w:kern w:val="2"/>
                <w:sz w:val="21"/>
                <w:szCs w:val="21"/>
                <w:lang w:val="zh-CN" w:eastAsia="zh-CN" w:bidi="ar-SA"/>
              </w:rPr>
            </w:pPr>
            <w:r>
              <w:rPr>
                <w:rFonts w:hint="eastAsia" w:ascii="宋体" w:hAnsi="宋体" w:eastAsia="宋体" w:cs="宋体"/>
                <w:bCs/>
                <w:color w:val="000000" w:themeColor="text1"/>
                <w:kern w:val="2"/>
                <w:sz w:val="21"/>
                <w:szCs w:val="21"/>
                <w:lang w:val="zh-CN" w:eastAsia="zh-CN" w:bidi="ar-SA"/>
              </w:rPr>
              <w:t>响应报价得分＝（评审基准价/响应报价）×价格分值</w:t>
            </w:r>
          </w:p>
          <w:p w14:paraId="06EF901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宋体" w:hAnsi="宋体" w:eastAsia="宋体" w:cs="宋体"/>
                <w:bCs/>
                <w:color w:val="000000" w:themeColor="text1"/>
                <w:kern w:val="2"/>
                <w:sz w:val="21"/>
                <w:szCs w:val="21"/>
                <w:lang w:val="zh-CN" w:eastAsia="zh-CN" w:bidi="ar-SA"/>
              </w:rPr>
              <w:t>（注：满足采购文件要求且响应价格最低的响应报价为评审基准价。最低报价不是成交的唯一依据。）</w:t>
            </w:r>
          </w:p>
        </w:tc>
        <w:tc>
          <w:tcPr>
            <w:tcW w:w="114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11BE1A6">
            <w:pPr>
              <w:spacing w:before="120" w:after="120" w:line="288" w:lineRule="auto"/>
              <w:ind w:lef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30</w:t>
            </w:r>
          </w:p>
        </w:tc>
      </w:tr>
    </w:tbl>
    <w:p w14:paraId="3B6AB545">
      <w:pPr>
        <w:spacing w:before="120" w:after="120" w:line="288" w:lineRule="auto"/>
        <w:ind w:left="0"/>
        <w:jc w:val="left"/>
      </w:pP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D3483"/>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CEA1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compat>
    <w:useFELayout/>
    <w:splitPgBreakAndParaMark/>
    <w:compatSetting w:name="compatibilityMode" w:uri="http://schemas.microsoft.com/office/word" w:val="12"/>
  </w:compat>
  <w:rsids>
    <w:rsidRoot w:val="00000000"/>
    <w:rsid w:val="046E56D3"/>
    <w:rsid w:val="04D253F8"/>
    <w:rsid w:val="0AFB4013"/>
    <w:rsid w:val="1A5F5CFF"/>
    <w:rsid w:val="1C8629DB"/>
    <w:rsid w:val="1C87045D"/>
    <w:rsid w:val="22412F11"/>
    <w:rsid w:val="24911E12"/>
    <w:rsid w:val="38C15EA2"/>
    <w:rsid w:val="3CB752D2"/>
    <w:rsid w:val="45D27E9B"/>
    <w:rsid w:val="4BF34F01"/>
    <w:rsid w:val="541C7DB9"/>
    <w:rsid w:val="57FB45FF"/>
    <w:rsid w:val="590B7DF4"/>
    <w:rsid w:val="5AE75BB8"/>
    <w:rsid w:val="5C661155"/>
    <w:rsid w:val="5CB31ADB"/>
    <w:rsid w:val="5FB452B7"/>
    <w:rsid w:val="63BB7B2D"/>
    <w:rsid w:val="65803F95"/>
    <w:rsid w:val="69B76B7E"/>
    <w:rsid w:val="6C807CDF"/>
    <w:rsid w:val="6F0B285F"/>
    <w:rsid w:val="74DE49BA"/>
    <w:rsid w:val="76A850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_Style 5"/>
    <w:basedOn w:val="1"/>
    <w:qFormat/>
    <w:uiPriority w:val="0"/>
    <w:pPr>
      <w:ind w:firstLine="420" w:firstLineChars="200"/>
    </w:pPr>
  </w:style>
  <w:style w:type="paragraph" w:styleId="3">
    <w:name w:val="Body Text"/>
    <w:basedOn w:val="1"/>
    <w:next w:val="4"/>
    <w:qFormat/>
    <w:uiPriority w:val="0"/>
    <w:pPr>
      <w:spacing w:line="460" w:lineRule="exact"/>
    </w:pPr>
    <w:rPr>
      <w:rFonts w:ascii="宋体" w:hAnsi="宋体"/>
    </w:rPr>
  </w:style>
  <w:style w:type="paragraph" w:styleId="4">
    <w:name w:val="Body Text First Indent"/>
    <w:basedOn w:val="3"/>
    <w:next w:val="5"/>
    <w:qFormat/>
    <w:uiPriority w:val="0"/>
    <w:pPr>
      <w:widowControl w:val="0"/>
      <w:ind w:firstLine="420" w:firstLineChars="100"/>
      <w:jc w:val="both"/>
    </w:pPr>
    <w:rPr>
      <w:kern w:val="2"/>
      <w:szCs w:val="24"/>
    </w:rPr>
  </w:style>
  <w:style w:type="paragraph" w:styleId="5">
    <w:name w:val="Body Text First Indent 2"/>
    <w:basedOn w:val="6"/>
    <w:next w:val="1"/>
    <w:qFormat/>
    <w:uiPriority w:val="0"/>
    <w:pPr>
      <w:widowControl w:val="0"/>
      <w:ind w:firstLine="420" w:firstLineChars="200"/>
      <w:jc w:val="both"/>
    </w:pPr>
    <w:rPr>
      <w:kern w:val="2"/>
      <w:szCs w:val="24"/>
    </w:rPr>
  </w:style>
  <w:style w:type="paragraph" w:styleId="6">
    <w:name w:val="Body Text Indent"/>
    <w:basedOn w:val="1"/>
    <w:qFormat/>
    <w:uiPriority w:val="0"/>
    <w:pPr>
      <w:spacing w:after="120"/>
      <w:ind w:left="420" w:leftChars="200"/>
    </w:pPr>
  </w:style>
  <w:style w:type="paragraph" w:styleId="7">
    <w:name w:val="footer"/>
    <w:basedOn w:val="1"/>
    <w:qFormat/>
    <w:uiPriority w:val="0"/>
    <w:pPr>
      <w:snapToGrid w:val="0"/>
      <w:jc w:val="left"/>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正文缩进2格"/>
    <w:basedOn w:val="1"/>
    <w:qFormat/>
    <w:uiPriority w:val="0"/>
    <w:pPr>
      <w:spacing w:line="600" w:lineRule="exact"/>
      <w:ind w:firstLine="639" w:firstLineChars="206"/>
    </w:pPr>
    <w:rPr>
      <w:rFonts w:ascii="仿宋_GB2312" w:hAnsi="宋体" w:eastAsia="仿宋_GB2312"/>
      <w:sz w:val="3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TotalTime>12</TotalTime>
  <ScaleCrop>false</ScaleCrop>
  <LinksUpToDate>false</LinksUpToDate>
  <Application>WPS Office_12.8.2.17149_F1E327BC-269C-435d-A152-05C5408002CA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2026-06-26T06:42:00Z</dcterms:created>
  <dc:creator>Apache POI</dc:creator>
  <cp:lastModifiedBy>user</cp:lastModifiedBy>
  <dcterms:modified xsi:type="dcterms:W3CDTF">2026-07-15T08:22:00Z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{"Label":"1","ContentProducer":"001191110102MACQD9K64010000","ProduceID":"7655590924681202886","ReservedCode1":"","ContentPropagator":"","PropagateID":"","ReservedCode2":""}</vt:lpwstr>
  </property>
  <property fmtid="{D5CDD505-2E9C-101B-9397-08002B2CF9AE}" pid="3" name="KSOProductBuildVer">
    <vt:lpwstr>2052-12.8.2.17149</vt:lpwstr>
  </property>
  <property fmtid="{D5CDD505-2E9C-101B-9397-08002B2CF9AE}" pid="4" name="ICV">
    <vt:lpwstr>1FE53825ADD7480C917633EED95DEF53_12</vt:lpwstr>
  </property>
</Properties>
</file>