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BB4A1F">
      <w:pPr>
        <w:widowControl/>
        <w:spacing w:line="240" w:lineRule="auto"/>
        <w:jc w:val="left"/>
        <w:rPr>
          <w:rFonts w:hint="eastAsia"/>
          <w:b/>
          <w:color w:val="auto"/>
          <w:sz w:val="36"/>
          <w:szCs w:val="36"/>
        </w:rPr>
      </w:pPr>
      <w:r>
        <w:rPr>
          <w:rFonts w:hint="eastAsia"/>
          <w:bCs/>
          <w:color w:val="auto"/>
          <w:sz w:val="28"/>
          <w:szCs w:val="28"/>
        </w:rPr>
        <w:t xml:space="preserve">附件1： </w:t>
      </w:r>
      <w:r>
        <w:rPr>
          <w:rFonts w:hint="eastAsia"/>
          <w:b/>
          <w:color w:val="auto"/>
          <w:sz w:val="32"/>
          <w:szCs w:val="32"/>
        </w:rPr>
        <w:t xml:space="preserve">             </w:t>
      </w:r>
      <w:r>
        <w:rPr>
          <w:rFonts w:hint="eastAsia"/>
          <w:b/>
          <w:color w:val="auto"/>
          <w:sz w:val="36"/>
          <w:szCs w:val="36"/>
        </w:rPr>
        <w:t xml:space="preserve"> </w:t>
      </w:r>
    </w:p>
    <w:p w14:paraId="6FFDA343">
      <w:pPr>
        <w:jc w:val="center"/>
        <w:rPr>
          <w:rFonts w:hint="eastAsia"/>
          <w:b/>
          <w:color w:val="000000"/>
          <w:highlight w:val="none"/>
        </w:rPr>
      </w:pPr>
      <w:r>
        <w:rPr>
          <w:b/>
          <w:color w:val="auto"/>
          <w:sz w:val="36"/>
          <w:szCs w:val="36"/>
        </w:rPr>
        <w:t>用户需求书</w:t>
      </w:r>
    </w:p>
    <w:p w14:paraId="5E15BCCB">
      <w:pPr>
        <w:rPr>
          <w:rFonts w:hint="eastAsia"/>
          <w:lang w:eastAsia="zh-CN"/>
        </w:rPr>
      </w:pPr>
    </w:p>
    <w:p w14:paraId="3FF28539">
      <w:pPr>
        <w:keepNext w:val="0"/>
        <w:keepLines w:val="0"/>
        <w:widowControl/>
        <w:jc w:val="left"/>
        <w:rPr>
          <w:rFonts w:hint="eastAsia" w:ascii="Times New Roman" w:hAnsi="Times New Roman" w:eastAsia="宋体" w:cs="Times New Roman"/>
          <w:b/>
          <w:color w:val="000000"/>
          <w:sz w:val="28"/>
          <w:szCs w:val="22"/>
          <w:highlight w:val="none"/>
          <w:lang w:val="en-US" w:eastAsia="zh-CN"/>
        </w:rPr>
      </w:pPr>
      <w:r>
        <w:rPr>
          <w:rFonts w:hint="eastAsia" w:ascii="Times New Roman" w:hAnsi="Times New Roman" w:eastAsia="宋体" w:cs="Times New Roman"/>
          <w:b/>
          <w:color w:val="000000"/>
          <w:kern w:val="2"/>
          <w:sz w:val="28"/>
          <w:szCs w:val="22"/>
          <w:highlight w:val="none"/>
          <w:lang w:val="en-US" w:eastAsia="zh-CN" w:bidi="ar-SA"/>
        </w:rPr>
        <w:t>一、</w:t>
      </w:r>
      <w:r>
        <w:rPr>
          <w:rFonts w:hint="eastAsia" w:ascii="Times New Roman" w:hAnsi="Times New Roman" w:eastAsia="宋体" w:cs="Times New Roman"/>
          <w:b/>
          <w:color w:val="000000"/>
          <w:sz w:val="28"/>
          <w:szCs w:val="22"/>
          <w:highlight w:val="none"/>
          <w:lang w:eastAsia="zh-CN"/>
        </w:rPr>
        <w:t>项目名称</w:t>
      </w:r>
      <w:r>
        <w:rPr>
          <w:rFonts w:hint="eastAsia" w:ascii="Times New Roman" w:hAnsi="Times New Roman" w:eastAsia="宋体" w:cs="Times New Roman"/>
          <w:b/>
          <w:color w:val="000000"/>
          <w:sz w:val="28"/>
          <w:szCs w:val="22"/>
          <w:highlight w:val="none"/>
          <w:lang w:val="en-US" w:eastAsia="zh-CN"/>
        </w:rPr>
        <w:t>：</w:t>
      </w:r>
      <w:bookmarkStart w:id="0" w:name="OLE_LINK1"/>
      <w:r>
        <w:rPr>
          <w:rFonts w:hint="eastAsia" w:ascii="Times New Roman" w:hAnsi="Times New Roman" w:eastAsia="宋体" w:cs="Times New Roman"/>
          <w:b/>
          <w:color w:val="000000"/>
          <w:sz w:val="28"/>
          <w:szCs w:val="22"/>
          <w:highlight w:val="none"/>
          <w:lang w:val="en-US" w:eastAsia="zh-CN"/>
        </w:rPr>
        <w:t>中山市黄圃人民医院</w:t>
      </w:r>
      <w:bookmarkEnd w:id="0"/>
      <w:bookmarkStart w:id="1" w:name="OLE_LINK4"/>
      <w:bookmarkStart w:id="4" w:name="_GoBack"/>
      <w:r>
        <w:rPr>
          <w:rFonts w:hint="eastAsia" w:ascii="Times New Roman" w:hAnsi="Times New Roman" w:eastAsia="宋体" w:cs="Times New Roman"/>
          <w:b/>
          <w:color w:val="000000"/>
          <w:kern w:val="2"/>
          <w:sz w:val="28"/>
          <w:szCs w:val="22"/>
          <w:highlight w:val="none"/>
          <w:lang w:val="en-US" w:eastAsia="zh-CN" w:bidi="ar"/>
        </w:rPr>
        <w:t>高压灭菌器</w:t>
      </w:r>
      <w:bookmarkEnd w:id="1"/>
      <w:bookmarkEnd w:id="4"/>
      <w:r>
        <w:rPr>
          <w:rFonts w:hint="eastAsia" w:ascii="Times New Roman" w:hAnsi="Times New Roman" w:eastAsia="宋体" w:cs="Times New Roman"/>
          <w:b/>
          <w:color w:val="000000"/>
          <w:sz w:val="28"/>
          <w:szCs w:val="22"/>
          <w:highlight w:val="none"/>
          <w:lang w:val="en-US" w:eastAsia="zh-CN"/>
        </w:rPr>
        <w:t>采购项目</w:t>
      </w:r>
    </w:p>
    <w:p w14:paraId="18A10859">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cs="Times New Roman"/>
          <w:b/>
          <w:color w:val="auto"/>
          <w:sz w:val="28"/>
          <w:szCs w:val="22"/>
          <w:highlight w:val="none"/>
          <w:lang w:val="en-US" w:eastAsia="zh-CN"/>
        </w:rPr>
      </w:pPr>
      <w:r>
        <w:rPr>
          <w:rFonts w:hint="eastAsia" w:cs="Times New Roman"/>
          <w:b/>
          <w:color w:val="auto"/>
          <w:sz w:val="28"/>
          <w:szCs w:val="22"/>
          <w:highlight w:val="none"/>
          <w:lang w:val="en-US" w:eastAsia="zh-CN"/>
        </w:rPr>
        <w:t>二、采购内容</w:t>
      </w:r>
    </w:p>
    <w:p w14:paraId="468E197D">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1.采购清单</w:t>
      </w:r>
    </w:p>
    <w:tbl>
      <w:tblPr>
        <w:tblStyle w:val="15"/>
        <w:tblpPr w:leftFromText="180" w:rightFromText="180" w:vertAnchor="text" w:horzAnchor="page" w:tblpX="1893" w:tblpY="177"/>
        <w:tblOverlap w:val="never"/>
        <w:tblW w:w="5536"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953"/>
        <w:gridCol w:w="1416"/>
        <w:gridCol w:w="643"/>
        <w:gridCol w:w="962"/>
        <w:gridCol w:w="1106"/>
        <w:gridCol w:w="1136"/>
        <w:gridCol w:w="2998"/>
      </w:tblGrid>
      <w:tr w14:paraId="50D980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4" w:hRule="atLeast"/>
        </w:trPr>
        <w:tc>
          <w:tcPr>
            <w:tcW w:w="517" w:type="pct"/>
            <w:shd w:val="clear" w:color="auto" w:fill="F4F4F4"/>
            <w:noWrap w:val="0"/>
            <w:vAlign w:val="center"/>
          </w:tcPr>
          <w:p w14:paraId="04BBC1E7">
            <w:pPr>
              <w:pStyle w:val="19"/>
              <w:spacing w:line="360" w:lineRule="auto"/>
              <w:jc w:val="center"/>
              <w:rPr>
                <w:rFonts w:hint="eastAsia" w:ascii="宋体" w:hAnsi="Times New Roman" w:eastAsia="宋体" w:cs="Tahoma"/>
                <w:b/>
                <w:bCs/>
                <w:color w:val="000000"/>
                <w:kern w:val="28"/>
                <w:sz w:val="21"/>
                <w:szCs w:val="21"/>
                <w:highlight w:val="none"/>
                <w:lang w:val="en-US" w:eastAsia="zh-CN"/>
              </w:rPr>
            </w:pPr>
            <w:bookmarkStart w:id="2" w:name="OLE_LINK3"/>
            <w:r>
              <w:rPr>
                <w:rFonts w:hint="eastAsia" w:cs="Tahoma"/>
                <w:b/>
                <w:bCs/>
                <w:color w:val="000000"/>
                <w:kern w:val="28"/>
                <w:sz w:val="21"/>
                <w:szCs w:val="21"/>
                <w:highlight w:val="none"/>
                <w:lang w:val="en-US" w:eastAsia="zh-CN"/>
              </w:rPr>
              <w:t>序号</w:t>
            </w:r>
          </w:p>
        </w:tc>
        <w:tc>
          <w:tcPr>
            <w:tcW w:w="768" w:type="pct"/>
            <w:shd w:val="clear" w:color="auto" w:fill="F4F4F4"/>
            <w:noWrap w:val="0"/>
            <w:vAlign w:val="center"/>
          </w:tcPr>
          <w:p w14:paraId="62D1853A">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采购</w:t>
            </w:r>
            <w:r>
              <w:rPr>
                <w:rFonts w:hint="eastAsia" w:ascii="宋体" w:hAnsi="Times New Roman" w:eastAsia="宋体" w:cs="Tahoma"/>
                <w:b/>
                <w:bCs/>
                <w:color w:val="000000"/>
                <w:kern w:val="28"/>
                <w:sz w:val="21"/>
                <w:szCs w:val="21"/>
                <w:highlight w:val="none"/>
                <w:lang w:eastAsia="zh-CN"/>
              </w:rPr>
              <w:t>标的名称</w:t>
            </w:r>
          </w:p>
        </w:tc>
        <w:tc>
          <w:tcPr>
            <w:tcW w:w="349" w:type="pct"/>
            <w:shd w:val="clear" w:color="auto" w:fill="F4F4F4"/>
            <w:noWrap w:val="0"/>
            <w:vAlign w:val="center"/>
          </w:tcPr>
          <w:p w14:paraId="1932B51C">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数量</w:t>
            </w:r>
          </w:p>
        </w:tc>
        <w:tc>
          <w:tcPr>
            <w:tcW w:w="522" w:type="pct"/>
            <w:shd w:val="clear" w:color="auto" w:fill="F4F4F4"/>
            <w:noWrap w:val="0"/>
            <w:vAlign w:val="center"/>
          </w:tcPr>
          <w:p w14:paraId="026A34D0">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单位</w:t>
            </w:r>
          </w:p>
        </w:tc>
        <w:tc>
          <w:tcPr>
            <w:tcW w:w="600" w:type="pct"/>
            <w:shd w:val="clear" w:color="auto" w:fill="F4F4F4"/>
            <w:noWrap w:val="0"/>
            <w:vAlign w:val="center"/>
          </w:tcPr>
          <w:p w14:paraId="0308D735">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eastAsia="zh-CN"/>
              </w:rPr>
              <w:t>预算单价（</w:t>
            </w:r>
            <w:r>
              <w:rPr>
                <w:rFonts w:hint="eastAsia" w:ascii="宋体" w:hAnsi="Times New Roman" w:eastAsia="宋体" w:cs="Tahoma"/>
                <w:b/>
                <w:bCs/>
                <w:color w:val="000000"/>
                <w:kern w:val="28"/>
                <w:sz w:val="21"/>
                <w:szCs w:val="21"/>
                <w:highlight w:val="none"/>
                <w:lang w:val="en-US" w:eastAsia="zh-CN"/>
              </w:rPr>
              <w:t>万</w:t>
            </w:r>
            <w:r>
              <w:rPr>
                <w:rFonts w:hint="eastAsia" w:ascii="宋体" w:hAnsi="Times New Roman" w:eastAsia="宋体" w:cs="Tahoma"/>
                <w:b/>
                <w:bCs/>
                <w:color w:val="000000"/>
                <w:kern w:val="28"/>
                <w:sz w:val="21"/>
                <w:szCs w:val="21"/>
                <w:highlight w:val="none"/>
                <w:lang w:eastAsia="zh-CN"/>
              </w:rPr>
              <w:t>元）</w:t>
            </w:r>
          </w:p>
        </w:tc>
        <w:tc>
          <w:tcPr>
            <w:tcW w:w="616" w:type="pct"/>
            <w:shd w:val="clear" w:color="auto" w:fill="F4F4F4"/>
            <w:noWrap w:val="0"/>
            <w:vAlign w:val="center"/>
          </w:tcPr>
          <w:p w14:paraId="2472FBF2">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eastAsia="zh-CN"/>
              </w:rPr>
              <w:t>预算总价（</w:t>
            </w:r>
            <w:r>
              <w:rPr>
                <w:rFonts w:hint="eastAsia" w:ascii="宋体" w:hAnsi="Times New Roman" w:eastAsia="宋体" w:cs="Tahoma"/>
                <w:b/>
                <w:bCs/>
                <w:color w:val="000000"/>
                <w:kern w:val="28"/>
                <w:sz w:val="21"/>
                <w:szCs w:val="21"/>
                <w:highlight w:val="none"/>
                <w:lang w:val="en-US" w:eastAsia="zh-CN"/>
              </w:rPr>
              <w:t>万</w:t>
            </w:r>
            <w:r>
              <w:rPr>
                <w:rFonts w:hint="eastAsia" w:ascii="宋体" w:hAnsi="Times New Roman" w:eastAsia="宋体" w:cs="Tahoma"/>
                <w:b/>
                <w:bCs/>
                <w:color w:val="000000"/>
                <w:kern w:val="28"/>
                <w:sz w:val="21"/>
                <w:szCs w:val="21"/>
                <w:highlight w:val="none"/>
                <w:lang w:eastAsia="zh-CN"/>
              </w:rPr>
              <w:t>元）</w:t>
            </w:r>
          </w:p>
        </w:tc>
        <w:tc>
          <w:tcPr>
            <w:tcW w:w="1626" w:type="pct"/>
            <w:shd w:val="clear" w:color="auto" w:fill="F4F4F4"/>
            <w:noWrap w:val="0"/>
            <w:vAlign w:val="center"/>
          </w:tcPr>
          <w:p w14:paraId="012DA096">
            <w:pPr>
              <w:pStyle w:val="19"/>
              <w:spacing w:line="360" w:lineRule="auto"/>
              <w:ind w:firstLine="211" w:firstLineChars="100"/>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eastAsia="zh-CN"/>
              </w:rPr>
              <w:t>技术要求</w:t>
            </w:r>
          </w:p>
        </w:tc>
      </w:tr>
      <w:tr w14:paraId="434861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35" w:hRule="atLeast"/>
        </w:trPr>
        <w:tc>
          <w:tcPr>
            <w:tcW w:w="517" w:type="pct"/>
            <w:noWrap w:val="0"/>
            <w:vAlign w:val="center"/>
          </w:tcPr>
          <w:p w14:paraId="38C0748A">
            <w:pPr>
              <w:pStyle w:val="19"/>
              <w:spacing w:line="360" w:lineRule="auto"/>
              <w:jc w:val="center"/>
              <w:rPr>
                <w:rFonts w:hint="eastAsia" w:ascii="宋体" w:hAnsi="宋体" w:eastAsia="宋体" w:cs="宋体"/>
                <w:b w:val="0"/>
                <w:bCs/>
                <w:color w:val="auto"/>
                <w:kern w:val="2"/>
                <w:sz w:val="21"/>
                <w:szCs w:val="21"/>
                <w:highlight w:val="none"/>
                <w:lang w:val="en-US" w:eastAsia="zh-CN"/>
              </w:rPr>
            </w:pPr>
            <w:r>
              <w:rPr>
                <w:rFonts w:hint="eastAsia" w:hAnsi="宋体" w:cs="宋体"/>
                <w:b w:val="0"/>
                <w:bCs/>
                <w:color w:val="auto"/>
                <w:kern w:val="2"/>
                <w:sz w:val="21"/>
                <w:szCs w:val="21"/>
                <w:highlight w:val="none"/>
                <w:lang w:val="en-US" w:eastAsia="zh-CN"/>
              </w:rPr>
              <w:t>1</w:t>
            </w:r>
          </w:p>
        </w:tc>
        <w:tc>
          <w:tcPr>
            <w:tcW w:w="768" w:type="pct"/>
            <w:noWrap w:val="0"/>
            <w:vAlign w:val="center"/>
          </w:tcPr>
          <w:p w14:paraId="0157C917">
            <w:pPr>
              <w:widowControl/>
              <w:ind w:firstLine="0" w:firstLineChars="0"/>
              <w:jc w:val="center"/>
              <w:rPr>
                <w:rFonts w:hint="eastAsia" w:ascii="宋体" w:hAnsi="宋体" w:eastAsia="宋体" w:cs="宋体"/>
                <w:b w:val="0"/>
                <w:bCs/>
                <w:color w:val="auto"/>
                <w:kern w:val="2"/>
                <w:sz w:val="21"/>
                <w:szCs w:val="21"/>
                <w:highlight w:val="none"/>
                <w:lang w:eastAsia="zh-CN"/>
              </w:rPr>
            </w:pPr>
            <w:r>
              <w:rPr>
                <w:rFonts w:hint="eastAsia" w:ascii="宋体" w:hAnsi="宋体" w:eastAsia="宋体" w:cs="宋体"/>
                <w:bCs/>
                <w:color w:val="auto"/>
                <w:kern w:val="2"/>
                <w:sz w:val="21"/>
                <w:szCs w:val="21"/>
                <w:highlight w:val="none"/>
                <w:lang w:val="en-US" w:eastAsia="zh-CN" w:bidi="ar-SA"/>
              </w:rPr>
              <w:t>高压灭菌器</w:t>
            </w:r>
          </w:p>
        </w:tc>
        <w:tc>
          <w:tcPr>
            <w:tcW w:w="349" w:type="pct"/>
            <w:noWrap w:val="0"/>
            <w:vAlign w:val="center"/>
          </w:tcPr>
          <w:p w14:paraId="57C1A6DC">
            <w:pPr>
              <w:pStyle w:val="19"/>
              <w:keepNext w:val="0"/>
              <w:keepLines w:val="0"/>
              <w:pageBreakBefore w:val="0"/>
              <w:widowControl w:val="0"/>
              <w:kinsoku/>
              <w:wordWrap/>
              <w:overflowPunct/>
              <w:topLinePunct w:val="0"/>
              <w:autoSpaceDE/>
              <w:autoSpaceDN/>
              <w:bidi w:val="0"/>
              <w:adjustRightInd w:val="0"/>
              <w:snapToGrid/>
              <w:spacing w:line="360" w:lineRule="auto"/>
              <w:ind w:firstLine="0" w:firstLineChars="0"/>
              <w:jc w:val="center"/>
              <w:textAlignment w:val="baseline"/>
              <w:rPr>
                <w:rFonts w:hint="eastAsia" w:ascii="宋体" w:hAnsi="宋体" w:eastAsia="宋体" w:cs="宋体"/>
                <w:bCs/>
                <w:color w:val="auto"/>
                <w:kern w:val="2"/>
                <w:sz w:val="21"/>
                <w:szCs w:val="21"/>
                <w:highlight w:val="none"/>
                <w:lang w:val="en-US" w:eastAsia="zh-CN"/>
              </w:rPr>
            </w:pPr>
            <w:r>
              <w:rPr>
                <w:rFonts w:hint="eastAsia" w:hAnsi="宋体" w:cs="宋体"/>
                <w:bCs/>
                <w:color w:val="auto"/>
                <w:kern w:val="2"/>
                <w:sz w:val="21"/>
                <w:szCs w:val="21"/>
                <w:highlight w:val="none"/>
                <w:lang w:val="en-US" w:eastAsia="zh-CN"/>
              </w:rPr>
              <w:t>1</w:t>
            </w:r>
          </w:p>
        </w:tc>
        <w:tc>
          <w:tcPr>
            <w:tcW w:w="522" w:type="pct"/>
            <w:noWrap w:val="0"/>
            <w:vAlign w:val="center"/>
          </w:tcPr>
          <w:p w14:paraId="144B161D">
            <w:pPr>
              <w:widowControl/>
              <w:jc w:val="center"/>
              <w:rPr>
                <w:rFonts w:hint="eastAsia" w:ascii="宋体" w:hAnsi="宋体" w:eastAsia="宋体" w:cs="宋体"/>
                <w:bCs/>
                <w:color w:val="auto"/>
                <w:kern w:val="2"/>
                <w:sz w:val="21"/>
                <w:szCs w:val="21"/>
                <w:highlight w:val="none"/>
                <w:lang w:val="en-US" w:eastAsia="zh-CN"/>
              </w:rPr>
            </w:pPr>
            <w:r>
              <w:rPr>
                <w:rFonts w:hint="eastAsia" w:ascii="宋体" w:hAnsi="宋体" w:cs="宋体"/>
                <w:bCs/>
                <w:color w:val="auto"/>
                <w:kern w:val="2"/>
                <w:sz w:val="21"/>
                <w:szCs w:val="21"/>
                <w:highlight w:val="none"/>
                <w:lang w:val="en-US" w:eastAsia="zh-CN" w:bidi="ar-SA"/>
              </w:rPr>
              <w:t>套</w:t>
            </w:r>
          </w:p>
        </w:tc>
        <w:tc>
          <w:tcPr>
            <w:tcW w:w="600" w:type="pct"/>
            <w:noWrap w:val="0"/>
            <w:vAlign w:val="center"/>
          </w:tcPr>
          <w:p w14:paraId="54BD93A7">
            <w:pPr>
              <w:widowControl/>
              <w:jc w:val="center"/>
              <w:rPr>
                <w:rFonts w:hint="eastAsia" w:ascii="宋体" w:hAnsi="宋体" w:eastAsia="宋体" w:cs="宋体"/>
                <w:bCs/>
                <w:color w:val="auto"/>
                <w:kern w:val="2"/>
                <w:sz w:val="21"/>
                <w:szCs w:val="21"/>
                <w:highlight w:val="none"/>
                <w:lang w:val="en-US" w:eastAsia="zh-CN"/>
              </w:rPr>
            </w:pPr>
            <w:r>
              <w:rPr>
                <w:rFonts w:hint="eastAsia" w:ascii="宋体" w:hAnsi="宋体" w:eastAsia="宋体" w:cs="宋体"/>
                <w:bCs/>
                <w:color w:val="auto"/>
                <w:kern w:val="2"/>
                <w:sz w:val="21"/>
                <w:szCs w:val="21"/>
                <w:highlight w:val="none"/>
                <w:lang w:val="en-US" w:eastAsia="zh-CN" w:bidi="ar-SA"/>
              </w:rPr>
              <w:t>1.5</w:t>
            </w:r>
          </w:p>
        </w:tc>
        <w:tc>
          <w:tcPr>
            <w:tcW w:w="616" w:type="pct"/>
            <w:noWrap w:val="0"/>
            <w:vAlign w:val="center"/>
          </w:tcPr>
          <w:p w14:paraId="01A703A5">
            <w:pPr>
              <w:widowControl/>
              <w:jc w:val="center"/>
              <w:rPr>
                <w:rFonts w:hint="eastAsia" w:ascii="宋体" w:hAnsi="宋体" w:eastAsia="宋体" w:cs="宋体"/>
                <w:bCs/>
                <w:color w:val="auto"/>
                <w:kern w:val="2"/>
                <w:sz w:val="21"/>
                <w:szCs w:val="21"/>
                <w:highlight w:val="none"/>
                <w:lang w:val="en-US" w:eastAsia="zh-CN"/>
              </w:rPr>
            </w:pPr>
            <w:r>
              <w:rPr>
                <w:rFonts w:hint="eastAsia" w:ascii="宋体" w:hAnsi="宋体" w:eastAsia="宋体" w:cs="宋体"/>
                <w:bCs/>
                <w:color w:val="auto"/>
                <w:kern w:val="2"/>
                <w:sz w:val="21"/>
                <w:szCs w:val="21"/>
                <w:highlight w:val="none"/>
                <w:lang w:val="en-US" w:eastAsia="zh-CN" w:bidi="ar-SA"/>
              </w:rPr>
              <w:t>1.5</w:t>
            </w:r>
          </w:p>
        </w:tc>
        <w:tc>
          <w:tcPr>
            <w:tcW w:w="1626" w:type="pct"/>
            <w:noWrap w:val="0"/>
            <w:vAlign w:val="center"/>
          </w:tcPr>
          <w:p w14:paraId="7820358F">
            <w:pPr>
              <w:keepNext w:val="0"/>
              <w:keepLines w:val="0"/>
              <w:widowControl/>
              <w:suppressLineNumbers w:val="0"/>
              <w:jc w:val="left"/>
              <w:rPr>
                <w:rFonts w:hint="eastAsia" w:ascii="宋体" w:hAnsi="宋体" w:cs="宋体"/>
                <w:bCs/>
                <w:color w:val="auto"/>
                <w:szCs w:val="21"/>
                <w:highlight w:val="none"/>
              </w:rPr>
            </w:pPr>
            <w:r>
              <w:rPr>
                <w:rFonts w:hint="eastAsia" w:ascii="宋体" w:hAnsi="宋体" w:cs="宋体"/>
                <w:bCs/>
                <w:color w:val="auto"/>
                <w:kern w:val="2"/>
                <w:sz w:val="21"/>
                <w:szCs w:val="21"/>
                <w:highlight w:val="none"/>
                <w:lang w:val="en-US" w:eastAsia="zh-CN" w:bidi="ar-SA"/>
              </w:rPr>
              <w:t>1.</w:t>
            </w:r>
            <w:r>
              <w:rPr>
                <w:rFonts w:hint="eastAsia" w:ascii="宋体" w:hAnsi="宋体" w:eastAsia="宋体" w:cs="宋体"/>
                <w:bCs/>
                <w:color w:val="auto"/>
                <w:kern w:val="2"/>
                <w:sz w:val="21"/>
                <w:szCs w:val="21"/>
                <w:highlight w:val="none"/>
                <w:lang w:val="en-US" w:eastAsia="zh-CN" w:bidi="ar-SA"/>
              </w:rPr>
              <w:t xml:space="preserve">灭菌器电源电压为AC 220V± </w:t>
            </w:r>
          </w:p>
          <w:p w14:paraId="24A61087">
            <w:pPr>
              <w:keepNext w:val="0"/>
              <w:keepLines w:val="0"/>
              <w:widowControl/>
              <w:suppressLineNumbers w:val="0"/>
              <w:jc w:val="left"/>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10%，50Hz±1Hz，功率3.5kW</w:t>
            </w:r>
            <w:r>
              <w:rPr>
                <w:rFonts w:hint="eastAsia" w:ascii="宋体" w:hAnsi="宋体" w:cs="宋体"/>
                <w:bCs/>
                <w:color w:val="auto"/>
                <w:kern w:val="2"/>
                <w:sz w:val="21"/>
                <w:szCs w:val="21"/>
                <w:highlight w:val="none"/>
                <w:lang w:val="en-US" w:eastAsia="zh-CN" w:bidi="ar-SA"/>
              </w:rPr>
              <w:t>；</w:t>
            </w:r>
          </w:p>
          <w:p w14:paraId="11C8AC74">
            <w:pPr>
              <w:keepNext w:val="0"/>
              <w:keepLines w:val="0"/>
              <w:widowControl/>
              <w:numPr>
                <w:ilvl w:val="-1"/>
                <w:numId w:val="0"/>
              </w:numPr>
              <w:suppressLineNumbers w:val="0"/>
              <w:jc w:val="left"/>
              <w:rPr>
                <w:rFonts w:hint="eastAsia" w:ascii="宋体" w:hAnsi="宋体" w:eastAsia="宋体" w:cs="宋体"/>
                <w:bCs/>
                <w:color w:val="auto"/>
                <w:kern w:val="2"/>
                <w:sz w:val="21"/>
                <w:szCs w:val="21"/>
                <w:highlight w:val="none"/>
                <w:lang w:val="en-US" w:eastAsia="zh-CN" w:bidi="ar-SA"/>
              </w:rPr>
            </w:pPr>
            <w:r>
              <w:rPr>
                <w:rFonts w:hint="eastAsia" w:ascii="宋体" w:hAnsi="宋体" w:cs="宋体"/>
                <w:bCs/>
                <w:color w:val="auto"/>
                <w:kern w:val="2"/>
                <w:sz w:val="21"/>
                <w:szCs w:val="21"/>
                <w:highlight w:val="none"/>
                <w:lang w:val="en-US" w:eastAsia="zh-CN" w:bidi="ar-SA"/>
              </w:rPr>
              <w:t>2.</w:t>
            </w:r>
            <w:r>
              <w:rPr>
                <w:rFonts w:hint="eastAsia" w:ascii="宋体" w:hAnsi="宋体" w:eastAsia="宋体" w:cs="宋体"/>
                <w:bCs/>
                <w:color w:val="auto"/>
                <w:kern w:val="2"/>
                <w:sz w:val="21"/>
                <w:szCs w:val="21"/>
                <w:highlight w:val="none"/>
                <w:lang w:val="en-US" w:eastAsia="zh-CN" w:bidi="ar-SA"/>
              </w:rPr>
              <w:t>灭菌器有效容积大于等于80L、外形尺寸宽度小于等于60cm，灭菌器装有安全阀</w:t>
            </w:r>
          </w:p>
          <w:p w14:paraId="35F58287">
            <w:pPr>
              <w:keepNext w:val="0"/>
              <w:keepLines w:val="0"/>
              <w:widowControl/>
              <w:numPr>
                <w:ilvl w:val="-1"/>
                <w:numId w:val="0"/>
              </w:numPr>
              <w:suppressLineNumbers w:val="0"/>
              <w:jc w:val="left"/>
              <w:rPr>
                <w:rFonts w:hint="eastAsia" w:ascii="宋体" w:hAnsi="宋体" w:cs="宋体"/>
                <w:bCs/>
                <w:color w:val="auto"/>
                <w:kern w:val="2"/>
                <w:sz w:val="21"/>
                <w:szCs w:val="21"/>
                <w:highlight w:val="none"/>
                <w:lang w:bidi="ar-SA"/>
              </w:rPr>
            </w:pPr>
            <w:r>
              <w:rPr>
                <w:rFonts w:hint="eastAsia" w:ascii="宋体" w:hAnsi="宋体" w:cs="宋体"/>
                <w:bCs/>
                <w:color w:val="auto"/>
                <w:kern w:val="2"/>
                <w:sz w:val="21"/>
                <w:szCs w:val="21"/>
                <w:highlight w:val="none"/>
                <w:lang w:val="en-US" w:eastAsia="zh-CN" w:bidi="ar-SA"/>
              </w:rPr>
              <w:t>3.</w:t>
            </w:r>
            <w:r>
              <w:rPr>
                <w:rFonts w:hint="eastAsia" w:ascii="宋体" w:hAnsi="宋体" w:eastAsia="宋体" w:cs="宋体"/>
                <w:bCs/>
                <w:color w:val="auto"/>
                <w:kern w:val="2"/>
                <w:sz w:val="21"/>
                <w:szCs w:val="21"/>
                <w:highlight w:val="none"/>
                <w:lang w:val="en-US" w:eastAsia="zh-CN" w:bidi="ar-SA"/>
              </w:rPr>
              <w:t>显示方式:LCD中英文液晶显示，灭菌时间有效设定</w:t>
            </w:r>
            <w:r>
              <w:rPr>
                <w:rFonts w:hint="eastAsia" w:ascii="宋体" w:hAnsi="宋体" w:cs="宋体"/>
                <w:bCs/>
                <w:color w:val="auto"/>
                <w:kern w:val="2"/>
                <w:sz w:val="21"/>
                <w:szCs w:val="21"/>
                <w:highlight w:val="none"/>
                <w:lang w:val="en-US" w:eastAsia="zh-CN" w:bidi="ar-SA"/>
              </w:rPr>
              <w:t>范</w:t>
            </w:r>
            <w:r>
              <w:rPr>
                <w:rFonts w:hint="eastAsia" w:ascii="宋体" w:hAnsi="宋体" w:eastAsia="宋体" w:cs="宋体"/>
                <w:bCs/>
                <w:color w:val="auto"/>
                <w:kern w:val="2"/>
                <w:sz w:val="21"/>
                <w:szCs w:val="21"/>
                <w:highlight w:val="none"/>
                <w:lang w:val="en-US" w:eastAsia="zh-CN" w:bidi="ar-SA"/>
              </w:rPr>
              <w:t xml:space="preserve">围:0--60min，灭菌器装有电源 </w:t>
            </w:r>
          </w:p>
          <w:p w14:paraId="561F3567">
            <w:pPr>
              <w:widowControl/>
              <w:jc w:val="left"/>
              <w:rPr>
                <w:rFonts w:hint="eastAsia" w:ascii="宋体" w:hAnsi="宋体" w:eastAsia="宋体" w:cs="宋体"/>
                <w:bCs/>
                <w:color w:val="auto"/>
                <w:kern w:val="2"/>
                <w:sz w:val="21"/>
                <w:szCs w:val="21"/>
                <w:highlight w:val="none"/>
                <w:lang w:eastAsia="zh-CN"/>
              </w:rPr>
            </w:pPr>
            <w:r>
              <w:rPr>
                <w:rFonts w:hint="eastAsia" w:ascii="宋体" w:hAnsi="宋体" w:eastAsia="宋体" w:cs="宋体"/>
                <w:bCs/>
                <w:color w:val="auto"/>
                <w:kern w:val="2"/>
                <w:sz w:val="21"/>
                <w:szCs w:val="21"/>
                <w:highlight w:val="none"/>
                <w:lang w:val="en-US" w:eastAsia="zh-CN" w:bidi="ar-SA"/>
              </w:rPr>
              <w:t>开关(零地不可同接)，规格为BS121a 220V 30A。</w:t>
            </w:r>
          </w:p>
        </w:tc>
      </w:tr>
      <w:bookmarkEnd w:id="2"/>
    </w:tbl>
    <w:p w14:paraId="42BAF2C7">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cs="Times New Roman"/>
          <w:b/>
          <w:color w:val="000000"/>
          <w:sz w:val="28"/>
          <w:szCs w:val="22"/>
          <w:highlight w:val="none"/>
          <w:lang w:val="en-US" w:eastAsia="zh-CN"/>
        </w:rPr>
      </w:pPr>
    </w:p>
    <w:p w14:paraId="38B5001F">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ascii="宋体" w:hAnsi="Times New Roman" w:eastAsia="宋体" w:cs="Tahoma"/>
          <w:color w:val="auto"/>
          <w:kern w:val="28"/>
          <w:sz w:val="21"/>
          <w:szCs w:val="21"/>
          <w:highlight w:val="none"/>
          <w:lang w:val="en-US" w:eastAsia="zh-CN" w:bidi="ar-SA"/>
        </w:rPr>
      </w:pPr>
      <w:r>
        <w:rPr>
          <w:rFonts w:hint="eastAsia" w:ascii="宋体" w:hAnsi="宋体" w:cs="宋体"/>
          <w:bCs/>
          <w:color w:val="auto"/>
          <w:sz w:val="21"/>
          <w:szCs w:val="21"/>
          <w:highlight w:val="none"/>
          <w:lang w:val="en-US" w:eastAsia="zh-CN"/>
        </w:rPr>
        <w:t>2.</w:t>
      </w:r>
      <w:r>
        <w:rPr>
          <w:rFonts w:hint="eastAsia" w:ascii="宋体" w:hAnsi="宋体" w:eastAsia="宋体" w:cs="宋体"/>
          <w:bCs/>
          <w:color w:val="auto"/>
          <w:sz w:val="21"/>
          <w:szCs w:val="21"/>
          <w:highlight w:val="none"/>
          <w:lang w:val="en-US"/>
        </w:rPr>
        <w:t>本项目采购本国生产产品，如</w:t>
      </w:r>
      <w:r>
        <w:rPr>
          <w:rFonts w:hint="eastAsia" w:ascii="宋体" w:hAnsi="宋体" w:eastAsia="宋体" w:cs="宋体"/>
          <w:bCs/>
          <w:color w:val="auto"/>
          <w:sz w:val="21"/>
          <w:szCs w:val="21"/>
          <w:highlight w:val="none"/>
          <w:lang w:val="en-US" w:eastAsia="zh-CN"/>
        </w:rPr>
        <w:t>供应商</w:t>
      </w:r>
      <w:r>
        <w:rPr>
          <w:rFonts w:hint="eastAsia" w:ascii="宋体" w:hAnsi="宋体" w:eastAsia="宋体" w:cs="宋体"/>
          <w:bCs/>
          <w:color w:val="auto"/>
          <w:sz w:val="21"/>
          <w:szCs w:val="21"/>
          <w:highlight w:val="none"/>
          <w:lang w:val="en-US"/>
        </w:rPr>
        <w:t>所投产品为进口产品，视为无效</w:t>
      </w:r>
      <w:r>
        <w:rPr>
          <w:rFonts w:hint="eastAsia" w:ascii="宋体" w:hAnsi="宋体" w:eastAsia="宋体" w:cs="宋体"/>
          <w:bCs/>
          <w:color w:val="auto"/>
          <w:sz w:val="21"/>
          <w:szCs w:val="21"/>
          <w:highlight w:val="none"/>
          <w:lang w:val="en-US" w:eastAsia="zh-CN"/>
        </w:rPr>
        <w:t>响应</w:t>
      </w:r>
      <w:r>
        <w:rPr>
          <w:rFonts w:hint="eastAsia" w:ascii="宋体" w:hAnsi="宋体" w:eastAsia="宋体" w:cs="宋体"/>
          <w:bCs/>
          <w:color w:val="auto"/>
          <w:sz w:val="21"/>
          <w:szCs w:val="21"/>
          <w:highlight w:val="none"/>
          <w:lang w:val="en-US"/>
        </w:rPr>
        <w:t>处理</w:t>
      </w:r>
      <w:r>
        <w:rPr>
          <w:rFonts w:hint="eastAsia" w:ascii="宋体" w:hAnsi="宋体" w:eastAsia="宋体" w:cs="宋体"/>
          <w:bCs/>
          <w:color w:val="auto"/>
          <w:sz w:val="21"/>
          <w:szCs w:val="21"/>
          <w:highlight w:val="none"/>
          <w:lang w:val="en-US" w:eastAsia="zh-CN"/>
        </w:rPr>
        <w:t>。</w:t>
      </w:r>
    </w:p>
    <w:p w14:paraId="68CAFE18">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default"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3.</w:t>
      </w:r>
      <w:r>
        <w:rPr>
          <w:rFonts w:hint="eastAsia" w:ascii="宋体" w:hAnsi="宋体" w:eastAsia="宋体" w:cs="宋体"/>
          <w:bCs/>
          <w:color w:val="auto"/>
          <w:sz w:val="21"/>
          <w:szCs w:val="21"/>
          <w:highlight w:val="none"/>
          <w:lang w:val="en-US" w:eastAsia="zh-CN"/>
        </w:rPr>
        <w:t xml:space="preserve">本项目拟采购的医疗器械必须是在医疗器械注册证或备案证明有效期内生产的产品，供应商需提供医疗器械注册证或备案证明。                                                                                                                                </w:t>
      </w:r>
    </w:p>
    <w:p w14:paraId="47493087">
      <w:pPr>
        <w:rPr>
          <w:rFonts w:hint="eastAsia"/>
          <w:lang w:val="en-US" w:eastAsia="zh-CN"/>
        </w:rPr>
      </w:pPr>
    </w:p>
    <w:p w14:paraId="24006CCF">
      <w:pPr>
        <w:rPr>
          <w:rFonts w:hint="eastAsia" w:ascii="Times New Roman" w:hAnsi="Times New Roman" w:eastAsia="宋体" w:cs="Times New Roman"/>
          <w:b/>
          <w:color w:val="000000"/>
          <w:sz w:val="28"/>
          <w:szCs w:val="36"/>
          <w:highlight w:val="none"/>
          <w:lang w:val="en-US" w:eastAsia="zh-CN"/>
        </w:rPr>
      </w:pPr>
      <w:r>
        <w:rPr>
          <w:rFonts w:hint="eastAsia" w:cs="Times New Roman"/>
          <w:b/>
          <w:color w:val="000000"/>
          <w:sz w:val="28"/>
          <w:szCs w:val="36"/>
          <w:highlight w:val="none"/>
          <w:lang w:val="en-US" w:eastAsia="zh-CN"/>
        </w:rPr>
        <w:t>三、</w:t>
      </w:r>
      <w:r>
        <w:rPr>
          <w:rFonts w:hint="eastAsia" w:ascii="Times New Roman" w:hAnsi="Times New Roman" w:eastAsia="宋体" w:cs="Times New Roman"/>
          <w:b/>
          <w:color w:val="000000"/>
          <w:sz w:val="28"/>
          <w:szCs w:val="36"/>
          <w:highlight w:val="none"/>
          <w:lang w:val="en-US" w:eastAsia="zh-CN"/>
        </w:rPr>
        <w:t>商务要求</w:t>
      </w:r>
    </w:p>
    <w:p w14:paraId="0E753091">
      <w:pPr>
        <w:rPr>
          <w:rFonts w:hint="eastAsia" w:ascii="Times New Roman" w:hAnsi="Times New Roman" w:eastAsia="宋体" w:cs="Times New Roman"/>
          <w:b/>
          <w:bCs/>
          <w:sz w:val="22"/>
          <w:szCs w:val="22"/>
          <w:lang w:val="en-US" w:eastAsia="zh-CN"/>
        </w:rPr>
      </w:pPr>
      <w:r>
        <w:rPr>
          <w:rFonts w:hint="eastAsia" w:cs="Times New Roman"/>
          <w:b/>
          <w:bCs/>
          <w:sz w:val="22"/>
          <w:szCs w:val="22"/>
          <w:lang w:val="en-US" w:eastAsia="zh-CN"/>
        </w:rPr>
        <w:t>1.</w:t>
      </w:r>
      <w:r>
        <w:rPr>
          <w:rFonts w:hint="eastAsia" w:ascii="Times New Roman" w:hAnsi="Times New Roman" w:eastAsia="宋体" w:cs="Times New Roman"/>
          <w:b/>
          <w:bCs/>
          <w:sz w:val="22"/>
          <w:szCs w:val="22"/>
          <w:lang w:val="en-US" w:eastAsia="zh-CN"/>
        </w:rPr>
        <w:t>主要商务要求</w:t>
      </w:r>
    </w:p>
    <w:tbl>
      <w:tblPr>
        <w:tblStyle w:val="15"/>
        <w:tblW w:w="5044"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661"/>
        <w:gridCol w:w="6734"/>
      </w:tblGrid>
      <w:tr w14:paraId="69689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9" w:hRule="atLeast"/>
        </w:trPr>
        <w:tc>
          <w:tcPr>
            <w:tcW w:w="989" w:type="pct"/>
            <w:noWrap w:val="0"/>
            <w:vAlign w:val="center"/>
          </w:tcPr>
          <w:p w14:paraId="736F0381">
            <w:pPr>
              <w:pStyle w:val="19"/>
              <w:spacing w:line="360" w:lineRule="auto"/>
              <w:jc w:val="center"/>
              <w:rPr>
                <w:rFonts w:hint="eastAsia" w:eastAsia="宋体" w:cs="Tahoma"/>
                <w:b/>
                <w:bCs/>
                <w:color w:val="000000"/>
                <w:kern w:val="28"/>
                <w:sz w:val="21"/>
                <w:szCs w:val="21"/>
                <w:highlight w:val="none"/>
                <w:lang w:eastAsia="zh-CN"/>
              </w:rPr>
            </w:pPr>
            <w:r>
              <w:rPr>
                <w:rFonts w:hint="eastAsia" w:cs="Tahoma"/>
                <w:b/>
                <w:bCs/>
                <w:color w:val="000000"/>
                <w:kern w:val="28"/>
                <w:sz w:val="21"/>
                <w:szCs w:val="21"/>
                <w:highlight w:val="none"/>
                <w:lang w:val="en-US" w:eastAsia="zh-CN"/>
              </w:rPr>
              <w:t>交货期</w:t>
            </w:r>
          </w:p>
        </w:tc>
        <w:tc>
          <w:tcPr>
            <w:tcW w:w="4010" w:type="pct"/>
            <w:noWrap w:val="0"/>
            <w:vAlign w:val="top"/>
          </w:tcPr>
          <w:p w14:paraId="194C5B47">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自合同生效之日起30日内</w:t>
            </w:r>
            <w:r>
              <w:rPr>
                <w:rFonts w:hint="eastAsia" w:cs="Tahoma"/>
                <w:color w:val="000000"/>
                <w:kern w:val="28"/>
                <w:sz w:val="21"/>
                <w:szCs w:val="21"/>
                <w:highlight w:val="none"/>
                <w:lang w:val="en-US" w:eastAsia="zh-CN"/>
              </w:rPr>
              <w:t>完成安装调试</w:t>
            </w:r>
            <w:r>
              <w:rPr>
                <w:rFonts w:hint="eastAsia" w:cs="Tahoma"/>
                <w:color w:val="000000"/>
                <w:kern w:val="28"/>
                <w:sz w:val="21"/>
                <w:szCs w:val="21"/>
                <w:highlight w:val="none"/>
                <w:lang w:eastAsia="zh-CN"/>
              </w:rPr>
              <w:t>。</w:t>
            </w:r>
          </w:p>
        </w:tc>
      </w:tr>
      <w:tr w14:paraId="52CF3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0C3D842B">
            <w:pPr>
              <w:pStyle w:val="19"/>
              <w:spacing w:line="360" w:lineRule="auto"/>
              <w:jc w:val="center"/>
              <w:rPr>
                <w:rFonts w:hint="default" w:eastAsia="宋体" w:cs="Tahoma"/>
                <w:b/>
                <w:bCs/>
                <w:color w:val="000000"/>
                <w:kern w:val="28"/>
                <w:sz w:val="21"/>
                <w:szCs w:val="21"/>
                <w:highlight w:val="none"/>
                <w:lang w:val="en-US" w:eastAsia="zh-CN"/>
              </w:rPr>
            </w:pPr>
            <w:r>
              <w:rPr>
                <w:rFonts w:hint="eastAsia" w:cs="Tahoma"/>
                <w:b/>
                <w:bCs/>
                <w:color w:val="000000"/>
                <w:kern w:val="28"/>
                <w:sz w:val="21"/>
                <w:szCs w:val="21"/>
                <w:highlight w:val="none"/>
                <w:lang w:val="en-US" w:eastAsia="zh-CN"/>
              </w:rPr>
              <w:t>交货地点</w:t>
            </w:r>
          </w:p>
        </w:tc>
        <w:tc>
          <w:tcPr>
            <w:tcW w:w="4010" w:type="pct"/>
            <w:noWrap w:val="0"/>
            <w:vAlign w:val="top"/>
          </w:tcPr>
          <w:p w14:paraId="672504E2">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采购人指定地点。</w:t>
            </w:r>
          </w:p>
        </w:tc>
      </w:tr>
      <w:tr w14:paraId="5A6B8D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6055E4D2">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lang w:val="en-US" w:eastAsia="zh-CN"/>
              </w:rPr>
              <w:t>响应</w:t>
            </w:r>
            <w:r>
              <w:rPr>
                <w:rFonts w:hint="eastAsia" w:cs="Tahoma"/>
                <w:b/>
                <w:bCs/>
                <w:color w:val="000000"/>
                <w:kern w:val="28"/>
                <w:sz w:val="21"/>
                <w:szCs w:val="21"/>
                <w:highlight w:val="none"/>
              </w:rPr>
              <w:t>有效期</w:t>
            </w:r>
          </w:p>
        </w:tc>
        <w:tc>
          <w:tcPr>
            <w:tcW w:w="4010" w:type="pct"/>
            <w:noWrap w:val="0"/>
            <w:vAlign w:val="top"/>
          </w:tcPr>
          <w:p w14:paraId="77CC69E9">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从提交响应文件的截止之日起90日历天。</w:t>
            </w:r>
          </w:p>
        </w:tc>
      </w:tr>
      <w:tr w14:paraId="71D4C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1" w:hRule="atLeast"/>
        </w:trPr>
        <w:tc>
          <w:tcPr>
            <w:tcW w:w="989" w:type="pct"/>
            <w:noWrap w:val="0"/>
            <w:vAlign w:val="center"/>
          </w:tcPr>
          <w:p w14:paraId="23189258">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rPr>
              <w:t>付款方式</w:t>
            </w:r>
          </w:p>
        </w:tc>
        <w:tc>
          <w:tcPr>
            <w:tcW w:w="4010" w:type="pct"/>
            <w:noWrap w:val="0"/>
            <w:vAlign w:val="top"/>
          </w:tcPr>
          <w:p w14:paraId="624C8DC7">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（1）采购人的款项以银行转账方式支付。签订合同后，合同医疗器械到采购人指定地点交付并完成安装、验收合格后，成交供应商凭以下资料支付：</w:t>
            </w:r>
          </w:p>
          <w:p w14:paraId="29CB37D7">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①合同；②成交通知书；③验收表；④成交供应商开具的正式发票。</w:t>
            </w:r>
          </w:p>
          <w:p w14:paraId="63493EF8">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2）成交供应商全部安装完毕经采购人验收合格且收到全额发票后60日内采购人支付合同款的100%给成交供应商。因采购人使用的是财政资金，采购人申请汇款审批之日视为付款之日，若审批延迟则相应货款到账延迟，且不视为采购人违约。</w:t>
            </w:r>
          </w:p>
          <w:p w14:paraId="6D92629F">
            <w:pPr>
              <w:spacing w:line="360" w:lineRule="auto"/>
              <w:rPr>
                <w:rFonts w:hint="eastAsia" w:cs="Tahoma"/>
                <w:color w:val="000000"/>
                <w:kern w:val="28"/>
                <w:sz w:val="21"/>
                <w:szCs w:val="21"/>
                <w:highlight w:val="none"/>
                <w:lang w:eastAsia="zh-CN"/>
              </w:rPr>
            </w:pPr>
            <w:r>
              <w:rPr>
                <w:rFonts w:hint="eastAsia" w:ascii="Calibri" w:hAnsi="Calibri" w:cs="Tahoma"/>
                <w:color w:val="auto"/>
                <w:kern w:val="28"/>
                <w:sz w:val="21"/>
                <w:szCs w:val="21"/>
                <w:highlight w:val="none"/>
                <w:lang w:val="en-US" w:eastAsia="zh-CN" w:bidi="ar-SA"/>
              </w:rPr>
              <w:t>（</w:t>
            </w:r>
            <w:r>
              <w:rPr>
                <w:rFonts w:hint="eastAsia" w:ascii="Calibri" w:hAnsi="Calibri" w:eastAsia="宋体" w:cs="Tahoma"/>
                <w:color w:val="auto"/>
                <w:kern w:val="28"/>
                <w:sz w:val="21"/>
                <w:szCs w:val="21"/>
                <w:highlight w:val="none"/>
                <w:lang w:val="en-US" w:eastAsia="zh-CN" w:bidi="ar-SA"/>
              </w:rPr>
              <w:t>3</w:t>
            </w:r>
            <w:r>
              <w:rPr>
                <w:rFonts w:hint="eastAsia" w:ascii="Calibri" w:hAnsi="Calibri" w:cs="Tahoma"/>
                <w:color w:val="auto"/>
                <w:kern w:val="28"/>
                <w:sz w:val="21"/>
                <w:szCs w:val="21"/>
                <w:highlight w:val="none"/>
                <w:lang w:val="en-US" w:eastAsia="zh-CN" w:bidi="ar-SA"/>
              </w:rPr>
              <w:t>）</w:t>
            </w:r>
            <w:r>
              <w:rPr>
                <w:rFonts w:hint="eastAsia" w:ascii="Calibri" w:hAnsi="Calibri" w:eastAsia="宋体" w:cs="Tahoma"/>
                <w:color w:val="auto"/>
                <w:kern w:val="28"/>
                <w:sz w:val="21"/>
                <w:szCs w:val="21"/>
                <w:highlight w:val="none"/>
                <w:lang w:val="en-US" w:eastAsia="zh-CN" w:bidi="ar-SA"/>
              </w:rPr>
              <w:t>如成交供应商收款信息有变更，应提前十日通知采购人。否则采购人按照未变更的付款信息进行付款的，视为采购人已完成付款，产生的损失由成交供应商自行承担。</w:t>
            </w:r>
          </w:p>
        </w:tc>
      </w:tr>
      <w:tr w14:paraId="2EC67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6BAB9E9E">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rPr>
              <w:t>履约保证金</w:t>
            </w:r>
          </w:p>
        </w:tc>
        <w:tc>
          <w:tcPr>
            <w:tcW w:w="4010" w:type="pct"/>
            <w:noWrap w:val="0"/>
            <w:vAlign w:val="top"/>
          </w:tcPr>
          <w:p w14:paraId="58DEB54B">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不收取。</w:t>
            </w:r>
          </w:p>
        </w:tc>
      </w:tr>
      <w:tr w14:paraId="1D9259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989" w:type="pct"/>
            <w:noWrap w:val="0"/>
            <w:vAlign w:val="center"/>
          </w:tcPr>
          <w:p w14:paraId="70BD928F">
            <w:pPr>
              <w:widowControl/>
              <w:tabs>
                <w:tab w:val="left" w:pos="636"/>
              </w:tabs>
              <w:autoSpaceDE w:val="0"/>
              <w:autoSpaceDN w:val="0"/>
              <w:spacing w:line="360" w:lineRule="auto"/>
              <w:jc w:val="center"/>
              <w:textAlignment w:val="bottom"/>
              <w:rPr>
                <w:rFonts w:hint="eastAsia" w:cs="Tahoma"/>
                <w:b/>
                <w:bCs/>
                <w:color w:val="000000"/>
                <w:kern w:val="28"/>
                <w:sz w:val="21"/>
                <w:szCs w:val="21"/>
                <w:highlight w:val="none"/>
              </w:rPr>
            </w:pPr>
            <w:r>
              <w:rPr>
                <w:rFonts w:hint="eastAsia" w:ascii="宋体" w:hAnsi="宋体" w:eastAsia="宋体" w:cs="宋体"/>
                <w:b/>
                <w:bCs/>
                <w:color w:val="auto"/>
                <w:sz w:val="21"/>
                <w:szCs w:val="21"/>
                <w:lang w:val="en-US" w:eastAsia="zh-CN"/>
              </w:rPr>
              <w:t>报价说明</w:t>
            </w:r>
          </w:p>
        </w:tc>
        <w:tc>
          <w:tcPr>
            <w:tcW w:w="4010" w:type="pct"/>
            <w:noWrap w:val="0"/>
            <w:vAlign w:val="top"/>
          </w:tcPr>
          <w:p w14:paraId="49D533B8">
            <w:pPr>
              <w:widowControl/>
              <w:tabs>
                <w:tab w:val="left" w:pos="636"/>
              </w:tabs>
              <w:autoSpaceDE w:val="0"/>
              <w:autoSpaceDN w:val="0"/>
              <w:spacing w:line="360" w:lineRule="auto"/>
              <w:jc w:val="left"/>
              <w:textAlignment w:val="bottom"/>
              <w:rPr>
                <w:rFonts w:hint="eastAsia"/>
                <w:lang w:eastAsia="zh-CN"/>
              </w:rPr>
            </w:pPr>
            <w:bookmarkStart w:id="3" w:name="OLE_LINK2"/>
            <w:r>
              <w:rPr>
                <w:rFonts w:hint="eastAsia" w:ascii="宋体" w:hAnsi="宋体" w:eastAsia="宋体" w:cs="宋体"/>
                <w:color w:val="auto"/>
                <w:sz w:val="21"/>
                <w:szCs w:val="21"/>
                <w:lang w:val="en-US" w:eastAsia="zh-CN"/>
              </w:rPr>
              <w:t>供应商</w:t>
            </w:r>
            <w:r>
              <w:rPr>
                <w:rFonts w:hint="eastAsia" w:ascii="宋体" w:hAnsi="宋体" w:eastAsia="宋体" w:cs="宋体"/>
                <w:color w:val="auto"/>
                <w:sz w:val="21"/>
                <w:szCs w:val="21"/>
                <w:lang w:eastAsia="zh-CN"/>
              </w:rPr>
              <w:t>的报价包括但不限于设计、</w:t>
            </w:r>
            <w:r>
              <w:rPr>
                <w:rFonts w:hint="eastAsia" w:ascii="宋体" w:hAnsi="宋体" w:cs="宋体"/>
                <w:color w:val="auto"/>
                <w:sz w:val="21"/>
                <w:szCs w:val="21"/>
                <w:lang w:eastAsia="zh-CN"/>
              </w:rPr>
              <w:t>医疗器械</w:t>
            </w:r>
            <w:r>
              <w:rPr>
                <w:rFonts w:hint="eastAsia" w:ascii="宋体" w:hAnsi="宋体" w:eastAsia="宋体" w:cs="宋体"/>
                <w:color w:val="auto"/>
                <w:sz w:val="21"/>
                <w:szCs w:val="21"/>
                <w:lang w:eastAsia="zh-CN"/>
              </w:rPr>
              <w:t>制造、包装、仓储、运输、装卸、安装及验收合格之前及保修期与备品备件发生的所有含税费用</w:t>
            </w:r>
            <w:r>
              <w:rPr>
                <w:rFonts w:hint="eastAsia" w:ascii="Calibri" w:hAnsi="Calibri" w:eastAsia="宋体" w:cs="Tahoma"/>
                <w:color w:val="000000"/>
                <w:kern w:val="28"/>
                <w:sz w:val="21"/>
                <w:szCs w:val="21"/>
                <w:lang w:val="en-US" w:eastAsia="zh-CN" w:bidi="ar-SA"/>
              </w:rPr>
              <w:t>及合同实施过程中可预见和不可预见的一切费用，采购人不再额外支付任何费用</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并</w:t>
            </w:r>
            <w:r>
              <w:rPr>
                <w:rFonts w:hint="eastAsia" w:ascii="宋体" w:hAnsi="宋体" w:eastAsia="宋体" w:cs="宋体"/>
                <w:color w:val="auto"/>
                <w:sz w:val="21"/>
                <w:szCs w:val="21"/>
                <w:lang w:eastAsia="zh-CN"/>
              </w:rPr>
              <w:t>对所有内容进行</w:t>
            </w:r>
            <w:r>
              <w:rPr>
                <w:rFonts w:hint="eastAsia" w:ascii="宋体" w:hAnsi="宋体" w:eastAsia="宋体" w:cs="宋体"/>
                <w:b/>
                <w:bCs/>
                <w:color w:val="auto"/>
                <w:sz w:val="21"/>
                <w:szCs w:val="21"/>
                <w:lang w:val="en-US" w:eastAsia="zh-CN"/>
              </w:rPr>
              <w:t>一次性</w:t>
            </w:r>
            <w:r>
              <w:rPr>
                <w:rFonts w:hint="eastAsia" w:ascii="宋体" w:hAnsi="宋体" w:eastAsia="宋体" w:cs="宋体"/>
                <w:b/>
                <w:bCs/>
                <w:color w:val="auto"/>
                <w:sz w:val="21"/>
                <w:szCs w:val="21"/>
                <w:lang w:eastAsia="zh-CN"/>
              </w:rPr>
              <w:t>报价</w:t>
            </w:r>
            <w:r>
              <w:rPr>
                <w:rFonts w:hint="eastAsia" w:ascii="宋体" w:hAnsi="宋体" w:eastAsia="宋体" w:cs="宋体"/>
                <w:color w:val="auto"/>
                <w:sz w:val="21"/>
                <w:szCs w:val="21"/>
                <w:lang w:eastAsia="zh-CN"/>
              </w:rPr>
              <w:t>。报价不能超出</w:t>
            </w:r>
            <w:r>
              <w:rPr>
                <w:rFonts w:hint="eastAsia" w:ascii="宋体" w:hAnsi="宋体" w:cs="宋体"/>
                <w:color w:val="auto"/>
                <w:sz w:val="21"/>
                <w:szCs w:val="21"/>
                <w:lang w:eastAsia="zh-CN"/>
              </w:rPr>
              <w:t>本采购包</w:t>
            </w:r>
            <w:r>
              <w:rPr>
                <w:rFonts w:hint="eastAsia" w:ascii="宋体" w:hAnsi="宋体" w:eastAsia="宋体" w:cs="宋体"/>
                <w:color w:val="auto"/>
                <w:sz w:val="21"/>
                <w:szCs w:val="21"/>
                <w:lang w:eastAsia="zh-CN"/>
              </w:rPr>
              <w:t>预算单价及总价，超出</w:t>
            </w:r>
            <w:r>
              <w:rPr>
                <w:rFonts w:hint="eastAsia" w:ascii="宋体" w:hAnsi="宋体" w:cs="宋体"/>
                <w:color w:val="auto"/>
                <w:sz w:val="21"/>
                <w:szCs w:val="21"/>
                <w:lang w:eastAsia="zh-CN"/>
              </w:rPr>
              <w:t>本采购包</w:t>
            </w:r>
            <w:r>
              <w:rPr>
                <w:rFonts w:hint="eastAsia" w:ascii="宋体" w:hAnsi="宋体" w:eastAsia="宋体" w:cs="宋体"/>
                <w:color w:val="auto"/>
                <w:sz w:val="21"/>
                <w:szCs w:val="21"/>
                <w:lang w:eastAsia="zh-CN"/>
              </w:rPr>
              <w:t>预算单价及总价的为无效响应。</w:t>
            </w:r>
            <w:bookmarkEnd w:id="3"/>
          </w:p>
        </w:tc>
      </w:tr>
    </w:tbl>
    <w:p w14:paraId="16F8C24E">
      <w:pPr>
        <w:rPr>
          <w:highlight w:val="none"/>
          <w:lang w:eastAsia="zh-CN"/>
        </w:rPr>
      </w:pPr>
    </w:p>
    <w:p w14:paraId="4230C7E5">
      <w:pPr>
        <w:rPr>
          <w:rFonts w:hint="eastAsia" w:ascii="Times New Roman" w:hAnsi="Times New Roman" w:eastAsia="宋体" w:cs="Times New Roman"/>
          <w:b/>
          <w:bCs/>
          <w:sz w:val="22"/>
          <w:szCs w:val="22"/>
          <w:lang w:val="en-US" w:eastAsia="zh-CN"/>
        </w:rPr>
      </w:pPr>
      <w:r>
        <w:rPr>
          <w:rFonts w:hint="eastAsia" w:cs="Times New Roman"/>
          <w:b/>
          <w:bCs/>
          <w:sz w:val="22"/>
          <w:szCs w:val="22"/>
          <w:lang w:val="en-US" w:eastAsia="zh-CN"/>
        </w:rPr>
        <w:t>2.</w:t>
      </w:r>
      <w:r>
        <w:rPr>
          <w:rFonts w:hint="eastAsia" w:ascii="Times New Roman" w:hAnsi="Times New Roman" w:eastAsia="宋体" w:cs="Times New Roman"/>
          <w:b/>
          <w:bCs/>
          <w:sz w:val="22"/>
          <w:szCs w:val="22"/>
          <w:lang w:val="en-US" w:eastAsia="zh-CN"/>
        </w:rPr>
        <w:t>其他商务要求</w:t>
      </w:r>
    </w:p>
    <w:tbl>
      <w:tblPr>
        <w:tblStyle w:val="16"/>
        <w:tblW w:w="493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4"/>
        <w:gridCol w:w="6736"/>
      </w:tblGrid>
      <w:tr w14:paraId="41447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995" w:type="pct"/>
            <w:noWrap w:val="0"/>
            <w:vAlign w:val="center"/>
          </w:tcPr>
          <w:p w14:paraId="4ED1FBFC">
            <w:pPr>
              <w:widowControl/>
              <w:tabs>
                <w:tab w:val="left" w:pos="636"/>
              </w:tabs>
              <w:autoSpaceDE w:val="0"/>
              <w:autoSpaceDN w:val="0"/>
              <w:spacing w:line="360" w:lineRule="auto"/>
              <w:jc w:val="center"/>
              <w:textAlignment w:val="bottom"/>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内容明细</w:t>
            </w:r>
          </w:p>
        </w:tc>
        <w:tc>
          <w:tcPr>
            <w:tcW w:w="4004" w:type="pct"/>
            <w:noWrap w:val="0"/>
            <w:vAlign w:val="center"/>
          </w:tcPr>
          <w:p w14:paraId="0D84E131">
            <w:pPr>
              <w:widowControl/>
              <w:tabs>
                <w:tab w:val="left" w:pos="636"/>
              </w:tabs>
              <w:autoSpaceDE w:val="0"/>
              <w:autoSpaceDN w:val="0"/>
              <w:spacing w:line="360" w:lineRule="auto"/>
              <w:jc w:val="center"/>
              <w:textAlignment w:val="bottom"/>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内容说明</w:t>
            </w:r>
          </w:p>
        </w:tc>
      </w:tr>
      <w:tr w14:paraId="73904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6C734B44">
            <w:pPr>
              <w:tabs>
                <w:tab w:val="decimal" w:pos="315"/>
                <w:tab w:val="left" w:pos="630"/>
              </w:tabs>
              <w:spacing w:line="360" w:lineRule="auto"/>
              <w:jc w:val="center"/>
              <w:rPr>
                <w:rFonts w:hint="eastAsia" w:ascii="宋体" w:hAnsi="宋体" w:eastAsia="宋体" w:cs="宋体"/>
                <w:b/>
                <w:bCs/>
                <w:sz w:val="21"/>
                <w:szCs w:val="21"/>
              </w:rPr>
            </w:pPr>
          </w:p>
          <w:p w14:paraId="7868691D">
            <w:pPr>
              <w:tabs>
                <w:tab w:val="decimal" w:pos="315"/>
                <w:tab w:val="left" w:pos="630"/>
              </w:tabs>
              <w:spacing w:line="360" w:lineRule="auto"/>
              <w:jc w:val="center"/>
              <w:rPr>
                <w:rFonts w:hint="eastAsia" w:ascii="宋体" w:hAnsi="宋体" w:eastAsia="宋体" w:cs="宋体"/>
                <w:b/>
                <w:bCs/>
                <w:sz w:val="21"/>
                <w:szCs w:val="21"/>
              </w:rPr>
            </w:pPr>
          </w:p>
          <w:p w14:paraId="3A4B8DE5">
            <w:pPr>
              <w:tabs>
                <w:tab w:val="decimal" w:pos="315"/>
                <w:tab w:val="left" w:pos="630"/>
              </w:tabs>
              <w:spacing w:line="360" w:lineRule="auto"/>
              <w:jc w:val="center"/>
              <w:rPr>
                <w:rFonts w:hint="eastAsia" w:ascii="宋体" w:hAnsi="宋体" w:eastAsia="宋体" w:cs="宋体"/>
                <w:b/>
                <w:bCs/>
                <w:sz w:val="21"/>
                <w:szCs w:val="21"/>
              </w:rPr>
            </w:pPr>
          </w:p>
          <w:p w14:paraId="739822A6">
            <w:pPr>
              <w:tabs>
                <w:tab w:val="decimal" w:pos="315"/>
                <w:tab w:val="left" w:pos="630"/>
              </w:tabs>
              <w:spacing w:line="360" w:lineRule="auto"/>
              <w:jc w:val="center"/>
              <w:rPr>
                <w:rFonts w:hint="eastAsia" w:ascii="宋体" w:hAnsi="宋体" w:eastAsia="宋体" w:cs="宋体"/>
                <w:b/>
                <w:bCs/>
                <w:sz w:val="21"/>
                <w:szCs w:val="21"/>
              </w:rPr>
            </w:pPr>
          </w:p>
          <w:p w14:paraId="46B2B707">
            <w:pPr>
              <w:tabs>
                <w:tab w:val="decimal" w:pos="315"/>
                <w:tab w:val="left" w:pos="630"/>
              </w:tabs>
              <w:spacing w:line="360" w:lineRule="auto"/>
              <w:jc w:val="center"/>
              <w:rPr>
                <w:rFonts w:hint="eastAsia" w:ascii="宋体" w:hAnsi="宋体" w:eastAsia="宋体" w:cs="宋体"/>
                <w:b/>
                <w:bCs/>
                <w:sz w:val="21"/>
                <w:szCs w:val="21"/>
              </w:rPr>
            </w:pPr>
          </w:p>
          <w:p w14:paraId="45A5A8B6">
            <w:pPr>
              <w:tabs>
                <w:tab w:val="decimal" w:pos="315"/>
                <w:tab w:val="left" w:pos="630"/>
              </w:tabs>
              <w:spacing w:line="360" w:lineRule="auto"/>
              <w:jc w:val="center"/>
              <w:rPr>
                <w:rFonts w:hint="eastAsia" w:ascii="宋体" w:hAnsi="宋体" w:eastAsia="宋体" w:cs="宋体"/>
                <w:b/>
                <w:bCs/>
                <w:sz w:val="21"/>
                <w:szCs w:val="21"/>
              </w:rPr>
            </w:pPr>
          </w:p>
          <w:p w14:paraId="69ED9C79">
            <w:pPr>
              <w:tabs>
                <w:tab w:val="decimal" w:pos="315"/>
                <w:tab w:val="left" w:pos="630"/>
              </w:tabs>
              <w:spacing w:line="360" w:lineRule="auto"/>
              <w:jc w:val="center"/>
              <w:rPr>
                <w:rFonts w:hint="eastAsia" w:ascii="宋体" w:hAnsi="宋体" w:eastAsia="宋体" w:cs="宋体"/>
                <w:b/>
                <w:bCs/>
                <w:sz w:val="21"/>
                <w:szCs w:val="21"/>
              </w:rPr>
            </w:pPr>
          </w:p>
          <w:p w14:paraId="3E09E589">
            <w:pPr>
              <w:tabs>
                <w:tab w:val="decimal" w:pos="315"/>
                <w:tab w:val="left" w:pos="630"/>
              </w:tabs>
              <w:spacing w:line="360" w:lineRule="auto"/>
              <w:jc w:val="center"/>
              <w:rPr>
                <w:rFonts w:hint="eastAsia" w:ascii="宋体" w:hAnsi="宋体" w:eastAsia="宋体" w:cs="宋体"/>
                <w:b/>
                <w:bCs/>
                <w:sz w:val="21"/>
                <w:szCs w:val="21"/>
              </w:rPr>
            </w:pPr>
          </w:p>
          <w:p w14:paraId="389AE5E9">
            <w:pPr>
              <w:tabs>
                <w:tab w:val="decimal" w:pos="315"/>
                <w:tab w:val="left" w:pos="630"/>
              </w:tabs>
              <w:spacing w:line="360" w:lineRule="auto"/>
              <w:jc w:val="center"/>
              <w:rPr>
                <w:rFonts w:hint="eastAsia" w:ascii="宋体" w:hAnsi="宋体" w:eastAsia="宋体" w:cs="宋体"/>
                <w:color w:val="000000"/>
                <w:sz w:val="21"/>
                <w:szCs w:val="21"/>
              </w:rPr>
            </w:pPr>
            <w:r>
              <w:rPr>
                <w:rFonts w:hint="eastAsia" w:ascii="宋体" w:hAnsi="宋体" w:cs="宋体"/>
                <w:b/>
                <w:bCs/>
                <w:sz w:val="21"/>
                <w:szCs w:val="21"/>
                <w:lang w:eastAsia="zh-CN"/>
              </w:rPr>
              <w:t>医疗器械</w:t>
            </w:r>
            <w:r>
              <w:rPr>
                <w:rFonts w:hint="eastAsia" w:ascii="宋体" w:hAnsi="宋体" w:eastAsia="宋体" w:cs="宋体"/>
                <w:b/>
                <w:bCs/>
                <w:sz w:val="21"/>
                <w:szCs w:val="21"/>
              </w:rPr>
              <w:t>包装、安装、调试及验收</w:t>
            </w:r>
          </w:p>
        </w:tc>
        <w:tc>
          <w:tcPr>
            <w:tcW w:w="4004" w:type="pct"/>
            <w:noWrap w:val="0"/>
            <w:vAlign w:val="top"/>
          </w:tcPr>
          <w:p w14:paraId="549CE91A">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w:t>
            </w:r>
            <w:r>
              <w:rPr>
                <w:rFonts w:hint="eastAsia" w:ascii="宋体" w:hAnsi="宋体" w:eastAsia="宋体" w:cs="宋体"/>
                <w:sz w:val="21"/>
                <w:szCs w:val="21"/>
              </w:rPr>
              <w:t>包装要求：</w:t>
            </w:r>
            <w:r>
              <w:rPr>
                <w:rFonts w:hint="eastAsia" w:ascii="宋体" w:hAnsi="宋体" w:cs="宋体"/>
                <w:sz w:val="21"/>
                <w:szCs w:val="21"/>
                <w:lang w:eastAsia="zh-CN"/>
              </w:rPr>
              <w:t>医疗器械</w:t>
            </w:r>
            <w:r>
              <w:rPr>
                <w:rFonts w:hint="eastAsia" w:ascii="宋体" w:hAnsi="宋体" w:eastAsia="宋体" w:cs="宋体"/>
                <w:sz w:val="21"/>
                <w:szCs w:val="21"/>
              </w:rPr>
              <w:t>的包装均应有良好的防湿、防锈、防潮、防雨、防腐及防碰撞的等保证</w:t>
            </w:r>
            <w:r>
              <w:rPr>
                <w:rFonts w:hint="eastAsia" w:ascii="宋体" w:hAnsi="宋体" w:cs="宋体"/>
                <w:sz w:val="21"/>
                <w:szCs w:val="21"/>
                <w:lang w:eastAsia="zh-CN"/>
              </w:rPr>
              <w:t>医疗器械</w:t>
            </w:r>
            <w:r>
              <w:rPr>
                <w:rFonts w:hint="eastAsia" w:ascii="宋体" w:hAnsi="宋体" w:eastAsia="宋体" w:cs="宋体"/>
                <w:sz w:val="21"/>
                <w:szCs w:val="21"/>
              </w:rPr>
              <w:t>外观完整及功能正常等措施。凡由于包装不良造成的损失和由此产生的费用均由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7D642074">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w:t>
            </w:r>
            <w:r>
              <w:rPr>
                <w:rFonts w:hint="eastAsia" w:ascii="宋体" w:hAnsi="宋体" w:eastAsia="宋体" w:cs="宋体"/>
                <w:sz w:val="21"/>
                <w:szCs w:val="21"/>
              </w:rPr>
              <w:t>安装调试：</w:t>
            </w:r>
          </w:p>
          <w:p w14:paraId="1009B637">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①成交供应商</w:t>
            </w:r>
            <w:r>
              <w:rPr>
                <w:rFonts w:hint="eastAsia" w:ascii="宋体" w:hAnsi="宋体" w:eastAsia="宋体" w:cs="宋体"/>
                <w:sz w:val="21"/>
                <w:szCs w:val="21"/>
              </w:rPr>
              <w:t>负责合同项下的安装调试，一切费用由</w:t>
            </w:r>
            <w:r>
              <w:rPr>
                <w:rFonts w:hint="eastAsia" w:ascii="宋体" w:hAnsi="宋体" w:cs="宋体"/>
                <w:sz w:val="21"/>
                <w:szCs w:val="21"/>
                <w:lang w:eastAsia="zh-CN"/>
              </w:rPr>
              <w:t>成交供应商</w:t>
            </w:r>
            <w:r>
              <w:rPr>
                <w:rFonts w:hint="eastAsia" w:ascii="宋体" w:hAnsi="宋体" w:eastAsia="宋体" w:cs="宋体"/>
                <w:sz w:val="21"/>
                <w:szCs w:val="21"/>
              </w:rPr>
              <w:t>负责；</w:t>
            </w:r>
          </w:p>
          <w:p w14:paraId="37FF3046">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②医疗器械</w:t>
            </w:r>
            <w:r>
              <w:rPr>
                <w:rFonts w:hint="eastAsia" w:ascii="宋体" w:hAnsi="宋体" w:eastAsia="宋体" w:cs="宋体"/>
                <w:sz w:val="21"/>
                <w:szCs w:val="21"/>
              </w:rPr>
              <w:t>安装时须对各安装场地内的其它</w:t>
            </w:r>
            <w:r>
              <w:rPr>
                <w:rFonts w:hint="eastAsia" w:ascii="宋体" w:hAnsi="宋体" w:cs="宋体"/>
                <w:sz w:val="21"/>
                <w:szCs w:val="21"/>
                <w:lang w:eastAsia="zh-CN"/>
              </w:rPr>
              <w:t>设备</w:t>
            </w:r>
            <w:r>
              <w:rPr>
                <w:rFonts w:hint="eastAsia" w:ascii="宋体" w:hAnsi="宋体" w:eastAsia="宋体" w:cs="宋体"/>
                <w:sz w:val="21"/>
                <w:szCs w:val="21"/>
              </w:rPr>
              <w:t>、设施有良好保护措施；</w:t>
            </w:r>
          </w:p>
          <w:p w14:paraId="6B971BC7">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③成交供应商</w:t>
            </w:r>
            <w:r>
              <w:rPr>
                <w:rFonts w:hint="eastAsia" w:ascii="宋体" w:hAnsi="宋体" w:eastAsia="宋体" w:cs="宋体"/>
                <w:sz w:val="21"/>
                <w:szCs w:val="21"/>
              </w:rPr>
              <w:t>对安装现场承担安全管理责任，安装过程中由于</w:t>
            </w:r>
            <w:r>
              <w:rPr>
                <w:rFonts w:hint="eastAsia" w:ascii="宋体" w:hAnsi="宋体" w:cs="宋体"/>
                <w:sz w:val="21"/>
                <w:szCs w:val="21"/>
                <w:lang w:eastAsia="zh-CN"/>
              </w:rPr>
              <w:t>成交供应商</w:t>
            </w:r>
            <w:r>
              <w:rPr>
                <w:rFonts w:hint="eastAsia" w:ascii="宋体" w:hAnsi="宋体" w:eastAsia="宋体" w:cs="宋体"/>
                <w:sz w:val="21"/>
                <w:szCs w:val="21"/>
              </w:rPr>
              <w:t>原因所造成的一切安全责任事故由</w:t>
            </w:r>
            <w:r>
              <w:rPr>
                <w:rFonts w:hint="eastAsia" w:ascii="宋体" w:hAnsi="宋体" w:cs="宋体"/>
                <w:sz w:val="21"/>
                <w:szCs w:val="21"/>
                <w:lang w:eastAsia="zh-CN"/>
              </w:rPr>
              <w:t>成交供应商</w:t>
            </w:r>
            <w:r>
              <w:rPr>
                <w:rFonts w:hint="eastAsia" w:ascii="宋体" w:hAnsi="宋体" w:eastAsia="宋体" w:cs="宋体"/>
                <w:sz w:val="21"/>
                <w:szCs w:val="21"/>
              </w:rPr>
              <w:t>承担。</w:t>
            </w:r>
            <w:r>
              <w:rPr>
                <w:rFonts w:hint="eastAsia" w:ascii="宋体" w:hAnsi="宋体" w:cs="宋体"/>
                <w:sz w:val="21"/>
                <w:szCs w:val="21"/>
                <w:lang w:eastAsia="zh-CN"/>
              </w:rPr>
              <w:t>成交供应商</w:t>
            </w:r>
            <w:r>
              <w:rPr>
                <w:rFonts w:hint="eastAsia" w:ascii="宋体" w:hAnsi="宋体" w:eastAsia="宋体" w:cs="宋体"/>
                <w:sz w:val="21"/>
                <w:szCs w:val="21"/>
              </w:rPr>
              <w:t>因安装造成采购人人员等他人人身、财产损害的，</w:t>
            </w:r>
            <w:r>
              <w:rPr>
                <w:rFonts w:hint="eastAsia" w:ascii="宋体" w:hAnsi="宋体" w:cs="宋体"/>
                <w:sz w:val="21"/>
                <w:szCs w:val="21"/>
                <w:lang w:eastAsia="zh-CN"/>
              </w:rPr>
              <w:t>成交供应商</w:t>
            </w:r>
            <w:r>
              <w:rPr>
                <w:rFonts w:hint="eastAsia" w:ascii="宋体" w:hAnsi="宋体" w:eastAsia="宋体" w:cs="宋体"/>
                <w:sz w:val="21"/>
                <w:szCs w:val="21"/>
              </w:rPr>
              <w:t>承担全部赔偿责任。因此造成采购人被相关权利人索赔的，采购人有权全额向</w:t>
            </w:r>
            <w:r>
              <w:rPr>
                <w:rFonts w:hint="eastAsia" w:ascii="宋体" w:hAnsi="宋体" w:cs="宋体"/>
                <w:sz w:val="21"/>
                <w:szCs w:val="21"/>
                <w:lang w:eastAsia="zh-CN"/>
              </w:rPr>
              <w:t>成交供应商</w:t>
            </w:r>
            <w:r>
              <w:rPr>
                <w:rFonts w:hint="eastAsia" w:ascii="宋体" w:hAnsi="宋体" w:eastAsia="宋体" w:cs="宋体"/>
                <w:sz w:val="21"/>
                <w:szCs w:val="21"/>
              </w:rPr>
              <w:t>追偿；</w:t>
            </w:r>
          </w:p>
          <w:p w14:paraId="634BBC01">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④</w:t>
            </w:r>
            <w:r>
              <w:rPr>
                <w:rFonts w:hint="eastAsia" w:ascii="宋体" w:hAnsi="宋体" w:eastAsia="宋体" w:cs="宋体"/>
                <w:sz w:val="21"/>
                <w:szCs w:val="21"/>
              </w:rPr>
              <w:t>安装完毕后</w:t>
            </w:r>
            <w:r>
              <w:rPr>
                <w:rFonts w:hint="eastAsia" w:ascii="宋体" w:hAnsi="宋体" w:cs="宋体"/>
                <w:sz w:val="21"/>
                <w:szCs w:val="21"/>
                <w:lang w:eastAsia="zh-CN"/>
              </w:rPr>
              <w:t>成交供应商</w:t>
            </w:r>
            <w:r>
              <w:rPr>
                <w:rFonts w:hint="eastAsia" w:ascii="宋体" w:hAnsi="宋体" w:eastAsia="宋体" w:cs="宋体"/>
                <w:sz w:val="21"/>
                <w:szCs w:val="21"/>
              </w:rPr>
              <w:t>应负责对场所进行清场，否则采购人有权自主采取措施并要求</w:t>
            </w:r>
            <w:r>
              <w:rPr>
                <w:rFonts w:hint="eastAsia" w:ascii="宋体" w:hAnsi="宋体" w:cs="宋体"/>
                <w:sz w:val="21"/>
                <w:szCs w:val="21"/>
                <w:lang w:eastAsia="zh-CN"/>
              </w:rPr>
              <w:t>成交供应商</w:t>
            </w:r>
            <w:r>
              <w:rPr>
                <w:rFonts w:hint="eastAsia" w:ascii="宋体" w:hAnsi="宋体" w:eastAsia="宋体" w:cs="宋体"/>
                <w:sz w:val="21"/>
                <w:szCs w:val="21"/>
              </w:rPr>
              <w:t>承担相应费用；</w:t>
            </w:r>
          </w:p>
          <w:p w14:paraId="0E96937D">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⑤成交供应商</w:t>
            </w:r>
            <w:r>
              <w:rPr>
                <w:rFonts w:hint="eastAsia" w:ascii="宋体" w:hAnsi="宋体" w:eastAsia="宋体" w:cs="宋体"/>
                <w:sz w:val="21"/>
                <w:szCs w:val="21"/>
              </w:rPr>
              <w:t>现场安装施工人员的安全由</w:t>
            </w:r>
            <w:r>
              <w:rPr>
                <w:rFonts w:hint="eastAsia" w:ascii="宋体" w:hAnsi="宋体" w:cs="宋体"/>
                <w:sz w:val="21"/>
                <w:szCs w:val="21"/>
                <w:lang w:eastAsia="zh-CN"/>
              </w:rPr>
              <w:t>成交供应商</w:t>
            </w:r>
            <w:r>
              <w:rPr>
                <w:rFonts w:hint="eastAsia" w:ascii="宋体" w:hAnsi="宋体" w:eastAsia="宋体" w:cs="宋体"/>
                <w:sz w:val="21"/>
                <w:szCs w:val="21"/>
              </w:rPr>
              <w:t>自行负责，安装期间所发生的安全事故及财产损失、人身伤亡由</w:t>
            </w:r>
            <w:r>
              <w:rPr>
                <w:rFonts w:hint="eastAsia" w:ascii="宋体" w:hAnsi="宋体" w:cs="宋体"/>
                <w:sz w:val="21"/>
                <w:szCs w:val="21"/>
                <w:lang w:eastAsia="zh-CN"/>
              </w:rPr>
              <w:t>成交供应商</w:t>
            </w:r>
            <w:r>
              <w:rPr>
                <w:rFonts w:hint="eastAsia" w:ascii="宋体" w:hAnsi="宋体" w:eastAsia="宋体" w:cs="宋体"/>
                <w:sz w:val="21"/>
                <w:szCs w:val="21"/>
              </w:rPr>
              <w:t>负责，采购人无需承担任何赔偿责任。</w:t>
            </w:r>
          </w:p>
          <w:p w14:paraId="2AABDF38">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w:t>
            </w:r>
            <w:r>
              <w:rPr>
                <w:rFonts w:hint="eastAsia" w:ascii="宋体" w:hAnsi="宋体" w:eastAsia="宋体" w:cs="宋体"/>
                <w:sz w:val="21"/>
                <w:szCs w:val="21"/>
              </w:rPr>
              <w:t>验收方式：</w:t>
            </w:r>
          </w:p>
          <w:p w14:paraId="37B9D864">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①</w:t>
            </w:r>
            <w:r>
              <w:rPr>
                <w:rFonts w:hint="eastAsia" w:ascii="宋体" w:hAnsi="宋体" w:eastAsia="宋体" w:cs="宋体"/>
                <w:sz w:val="21"/>
                <w:szCs w:val="21"/>
              </w:rPr>
              <w:t>合同</w:t>
            </w:r>
            <w:r>
              <w:rPr>
                <w:rFonts w:hint="eastAsia" w:ascii="宋体" w:hAnsi="宋体" w:cs="宋体"/>
                <w:sz w:val="21"/>
                <w:szCs w:val="21"/>
                <w:lang w:eastAsia="zh-CN"/>
              </w:rPr>
              <w:t>医疗器械</w:t>
            </w:r>
            <w:r>
              <w:rPr>
                <w:rFonts w:hint="eastAsia" w:ascii="宋体" w:hAnsi="宋体" w:eastAsia="宋体" w:cs="宋体"/>
                <w:sz w:val="21"/>
                <w:szCs w:val="21"/>
              </w:rPr>
              <w:t>安装调试完成并移交所有资料文档后5个工作日内验收，验收应在采购人、</w:t>
            </w:r>
            <w:r>
              <w:rPr>
                <w:rFonts w:hint="eastAsia" w:ascii="宋体" w:hAnsi="宋体" w:cs="宋体"/>
                <w:sz w:val="21"/>
                <w:szCs w:val="21"/>
                <w:lang w:eastAsia="zh-CN"/>
              </w:rPr>
              <w:t>成交供应商</w:t>
            </w:r>
            <w:r>
              <w:rPr>
                <w:rFonts w:hint="eastAsia" w:ascii="宋体" w:hAnsi="宋体" w:eastAsia="宋体" w:cs="宋体"/>
                <w:sz w:val="21"/>
                <w:szCs w:val="21"/>
              </w:rPr>
              <w:t>双方共同参加下进行，验收标准按照国家有关标准；</w:t>
            </w:r>
          </w:p>
          <w:p w14:paraId="3335F613">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②</w:t>
            </w:r>
            <w:r>
              <w:rPr>
                <w:rFonts w:hint="eastAsia" w:ascii="宋体" w:hAnsi="宋体" w:eastAsia="宋体" w:cs="宋体"/>
                <w:sz w:val="21"/>
                <w:szCs w:val="21"/>
              </w:rPr>
              <w:t>验收按国家有关的规定、规范进行。验收时如发现所交付的</w:t>
            </w:r>
            <w:r>
              <w:rPr>
                <w:rFonts w:hint="eastAsia" w:ascii="宋体" w:hAnsi="宋体" w:cs="宋体"/>
                <w:sz w:val="21"/>
                <w:szCs w:val="21"/>
                <w:lang w:eastAsia="zh-CN"/>
              </w:rPr>
              <w:t>医疗器械</w:t>
            </w:r>
            <w:r>
              <w:rPr>
                <w:rFonts w:hint="eastAsia" w:ascii="宋体" w:hAnsi="宋体" w:eastAsia="宋体" w:cs="宋体"/>
                <w:sz w:val="21"/>
                <w:szCs w:val="21"/>
              </w:rPr>
              <w:t>有短装、次品、损坏或其它不符合合同规定之情形者，采购人应做出详尽的现场记录，或由采购人、</w:t>
            </w:r>
            <w:r>
              <w:rPr>
                <w:rFonts w:hint="eastAsia" w:ascii="宋体" w:hAnsi="宋体" w:cs="宋体"/>
                <w:sz w:val="21"/>
                <w:szCs w:val="21"/>
                <w:lang w:eastAsia="zh-CN"/>
              </w:rPr>
              <w:t>成交供应商</w:t>
            </w:r>
            <w:r>
              <w:rPr>
                <w:rFonts w:hint="eastAsia" w:ascii="宋体" w:hAnsi="宋体" w:eastAsia="宋体" w:cs="宋体"/>
                <w:sz w:val="21"/>
                <w:szCs w:val="21"/>
              </w:rPr>
              <w:t>双方签署备忘录。现场记录或备忘录可用作补充、缺失和更换损坏部件的有效证据。若发生上述情形，采购人有权要求退货或换货，由此产生的有关费用由</w:t>
            </w:r>
            <w:r>
              <w:rPr>
                <w:rFonts w:hint="eastAsia" w:ascii="宋体" w:hAnsi="宋体" w:cs="宋体"/>
                <w:sz w:val="21"/>
                <w:szCs w:val="21"/>
                <w:lang w:eastAsia="zh-CN"/>
              </w:rPr>
              <w:t>成交供应商</w:t>
            </w:r>
            <w:r>
              <w:rPr>
                <w:rFonts w:hint="eastAsia" w:ascii="宋体" w:hAnsi="宋体" w:eastAsia="宋体" w:cs="宋体"/>
                <w:sz w:val="21"/>
                <w:szCs w:val="21"/>
              </w:rPr>
              <w:t>承担，验收期限相应后延；</w:t>
            </w:r>
          </w:p>
          <w:p w14:paraId="679909CD">
            <w:pPr>
              <w:tabs>
                <w:tab w:val="decimal" w:pos="315"/>
                <w:tab w:val="left" w:pos="630"/>
              </w:tabs>
              <w:spacing w:line="360" w:lineRule="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 xml:space="preserve"> </w:t>
            </w:r>
            <w:r>
              <w:rPr>
                <w:rFonts w:hint="eastAsia" w:ascii="宋体" w:hAnsi="宋体" w:cs="宋体"/>
                <w:sz w:val="21"/>
                <w:szCs w:val="21"/>
                <w:lang w:val="en-US" w:eastAsia="zh-CN"/>
              </w:rPr>
              <w:t xml:space="preserve"> ③</w:t>
            </w:r>
            <w:r>
              <w:rPr>
                <w:rFonts w:hint="eastAsia" w:ascii="宋体" w:hAnsi="宋体" w:eastAsia="宋体" w:cs="宋体"/>
                <w:sz w:val="21"/>
                <w:szCs w:val="21"/>
              </w:rPr>
              <w:t>如果</w:t>
            </w:r>
            <w:r>
              <w:rPr>
                <w:rFonts w:hint="eastAsia" w:ascii="宋体" w:hAnsi="宋体" w:cs="宋体"/>
                <w:sz w:val="21"/>
                <w:szCs w:val="21"/>
                <w:lang w:eastAsia="zh-CN"/>
              </w:rPr>
              <w:t>医疗器械</w:t>
            </w:r>
            <w:r>
              <w:rPr>
                <w:rFonts w:hint="eastAsia" w:ascii="宋体" w:hAnsi="宋体" w:eastAsia="宋体" w:cs="宋体"/>
                <w:sz w:val="21"/>
                <w:szCs w:val="21"/>
              </w:rPr>
              <w:t>运输和安装调试过程中因事故造成货物短缺、损坏，</w:t>
            </w:r>
            <w:r>
              <w:rPr>
                <w:rFonts w:hint="eastAsia" w:ascii="宋体" w:hAnsi="宋体" w:cs="宋体"/>
                <w:sz w:val="21"/>
                <w:szCs w:val="21"/>
                <w:lang w:eastAsia="zh-CN"/>
              </w:rPr>
              <w:t>成交供应商</w:t>
            </w:r>
            <w:r>
              <w:rPr>
                <w:rFonts w:hint="eastAsia" w:ascii="宋体" w:hAnsi="宋体" w:eastAsia="宋体" w:cs="宋体"/>
                <w:sz w:val="21"/>
                <w:szCs w:val="21"/>
              </w:rPr>
              <w:t>应及时安排换装，以保证</w:t>
            </w:r>
            <w:r>
              <w:rPr>
                <w:rFonts w:hint="eastAsia" w:ascii="宋体" w:hAnsi="宋体" w:cs="宋体"/>
                <w:sz w:val="21"/>
                <w:szCs w:val="21"/>
                <w:lang w:eastAsia="zh-CN"/>
              </w:rPr>
              <w:t>医疗器械</w:t>
            </w:r>
            <w:r>
              <w:rPr>
                <w:rFonts w:hint="eastAsia" w:ascii="宋体" w:hAnsi="宋体" w:eastAsia="宋体" w:cs="宋体"/>
                <w:sz w:val="21"/>
                <w:szCs w:val="21"/>
              </w:rPr>
              <w:t>安装调试的成功完成。换货的相关费用由</w:t>
            </w:r>
            <w:r>
              <w:rPr>
                <w:rFonts w:hint="eastAsia" w:ascii="宋体" w:hAnsi="宋体" w:cs="宋体"/>
                <w:sz w:val="21"/>
                <w:szCs w:val="21"/>
                <w:lang w:eastAsia="zh-CN"/>
              </w:rPr>
              <w:t>成交供应商</w:t>
            </w:r>
            <w:r>
              <w:rPr>
                <w:rFonts w:hint="eastAsia" w:ascii="宋体" w:hAnsi="宋体" w:eastAsia="宋体" w:cs="宋体"/>
                <w:sz w:val="21"/>
                <w:szCs w:val="21"/>
              </w:rPr>
              <w:t>承担</w:t>
            </w:r>
            <w:r>
              <w:rPr>
                <w:rFonts w:hint="eastAsia" w:ascii="宋体" w:hAnsi="宋体" w:eastAsia="宋体" w:cs="宋体"/>
                <w:sz w:val="21"/>
                <w:szCs w:val="21"/>
                <w:lang w:eastAsia="zh-CN"/>
              </w:rPr>
              <w:t>；</w:t>
            </w:r>
          </w:p>
          <w:p w14:paraId="6CCB5629">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④</w:t>
            </w:r>
            <w:r>
              <w:rPr>
                <w:rFonts w:hint="eastAsia" w:ascii="宋体" w:hAnsi="宋体" w:eastAsia="宋体" w:cs="宋体"/>
                <w:sz w:val="21"/>
                <w:szCs w:val="21"/>
              </w:rPr>
              <w:t>国内产品或合资厂的产品必须具备出厂合格证；</w:t>
            </w:r>
          </w:p>
          <w:p w14:paraId="63C74C24">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val="en-US" w:eastAsia="zh-CN"/>
              </w:rPr>
              <w:t>（</w:t>
            </w:r>
            <w:r>
              <w:rPr>
                <w:rFonts w:hint="eastAsia" w:ascii="宋体" w:hAnsi="宋体" w:eastAsia="宋体" w:cs="宋体"/>
                <w:sz w:val="21"/>
                <w:szCs w:val="21"/>
                <w:lang w:val="en-US" w:eastAsia="zh-CN"/>
              </w:rPr>
              <w:t>4</w:t>
            </w:r>
            <w:r>
              <w:rPr>
                <w:rFonts w:hint="eastAsia" w:ascii="宋体" w:hAnsi="宋体" w:cs="宋体"/>
                <w:sz w:val="21"/>
                <w:szCs w:val="21"/>
                <w:lang w:val="en-US" w:eastAsia="zh-CN"/>
              </w:rPr>
              <w:t>）</w:t>
            </w:r>
            <w:r>
              <w:rPr>
                <w:rFonts w:hint="eastAsia" w:ascii="宋体" w:hAnsi="宋体" w:cs="宋体"/>
                <w:sz w:val="21"/>
                <w:szCs w:val="21"/>
                <w:lang w:eastAsia="zh-CN"/>
              </w:rPr>
              <w:t>成交供应商</w:t>
            </w:r>
            <w:r>
              <w:rPr>
                <w:rFonts w:hint="eastAsia" w:ascii="宋体" w:hAnsi="宋体" w:eastAsia="宋体" w:cs="宋体"/>
                <w:sz w:val="21"/>
                <w:szCs w:val="21"/>
              </w:rPr>
              <w:t>保证所提供的</w:t>
            </w:r>
            <w:r>
              <w:rPr>
                <w:rFonts w:hint="eastAsia" w:ascii="宋体" w:hAnsi="宋体" w:cs="宋体"/>
                <w:sz w:val="21"/>
                <w:szCs w:val="21"/>
                <w:lang w:eastAsia="zh-CN"/>
              </w:rPr>
              <w:t>医疗器械</w:t>
            </w:r>
            <w:r>
              <w:rPr>
                <w:rFonts w:hint="eastAsia" w:ascii="宋体" w:hAnsi="宋体" w:eastAsia="宋体" w:cs="宋体"/>
                <w:sz w:val="21"/>
                <w:szCs w:val="21"/>
              </w:rPr>
              <w:t>不侵犯任何第三方的专利、商标或版权。否则，</w:t>
            </w:r>
            <w:r>
              <w:rPr>
                <w:rFonts w:hint="eastAsia" w:ascii="宋体" w:hAnsi="宋体" w:cs="宋体"/>
                <w:sz w:val="21"/>
                <w:szCs w:val="21"/>
                <w:lang w:eastAsia="zh-CN"/>
              </w:rPr>
              <w:t>成交供应商</w:t>
            </w:r>
            <w:r>
              <w:rPr>
                <w:rFonts w:hint="eastAsia" w:ascii="宋体" w:hAnsi="宋体" w:eastAsia="宋体" w:cs="宋体"/>
                <w:sz w:val="21"/>
                <w:szCs w:val="21"/>
              </w:rPr>
              <w:t>须承担对第三方的专利或版权的侵权责任并承担因此而发生的所有费用。</w:t>
            </w:r>
          </w:p>
        </w:tc>
      </w:tr>
      <w:tr w14:paraId="22866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6B180EE5">
            <w:pPr>
              <w:tabs>
                <w:tab w:val="decimal" w:pos="315"/>
                <w:tab w:val="left" w:pos="630"/>
              </w:tabs>
              <w:spacing w:line="360" w:lineRule="auto"/>
              <w:rPr>
                <w:rFonts w:hint="eastAsia" w:ascii="宋体" w:hAnsi="宋体" w:eastAsia="宋体" w:cs="宋体"/>
                <w:b/>
                <w:bCs/>
                <w:sz w:val="21"/>
                <w:szCs w:val="21"/>
              </w:rPr>
            </w:pPr>
            <w:r>
              <w:rPr>
                <w:rFonts w:hint="eastAsia" w:ascii="宋体" w:hAnsi="宋体" w:eastAsia="宋体" w:cs="宋体"/>
                <w:b/>
                <w:bCs/>
                <w:sz w:val="21"/>
                <w:szCs w:val="21"/>
              </w:rPr>
              <w:t>质量保证及售后服务（1）</w:t>
            </w:r>
          </w:p>
        </w:tc>
        <w:tc>
          <w:tcPr>
            <w:tcW w:w="4004" w:type="pct"/>
            <w:noWrap w:val="0"/>
            <w:vAlign w:val="top"/>
          </w:tcPr>
          <w:p w14:paraId="14ECD4C7">
            <w:pPr>
              <w:tabs>
                <w:tab w:val="decimal" w:pos="315"/>
                <w:tab w:val="left" w:pos="630"/>
              </w:tabs>
              <w:spacing w:line="360" w:lineRule="auto"/>
              <w:rPr>
                <w:rFonts w:hint="eastAsia" w:ascii="宋体" w:hAnsi="宋体" w:eastAsia="宋体" w:cs="宋体"/>
                <w:sz w:val="21"/>
                <w:szCs w:val="21"/>
                <w:lang w:val="en-US" w:eastAsia="zh-CN"/>
              </w:rPr>
            </w:pPr>
            <w:r>
              <w:rPr>
                <w:rFonts w:hint="eastAsia" w:ascii="宋体" w:hAnsi="宋体" w:cs="宋体"/>
                <w:sz w:val="21"/>
                <w:szCs w:val="21"/>
                <w:lang w:eastAsia="zh-CN"/>
              </w:rPr>
              <w:t>供应商</w:t>
            </w:r>
            <w:r>
              <w:rPr>
                <w:rFonts w:hint="eastAsia" w:ascii="宋体" w:hAnsi="宋体" w:eastAsia="宋体" w:cs="宋体"/>
                <w:sz w:val="21"/>
                <w:szCs w:val="21"/>
              </w:rPr>
              <w:t>需保证</w:t>
            </w:r>
            <w:r>
              <w:rPr>
                <w:rFonts w:hint="eastAsia" w:ascii="宋体" w:hAnsi="宋体" w:cs="宋体"/>
                <w:sz w:val="21"/>
                <w:szCs w:val="21"/>
                <w:lang w:eastAsia="zh-CN"/>
              </w:rPr>
              <w:t>医疗器械</w:t>
            </w:r>
            <w:r>
              <w:rPr>
                <w:rFonts w:hint="eastAsia" w:ascii="宋体" w:hAnsi="宋体" w:eastAsia="宋体" w:cs="宋体"/>
                <w:sz w:val="21"/>
                <w:szCs w:val="21"/>
              </w:rPr>
              <w:t>是全新、未曾使用过的，</w:t>
            </w:r>
            <w:r>
              <w:rPr>
                <w:rFonts w:hint="eastAsia" w:ascii="宋体" w:hAnsi="宋体" w:cs="宋体"/>
                <w:sz w:val="21"/>
                <w:szCs w:val="21"/>
                <w:lang w:eastAsia="zh-CN"/>
              </w:rPr>
              <w:t>医疗器械</w:t>
            </w:r>
            <w:r>
              <w:rPr>
                <w:rFonts w:hint="eastAsia" w:ascii="宋体" w:hAnsi="宋体" w:eastAsia="宋体" w:cs="宋体"/>
                <w:sz w:val="21"/>
                <w:szCs w:val="21"/>
              </w:rPr>
              <w:t>的质量、规格及技术特征符合国家相关标准、行业标准，且与</w:t>
            </w:r>
            <w:r>
              <w:rPr>
                <w:rFonts w:hint="eastAsia" w:ascii="宋体" w:hAnsi="宋体" w:eastAsia="宋体" w:cs="宋体"/>
                <w:sz w:val="21"/>
                <w:szCs w:val="21"/>
                <w:lang w:eastAsia="zh-CN"/>
              </w:rPr>
              <w:t>响应文件</w:t>
            </w:r>
            <w:r>
              <w:rPr>
                <w:rFonts w:hint="eastAsia" w:ascii="宋体" w:hAnsi="宋体" w:eastAsia="宋体" w:cs="宋体"/>
                <w:sz w:val="21"/>
                <w:szCs w:val="21"/>
              </w:rPr>
              <w:t>所提供的参数内容一致。</w:t>
            </w:r>
          </w:p>
        </w:tc>
      </w:tr>
      <w:tr w14:paraId="645AF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214DEBC6">
            <w:pPr>
              <w:tabs>
                <w:tab w:val="decimal" w:pos="315"/>
                <w:tab w:val="left" w:pos="630"/>
              </w:tabs>
              <w:spacing w:line="360" w:lineRule="auto"/>
              <w:rPr>
                <w:rFonts w:hint="eastAsia" w:ascii="宋体" w:hAnsi="宋体" w:eastAsia="宋体" w:cs="宋体"/>
                <w:b/>
                <w:bCs/>
                <w:sz w:val="21"/>
                <w:szCs w:val="21"/>
              </w:rPr>
            </w:pPr>
            <w:r>
              <w:rPr>
                <w:rFonts w:hint="eastAsia" w:ascii="宋体" w:hAnsi="宋体" w:eastAsia="宋体" w:cs="宋体"/>
                <w:b/>
                <w:bCs/>
                <w:sz w:val="21"/>
                <w:szCs w:val="21"/>
              </w:rPr>
              <w:t>质量保证及售后服务（2）</w:t>
            </w:r>
          </w:p>
        </w:tc>
        <w:tc>
          <w:tcPr>
            <w:tcW w:w="4004" w:type="pct"/>
            <w:noWrap w:val="0"/>
            <w:vAlign w:val="top"/>
          </w:tcPr>
          <w:p w14:paraId="6E5B089D">
            <w:pPr>
              <w:tabs>
                <w:tab w:val="decimal" w:pos="315"/>
                <w:tab w:val="left" w:pos="630"/>
              </w:tabs>
              <w:spacing w:line="360" w:lineRule="auto"/>
              <w:rPr>
                <w:rFonts w:hint="eastAsia" w:ascii="宋体" w:hAnsi="宋体" w:eastAsia="宋体" w:cs="宋体"/>
                <w:sz w:val="21"/>
                <w:szCs w:val="21"/>
                <w:lang w:val="en-US" w:eastAsia="zh-CN"/>
              </w:rPr>
            </w:pPr>
            <w:r>
              <w:rPr>
                <w:rFonts w:hint="eastAsia" w:ascii="宋体" w:hAnsi="宋体" w:cs="宋体"/>
                <w:sz w:val="21"/>
                <w:szCs w:val="21"/>
                <w:highlight w:val="none"/>
                <w:lang w:eastAsia="zh-CN"/>
              </w:rPr>
              <w:t>医疗器械</w:t>
            </w:r>
            <w:r>
              <w:rPr>
                <w:rFonts w:hint="eastAsia" w:ascii="宋体" w:hAnsi="宋体" w:eastAsia="宋体" w:cs="宋体"/>
                <w:sz w:val="21"/>
                <w:szCs w:val="21"/>
              </w:rPr>
              <w:t>保修期</w:t>
            </w:r>
            <w:r>
              <w:rPr>
                <w:rFonts w:hint="eastAsia" w:ascii="宋体" w:hAnsi="宋体" w:cs="宋体"/>
                <w:sz w:val="21"/>
                <w:szCs w:val="21"/>
                <w:lang w:eastAsia="zh-CN"/>
              </w:rPr>
              <w:t>不少于</w:t>
            </w:r>
            <w:r>
              <w:rPr>
                <w:rFonts w:hint="eastAsia" w:ascii="宋体" w:hAnsi="宋体" w:cs="宋体"/>
                <w:sz w:val="21"/>
                <w:szCs w:val="21"/>
                <w:highlight w:val="none"/>
                <w:lang w:val="en-US" w:eastAsia="zh-CN"/>
              </w:rPr>
              <w:t>1年</w:t>
            </w:r>
            <w:r>
              <w:rPr>
                <w:rFonts w:hint="eastAsia" w:ascii="宋体" w:hAnsi="宋体" w:eastAsia="宋体" w:cs="宋体"/>
                <w:sz w:val="21"/>
                <w:szCs w:val="21"/>
              </w:rPr>
              <w:t>（</w:t>
            </w:r>
            <w:r>
              <w:rPr>
                <w:rFonts w:hint="eastAsia" w:ascii="宋体" w:hAnsi="宋体" w:eastAsia="宋体" w:cs="宋体"/>
                <w:sz w:val="21"/>
                <w:szCs w:val="21"/>
                <w:lang w:val="en-US" w:eastAsia="zh-CN"/>
              </w:rPr>
              <w:t>采购人</w:t>
            </w:r>
            <w:r>
              <w:rPr>
                <w:rFonts w:hint="eastAsia" w:ascii="宋体" w:hAnsi="宋体" w:eastAsia="宋体" w:cs="宋体"/>
                <w:sz w:val="21"/>
                <w:szCs w:val="21"/>
              </w:rPr>
              <w:t>验收合格之日起计算）。保质保用期内非采购人的人为原因而出现产品质量及问题，由</w:t>
            </w:r>
            <w:r>
              <w:rPr>
                <w:rFonts w:hint="eastAsia" w:ascii="宋体" w:hAnsi="宋体" w:eastAsia="宋体" w:cs="宋体"/>
                <w:sz w:val="21"/>
                <w:szCs w:val="21"/>
                <w:lang w:eastAsia="zh-CN"/>
              </w:rPr>
              <w:t>成交供应商</w:t>
            </w:r>
            <w:r>
              <w:rPr>
                <w:rFonts w:hint="eastAsia" w:ascii="宋体" w:hAnsi="宋体" w:eastAsia="宋体" w:cs="宋体"/>
                <w:sz w:val="21"/>
                <w:szCs w:val="21"/>
              </w:rPr>
              <w:t>负责包修、包换或包退，并承担因此而产生的一切费用。</w:t>
            </w:r>
          </w:p>
        </w:tc>
      </w:tr>
      <w:tr w14:paraId="50D4A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4890916E">
            <w:pPr>
              <w:tabs>
                <w:tab w:val="decimal" w:pos="315"/>
                <w:tab w:val="left" w:pos="630"/>
              </w:tabs>
              <w:spacing w:line="360" w:lineRule="auto"/>
              <w:jc w:val="left"/>
              <w:rPr>
                <w:rFonts w:hint="eastAsia" w:ascii="宋体" w:hAnsi="宋体" w:eastAsia="宋体" w:cs="宋体"/>
                <w:b/>
                <w:bCs/>
                <w:color w:val="000000"/>
                <w:sz w:val="21"/>
                <w:szCs w:val="21"/>
              </w:rPr>
            </w:pPr>
            <w:r>
              <w:rPr>
                <w:rFonts w:hint="eastAsia" w:ascii="宋体" w:hAnsi="宋体" w:eastAsia="宋体" w:cs="宋体"/>
                <w:b/>
                <w:bCs/>
                <w:sz w:val="21"/>
                <w:szCs w:val="21"/>
              </w:rPr>
              <w:t>质量保证及售后服务（3）</w:t>
            </w:r>
          </w:p>
        </w:tc>
        <w:tc>
          <w:tcPr>
            <w:tcW w:w="4004" w:type="pct"/>
            <w:noWrap w:val="0"/>
            <w:vAlign w:val="top"/>
          </w:tcPr>
          <w:p w14:paraId="70F28C85">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w:t>
            </w:r>
            <w:r>
              <w:rPr>
                <w:rFonts w:hint="eastAsia" w:ascii="宋体" w:hAnsi="宋体" w:eastAsia="宋体" w:cs="宋体"/>
                <w:sz w:val="21"/>
                <w:szCs w:val="21"/>
              </w:rPr>
              <w:t>保修期内厂家每年免费回访</w:t>
            </w:r>
            <w:r>
              <w:rPr>
                <w:rFonts w:hint="eastAsia" w:ascii="宋体" w:hAnsi="宋体" w:cs="宋体"/>
                <w:sz w:val="21"/>
                <w:szCs w:val="21"/>
                <w:lang w:eastAsia="zh-CN"/>
              </w:rPr>
              <w:t>医疗器械</w:t>
            </w:r>
            <w:r>
              <w:rPr>
                <w:rFonts w:hint="eastAsia" w:ascii="宋体" w:hAnsi="宋体" w:eastAsia="宋体" w:cs="宋体"/>
                <w:sz w:val="21"/>
                <w:szCs w:val="21"/>
              </w:rPr>
              <w:t>至少</w:t>
            </w:r>
            <w:r>
              <w:rPr>
                <w:rFonts w:hint="eastAsia" w:ascii="宋体" w:hAnsi="宋体" w:eastAsia="宋体" w:cs="宋体"/>
                <w:sz w:val="21"/>
                <w:szCs w:val="21"/>
                <w:lang w:eastAsia="zh-CN"/>
              </w:rPr>
              <w:t>四</w:t>
            </w:r>
            <w:r>
              <w:rPr>
                <w:rFonts w:hint="eastAsia" w:ascii="宋体" w:hAnsi="宋体" w:eastAsia="宋体" w:cs="宋体"/>
                <w:sz w:val="21"/>
                <w:szCs w:val="21"/>
              </w:rPr>
              <w:t>次。</w:t>
            </w:r>
          </w:p>
          <w:p w14:paraId="1AA6FF38">
            <w:pPr>
              <w:tabs>
                <w:tab w:val="decimal" w:pos="315"/>
                <w:tab w:val="left" w:pos="630"/>
              </w:tabs>
              <w:spacing w:line="360" w:lineRule="auto"/>
              <w:rPr>
                <w:rFonts w:hint="eastAsia" w:ascii="宋体" w:hAnsi="宋体" w:eastAsia="宋体" w:cs="宋体"/>
                <w:strike/>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）成交供应商</w:t>
            </w:r>
            <w:r>
              <w:rPr>
                <w:rFonts w:hint="eastAsia" w:ascii="宋体" w:hAnsi="宋体" w:eastAsia="宋体" w:cs="宋体"/>
                <w:sz w:val="21"/>
                <w:szCs w:val="21"/>
              </w:rPr>
              <w:t>接到报修电话后，厂家工程师</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小时内响应，</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24</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小时到达现场，</w:t>
            </w:r>
            <w:r>
              <w:rPr>
                <w:rFonts w:hint="eastAsia" w:ascii="宋体" w:hAnsi="宋体" w:eastAsia="宋体" w:cs="宋体"/>
                <w:sz w:val="21"/>
                <w:szCs w:val="21"/>
                <w:u w:val="single"/>
              </w:rPr>
              <w:t>72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小时内解决问题。如不能在规定时间内维修好，</w:t>
            </w:r>
            <w:r>
              <w:rPr>
                <w:rFonts w:hint="eastAsia" w:ascii="宋体" w:hAnsi="宋体" w:cs="宋体"/>
                <w:sz w:val="21"/>
                <w:szCs w:val="21"/>
                <w:lang w:eastAsia="zh-CN"/>
              </w:rPr>
              <w:t>成交供应商</w:t>
            </w:r>
            <w:r>
              <w:rPr>
                <w:rFonts w:hint="eastAsia" w:ascii="宋体" w:hAnsi="宋体" w:eastAsia="宋体" w:cs="宋体"/>
                <w:sz w:val="21"/>
                <w:szCs w:val="21"/>
              </w:rPr>
              <w:t>须在</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72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小时内无偿提供配置参数相同的原</w:t>
            </w:r>
            <w:r>
              <w:rPr>
                <w:rFonts w:hint="eastAsia" w:ascii="宋体" w:hAnsi="宋体" w:cs="宋体"/>
                <w:sz w:val="21"/>
                <w:szCs w:val="21"/>
                <w:lang w:eastAsia="zh-CN"/>
              </w:rPr>
              <w:t>医疗器械</w:t>
            </w:r>
            <w:r>
              <w:rPr>
                <w:rFonts w:hint="eastAsia" w:ascii="宋体" w:hAnsi="宋体" w:eastAsia="宋体" w:cs="宋体"/>
                <w:sz w:val="21"/>
                <w:szCs w:val="21"/>
              </w:rPr>
              <w:t>代用</w:t>
            </w:r>
            <w:r>
              <w:rPr>
                <w:rFonts w:hint="eastAsia" w:ascii="宋体" w:hAnsi="宋体" w:cs="宋体"/>
                <w:sz w:val="21"/>
                <w:szCs w:val="21"/>
                <w:lang w:eastAsia="zh-CN"/>
              </w:rPr>
              <w:t>医疗器械</w:t>
            </w:r>
            <w:r>
              <w:rPr>
                <w:rFonts w:hint="eastAsia" w:ascii="宋体" w:hAnsi="宋体" w:eastAsia="宋体" w:cs="宋体"/>
                <w:sz w:val="21"/>
                <w:szCs w:val="21"/>
              </w:rPr>
              <w:t>给采购人使用直至故障修复。</w:t>
            </w:r>
          </w:p>
          <w:p w14:paraId="11A6D6A3">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w:t>
            </w:r>
            <w:r>
              <w:rPr>
                <w:rFonts w:hint="eastAsia" w:ascii="宋体" w:hAnsi="宋体" w:eastAsia="宋体" w:cs="宋体"/>
                <w:sz w:val="21"/>
                <w:szCs w:val="21"/>
              </w:rPr>
              <w:t>货物交付使用后以书面形式承诺维修服务，实行终身维护。</w:t>
            </w:r>
          </w:p>
          <w:p w14:paraId="78485533">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4</w:t>
            </w:r>
            <w:r>
              <w:rPr>
                <w:rFonts w:hint="eastAsia" w:ascii="宋体" w:hAnsi="宋体" w:cs="宋体"/>
                <w:sz w:val="21"/>
                <w:szCs w:val="21"/>
                <w:lang w:eastAsia="zh-CN"/>
              </w:rPr>
              <w:t>）</w:t>
            </w:r>
            <w:r>
              <w:rPr>
                <w:rFonts w:hint="eastAsia" w:ascii="宋体" w:hAnsi="宋体" w:eastAsia="宋体" w:cs="宋体"/>
                <w:sz w:val="21"/>
                <w:szCs w:val="21"/>
              </w:rPr>
              <w:t>所有保修服务方式均为</w:t>
            </w:r>
            <w:r>
              <w:rPr>
                <w:rFonts w:hint="eastAsia" w:ascii="宋体" w:hAnsi="宋体" w:cs="宋体"/>
                <w:sz w:val="21"/>
                <w:szCs w:val="21"/>
                <w:lang w:eastAsia="zh-CN"/>
              </w:rPr>
              <w:t>成交供应商</w:t>
            </w:r>
            <w:r>
              <w:rPr>
                <w:rFonts w:hint="eastAsia" w:ascii="宋体" w:hAnsi="宋体" w:eastAsia="宋体" w:cs="宋体"/>
                <w:sz w:val="21"/>
                <w:szCs w:val="21"/>
              </w:rPr>
              <w:t>上门保修或免费更换，即由</w:t>
            </w:r>
            <w:r>
              <w:rPr>
                <w:rFonts w:hint="eastAsia" w:ascii="宋体" w:hAnsi="宋体" w:cs="宋体"/>
                <w:sz w:val="21"/>
                <w:szCs w:val="21"/>
                <w:lang w:eastAsia="zh-CN"/>
              </w:rPr>
              <w:t>成交供应商</w:t>
            </w:r>
            <w:r>
              <w:rPr>
                <w:rFonts w:hint="eastAsia" w:ascii="宋体" w:hAnsi="宋体" w:eastAsia="宋体" w:cs="宋体"/>
                <w:sz w:val="21"/>
                <w:szCs w:val="21"/>
              </w:rPr>
              <w:t>派员到采购人</w:t>
            </w:r>
            <w:r>
              <w:rPr>
                <w:rFonts w:hint="eastAsia" w:ascii="宋体" w:hAnsi="宋体" w:cs="宋体"/>
                <w:sz w:val="21"/>
                <w:szCs w:val="21"/>
                <w:lang w:eastAsia="zh-CN"/>
              </w:rPr>
              <w:t>医疗器械</w:t>
            </w:r>
            <w:r>
              <w:rPr>
                <w:rFonts w:hint="eastAsia" w:ascii="宋体" w:hAnsi="宋体" w:eastAsia="宋体" w:cs="宋体"/>
                <w:sz w:val="21"/>
                <w:szCs w:val="21"/>
              </w:rPr>
              <w:t>使用现场维修更换，由此产生的一切费用均由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7A615E9F">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5</w:t>
            </w:r>
            <w:r>
              <w:rPr>
                <w:rFonts w:hint="eastAsia" w:ascii="宋体" w:hAnsi="宋体" w:cs="宋体"/>
                <w:sz w:val="21"/>
                <w:szCs w:val="21"/>
                <w:lang w:eastAsia="zh-CN"/>
              </w:rPr>
              <w:t>）</w:t>
            </w:r>
            <w:r>
              <w:rPr>
                <w:rFonts w:hint="eastAsia" w:ascii="宋体" w:hAnsi="宋体" w:eastAsia="宋体" w:cs="宋体"/>
                <w:sz w:val="21"/>
                <w:szCs w:val="21"/>
              </w:rPr>
              <w:t>因</w:t>
            </w:r>
            <w:r>
              <w:rPr>
                <w:rFonts w:hint="eastAsia" w:ascii="宋体" w:hAnsi="宋体" w:cs="宋体"/>
                <w:sz w:val="21"/>
                <w:szCs w:val="21"/>
                <w:lang w:eastAsia="zh-CN"/>
              </w:rPr>
              <w:t>医疗器械</w:t>
            </w:r>
            <w:r>
              <w:rPr>
                <w:rFonts w:hint="eastAsia" w:ascii="宋体" w:hAnsi="宋体" w:eastAsia="宋体" w:cs="宋体"/>
                <w:sz w:val="21"/>
                <w:szCs w:val="21"/>
              </w:rPr>
              <w:t>的质量问题而发生争议，由广东省或中山市质检部门进行质量鉴定。</w:t>
            </w:r>
            <w:r>
              <w:rPr>
                <w:rFonts w:hint="eastAsia" w:ascii="宋体" w:hAnsi="宋体" w:cs="宋体"/>
                <w:sz w:val="21"/>
                <w:szCs w:val="21"/>
                <w:lang w:eastAsia="zh-CN"/>
              </w:rPr>
              <w:t>医疗器械</w:t>
            </w:r>
            <w:r>
              <w:rPr>
                <w:rFonts w:hint="eastAsia" w:ascii="宋体" w:hAnsi="宋体" w:eastAsia="宋体" w:cs="宋体"/>
                <w:sz w:val="21"/>
                <w:szCs w:val="21"/>
              </w:rPr>
              <w:t>符合质量标准的，鉴定费用由采购人承担；</w:t>
            </w:r>
            <w:r>
              <w:rPr>
                <w:rFonts w:hint="eastAsia" w:ascii="宋体" w:hAnsi="宋体" w:cs="宋体"/>
                <w:sz w:val="21"/>
                <w:szCs w:val="21"/>
                <w:lang w:eastAsia="zh-CN"/>
              </w:rPr>
              <w:t>医疗器械</w:t>
            </w:r>
            <w:r>
              <w:rPr>
                <w:rFonts w:hint="eastAsia" w:ascii="宋体" w:hAnsi="宋体" w:eastAsia="宋体" w:cs="宋体"/>
                <w:sz w:val="21"/>
                <w:szCs w:val="21"/>
              </w:rPr>
              <w:t>不符合质量标准的，鉴定费用由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6DF135FE">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eastAsia="zh-CN"/>
              </w:rPr>
              <w:t>（</w:t>
            </w:r>
            <w:r>
              <w:rPr>
                <w:rFonts w:hint="eastAsia" w:ascii="宋体" w:hAnsi="宋体" w:eastAsia="宋体" w:cs="宋体"/>
                <w:sz w:val="21"/>
                <w:szCs w:val="21"/>
              </w:rPr>
              <w:t>6</w:t>
            </w:r>
            <w:r>
              <w:rPr>
                <w:rFonts w:hint="eastAsia" w:ascii="宋体" w:hAnsi="宋体" w:cs="宋体"/>
                <w:sz w:val="21"/>
                <w:szCs w:val="21"/>
                <w:lang w:eastAsia="zh-CN"/>
              </w:rPr>
              <w:t>）成交供应商</w:t>
            </w:r>
            <w:r>
              <w:rPr>
                <w:rFonts w:hint="eastAsia" w:ascii="宋体" w:hAnsi="宋体" w:eastAsia="宋体" w:cs="宋体"/>
                <w:sz w:val="21"/>
                <w:szCs w:val="21"/>
              </w:rPr>
              <w:t>为采购人提供操作及维护培训，主要内容为</w:t>
            </w:r>
            <w:r>
              <w:rPr>
                <w:rFonts w:hint="eastAsia" w:ascii="宋体" w:hAnsi="宋体" w:cs="宋体"/>
                <w:sz w:val="21"/>
                <w:szCs w:val="21"/>
                <w:lang w:eastAsia="zh-CN"/>
              </w:rPr>
              <w:t>医疗器械</w:t>
            </w:r>
            <w:r>
              <w:rPr>
                <w:rFonts w:hint="eastAsia" w:ascii="宋体" w:hAnsi="宋体" w:eastAsia="宋体" w:cs="宋体"/>
                <w:sz w:val="21"/>
                <w:szCs w:val="21"/>
              </w:rPr>
              <w:t>的基本结构、性能、主要部件的构造及原理，日常使用操作、保养与管理，常见故障的排除，紧急情况的处理等，</w:t>
            </w:r>
            <w:r>
              <w:rPr>
                <w:rFonts w:hint="eastAsia" w:ascii="宋体" w:hAnsi="宋体" w:eastAsia="宋体" w:cs="宋体"/>
                <w:sz w:val="21"/>
                <w:szCs w:val="21"/>
                <w:lang w:val="en-US" w:eastAsia="zh-CN"/>
              </w:rPr>
              <w:t>至少</w:t>
            </w:r>
            <w:r>
              <w:rPr>
                <w:rFonts w:hint="eastAsia" w:ascii="宋体" w:hAnsi="宋体" w:eastAsia="宋体" w:cs="宋体"/>
                <w:sz w:val="21"/>
                <w:szCs w:val="21"/>
                <w:u w:val="single"/>
                <w:lang w:val="en-US" w:eastAsia="zh-CN"/>
              </w:rPr>
              <w:t xml:space="preserve"> 3 </w:t>
            </w:r>
            <w:r>
              <w:rPr>
                <w:rFonts w:hint="eastAsia" w:ascii="宋体" w:hAnsi="宋体" w:eastAsia="宋体" w:cs="宋体"/>
                <w:sz w:val="21"/>
                <w:szCs w:val="21"/>
                <w:lang w:val="en-US" w:eastAsia="zh-CN"/>
              </w:rPr>
              <w:t>名以上医护人员熟练掌握使用</w:t>
            </w:r>
            <w:r>
              <w:rPr>
                <w:rFonts w:hint="eastAsia" w:ascii="宋体" w:hAnsi="宋体" w:cs="宋体"/>
                <w:sz w:val="21"/>
                <w:szCs w:val="21"/>
                <w:lang w:val="en-US" w:eastAsia="zh-CN"/>
              </w:rPr>
              <w:t>医疗器械</w:t>
            </w:r>
            <w:r>
              <w:rPr>
                <w:rFonts w:hint="eastAsia" w:ascii="宋体" w:hAnsi="宋体" w:eastAsia="宋体" w:cs="宋体"/>
                <w:sz w:val="21"/>
                <w:szCs w:val="21"/>
                <w:lang w:val="en-US" w:eastAsia="zh-CN"/>
              </w:rPr>
              <w:t>为止，</w:t>
            </w:r>
            <w:r>
              <w:rPr>
                <w:rFonts w:hint="eastAsia" w:ascii="宋体" w:hAnsi="宋体" w:eastAsia="宋体" w:cs="宋体"/>
                <w:sz w:val="21"/>
                <w:szCs w:val="21"/>
              </w:rPr>
              <w:t>培训地点主要在</w:t>
            </w:r>
            <w:r>
              <w:rPr>
                <w:rFonts w:hint="eastAsia" w:ascii="宋体" w:hAnsi="宋体" w:cs="宋体"/>
                <w:sz w:val="21"/>
                <w:szCs w:val="21"/>
                <w:lang w:eastAsia="zh-CN"/>
              </w:rPr>
              <w:t>医疗器械</w:t>
            </w:r>
            <w:r>
              <w:rPr>
                <w:rFonts w:hint="eastAsia" w:ascii="宋体" w:hAnsi="宋体" w:eastAsia="宋体" w:cs="宋体"/>
                <w:sz w:val="21"/>
                <w:szCs w:val="21"/>
              </w:rPr>
              <w:t>安装现场或按双方协商安排。</w:t>
            </w:r>
          </w:p>
        </w:tc>
      </w:tr>
      <w:tr w14:paraId="3449A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47D2AA28">
            <w:pPr>
              <w:tabs>
                <w:tab w:val="decimal" w:pos="315"/>
                <w:tab w:val="left" w:pos="630"/>
              </w:tabs>
              <w:spacing w:line="360" w:lineRule="auto"/>
              <w:jc w:val="left"/>
              <w:rPr>
                <w:rFonts w:hint="eastAsia" w:ascii="宋体" w:hAnsi="宋体" w:eastAsia="宋体" w:cs="宋体"/>
                <w:b/>
                <w:bCs/>
                <w:color w:val="000000"/>
                <w:sz w:val="21"/>
                <w:szCs w:val="21"/>
              </w:rPr>
            </w:pPr>
            <w:r>
              <w:rPr>
                <w:rFonts w:hint="eastAsia" w:ascii="宋体" w:hAnsi="宋体" w:eastAsia="宋体" w:cs="宋体"/>
                <w:b/>
                <w:bCs/>
                <w:sz w:val="21"/>
                <w:szCs w:val="21"/>
              </w:rPr>
              <w:t>违约与处罚</w:t>
            </w:r>
          </w:p>
        </w:tc>
        <w:tc>
          <w:tcPr>
            <w:tcW w:w="4004" w:type="pct"/>
            <w:noWrap w:val="0"/>
            <w:vAlign w:val="top"/>
          </w:tcPr>
          <w:p w14:paraId="0B11905B">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）成交供应商</w:t>
            </w:r>
            <w:r>
              <w:rPr>
                <w:rFonts w:hint="eastAsia" w:ascii="宋体" w:hAnsi="宋体" w:eastAsia="宋体" w:cs="宋体"/>
                <w:sz w:val="21"/>
                <w:szCs w:val="21"/>
              </w:rPr>
              <w:t>未能按时交货，每拖延一天，须向采购人支付合同金额的5‰的违约金，违约金总金额不超过合同总价20%。</w:t>
            </w:r>
          </w:p>
          <w:p w14:paraId="7C4A15D0">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）成交供应商</w:t>
            </w:r>
            <w:r>
              <w:rPr>
                <w:rFonts w:hint="eastAsia" w:ascii="宋体" w:hAnsi="宋体" w:eastAsia="宋体" w:cs="宋体"/>
                <w:sz w:val="21"/>
                <w:szCs w:val="21"/>
              </w:rPr>
              <w:t>交付的货物不符合项目规定的，采购人有权拒收，</w:t>
            </w:r>
            <w:r>
              <w:rPr>
                <w:rFonts w:hint="eastAsia" w:ascii="宋体" w:hAnsi="宋体" w:cs="宋体"/>
                <w:sz w:val="21"/>
                <w:szCs w:val="21"/>
                <w:lang w:eastAsia="zh-CN"/>
              </w:rPr>
              <w:t>成交供应商</w:t>
            </w:r>
            <w:r>
              <w:rPr>
                <w:rFonts w:hint="eastAsia" w:ascii="宋体" w:hAnsi="宋体" w:eastAsia="宋体" w:cs="宋体"/>
                <w:sz w:val="21"/>
                <w:szCs w:val="21"/>
              </w:rPr>
              <w:t>向采购人支付合同金额20%的违约金。因此导致采购人遭受损失（包括但不限于实际损失，预期利益损失，为维护其合法权益而支付的鉴定费、审计费、律师费、差旅费等费用）的，</w:t>
            </w:r>
            <w:r>
              <w:rPr>
                <w:rFonts w:hint="eastAsia" w:ascii="宋体" w:hAnsi="宋体" w:cs="宋体"/>
                <w:sz w:val="21"/>
                <w:szCs w:val="21"/>
                <w:lang w:eastAsia="zh-CN"/>
              </w:rPr>
              <w:t>成交供应商</w:t>
            </w:r>
            <w:r>
              <w:rPr>
                <w:rFonts w:hint="eastAsia" w:ascii="宋体" w:hAnsi="宋体" w:eastAsia="宋体" w:cs="宋体"/>
                <w:sz w:val="21"/>
                <w:szCs w:val="21"/>
              </w:rPr>
              <w:t>应对采购人承担赔偿责任。</w:t>
            </w:r>
          </w:p>
          <w:p w14:paraId="70B27B97">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）成交供应商</w:t>
            </w:r>
            <w:r>
              <w:rPr>
                <w:rFonts w:hint="eastAsia" w:ascii="宋体" w:hAnsi="宋体" w:eastAsia="宋体" w:cs="宋体"/>
                <w:sz w:val="21"/>
                <w:szCs w:val="21"/>
              </w:rPr>
              <w:t>逾期超过7日未能交付货物，则向采购人支付合同金额的20%的违约金，同时采购人有权单方解除合同。</w:t>
            </w:r>
          </w:p>
          <w:p w14:paraId="50777AAE">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eastAsia="zh-CN"/>
              </w:rPr>
              <w:t>（</w:t>
            </w:r>
            <w:r>
              <w:rPr>
                <w:rFonts w:hint="eastAsia" w:ascii="宋体" w:hAnsi="宋体" w:eastAsia="宋体" w:cs="宋体"/>
                <w:sz w:val="21"/>
                <w:szCs w:val="21"/>
              </w:rPr>
              <w:t>4</w:t>
            </w:r>
            <w:r>
              <w:rPr>
                <w:rFonts w:hint="eastAsia" w:ascii="宋体" w:hAnsi="宋体" w:cs="宋体"/>
                <w:sz w:val="21"/>
                <w:szCs w:val="21"/>
                <w:lang w:eastAsia="zh-CN"/>
              </w:rPr>
              <w:t>）</w:t>
            </w:r>
            <w:r>
              <w:rPr>
                <w:rFonts w:hint="eastAsia" w:ascii="宋体" w:hAnsi="宋体" w:eastAsia="宋体" w:cs="宋体"/>
                <w:sz w:val="21"/>
                <w:szCs w:val="21"/>
              </w:rPr>
              <w:t>因</w:t>
            </w:r>
            <w:r>
              <w:rPr>
                <w:rFonts w:hint="eastAsia" w:ascii="宋体" w:hAnsi="宋体" w:cs="宋体"/>
                <w:sz w:val="21"/>
                <w:szCs w:val="21"/>
                <w:lang w:eastAsia="zh-CN"/>
              </w:rPr>
              <w:t>成交供应商医疗器械</w:t>
            </w:r>
            <w:r>
              <w:rPr>
                <w:rFonts w:hint="eastAsia" w:ascii="宋体" w:hAnsi="宋体" w:eastAsia="宋体" w:cs="宋体"/>
                <w:sz w:val="21"/>
                <w:szCs w:val="21"/>
              </w:rPr>
              <w:t>自身或安装不善等原因发生事故造成采购人或第三方损害的，</w:t>
            </w:r>
            <w:r>
              <w:rPr>
                <w:rFonts w:hint="eastAsia" w:ascii="宋体" w:hAnsi="宋体" w:cs="宋体"/>
                <w:sz w:val="21"/>
                <w:szCs w:val="21"/>
                <w:lang w:eastAsia="zh-CN"/>
              </w:rPr>
              <w:t>成交供应商</w:t>
            </w:r>
            <w:r>
              <w:rPr>
                <w:rFonts w:hint="eastAsia" w:ascii="宋体" w:hAnsi="宋体" w:eastAsia="宋体" w:cs="宋体"/>
                <w:sz w:val="21"/>
                <w:szCs w:val="21"/>
              </w:rPr>
              <w:t>应直接承担由此产生的一切责任。</w:t>
            </w:r>
          </w:p>
        </w:tc>
      </w:tr>
    </w:tbl>
    <w:p w14:paraId="79A7B952">
      <w:pPr>
        <w:rPr>
          <w:rFonts w:hint="eastAsia" w:ascii="Times New Roman" w:hAnsi="Times New Roman" w:eastAsia="宋体" w:cs="Times New Roman"/>
          <w:b/>
          <w:color w:val="000000"/>
          <w:sz w:val="28"/>
          <w:szCs w:val="36"/>
          <w:highlight w:val="none"/>
          <w:lang w:val="en-US" w:eastAsia="zh-CN"/>
        </w:rPr>
      </w:pPr>
    </w:p>
    <w:sectPr>
      <w:footerReference r:id="rId5" w:type="default"/>
      <w:pgSz w:w="11906" w:h="16838"/>
      <w:pgMar w:top="1440" w:right="1800" w:bottom="1440" w:left="1800" w:header="851" w:footer="992" w:gutter="0"/>
      <w:pgNumType w:fmt="decimal"/>
      <w:cols w:space="72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00007A87" w:usb1="80000000" w:usb2="00000008" w:usb3="00000000" w:csb0="400001FF" w:csb1="FFFF0000"/>
  </w:font>
  <w:font w:name="宋体">
    <w:panose1 w:val="02010600030101010101"/>
    <w:charset w:val="34"/>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Tahoma">
    <w:panose1 w:val="020B0604030504040204"/>
    <w:charset w:val="00"/>
    <w:family w:val="swiss"/>
    <w:pitch w:val="default"/>
    <w:sig w:usb0="61007A87" w:usb1="80000000" w:usb2="00000008" w:usb3="00000000" w:csb0="200101FF" w:csb1="2028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18E77">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613D6F">
                          <w:pPr>
                            <w:pStyle w:val="11"/>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A613D6F">
                    <w:pPr>
                      <w:pStyle w:val="11"/>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8</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mZjBjODNiMjI1YTgzYTQ0YWU5YjdmMjFjOWI4MWUifQ=="/>
  </w:docVars>
  <w:rsids>
    <w:rsidRoot w:val="00172A27"/>
    <w:rsid w:val="00360E24"/>
    <w:rsid w:val="00506D12"/>
    <w:rsid w:val="007363B2"/>
    <w:rsid w:val="007F27CB"/>
    <w:rsid w:val="00B46918"/>
    <w:rsid w:val="00B71F65"/>
    <w:rsid w:val="00CA613C"/>
    <w:rsid w:val="011C2BC5"/>
    <w:rsid w:val="013E4434"/>
    <w:rsid w:val="01CE57B8"/>
    <w:rsid w:val="01F760C7"/>
    <w:rsid w:val="026305F6"/>
    <w:rsid w:val="02644444"/>
    <w:rsid w:val="02D942F1"/>
    <w:rsid w:val="02EA4873"/>
    <w:rsid w:val="03305C7C"/>
    <w:rsid w:val="03403367"/>
    <w:rsid w:val="036A59B4"/>
    <w:rsid w:val="03A878D0"/>
    <w:rsid w:val="03E06E79"/>
    <w:rsid w:val="04194CE4"/>
    <w:rsid w:val="041D3215"/>
    <w:rsid w:val="046643CE"/>
    <w:rsid w:val="04666BC2"/>
    <w:rsid w:val="04F84E3F"/>
    <w:rsid w:val="04FC2564"/>
    <w:rsid w:val="050424F5"/>
    <w:rsid w:val="051756C8"/>
    <w:rsid w:val="05941873"/>
    <w:rsid w:val="059B1186"/>
    <w:rsid w:val="0607573C"/>
    <w:rsid w:val="064E6D25"/>
    <w:rsid w:val="067277C8"/>
    <w:rsid w:val="06FE6B3F"/>
    <w:rsid w:val="07905602"/>
    <w:rsid w:val="07CD4764"/>
    <w:rsid w:val="07D57174"/>
    <w:rsid w:val="07ED4665"/>
    <w:rsid w:val="07F92FDA"/>
    <w:rsid w:val="080F3E19"/>
    <w:rsid w:val="08470D93"/>
    <w:rsid w:val="08777DF5"/>
    <w:rsid w:val="09077801"/>
    <w:rsid w:val="090E293E"/>
    <w:rsid w:val="091837BC"/>
    <w:rsid w:val="09322AD0"/>
    <w:rsid w:val="09B7373C"/>
    <w:rsid w:val="09CB082F"/>
    <w:rsid w:val="0A423C80"/>
    <w:rsid w:val="0A7B741C"/>
    <w:rsid w:val="0ABF5171"/>
    <w:rsid w:val="0AFD2C6A"/>
    <w:rsid w:val="0B586502"/>
    <w:rsid w:val="0B9E60F0"/>
    <w:rsid w:val="0C0F0BAE"/>
    <w:rsid w:val="0C4274CE"/>
    <w:rsid w:val="0C5E598A"/>
    <w:rsid w:val="0CC872A8"/>
    <w:rsid w:val="0D02766C"/>
    <w:rsid w:val="0D692839"/>
    <w:rsid w:val="0DD57ECE"/>
    <w:rsid w:val="0DE63E89"/>
    <w:rsid w:val="0E0A14B8"/>
    <w:rsid w:val="0E2C7807"/>
    <w:rsid w:val="0E4137B5"/>
    <w:rsid w:val="0E77579C"/>
    <w:rsid w:val="0ECE5049"/>
    <w:rsid w:val="0ED42D25"/>
    <w:rsid w:val="0EE7610B"/>
    <w:rsid w:val="0EED6B7E"/>
    <w:rsid w:val="0EFD4BA7"/>
    <w:rsid w:val="0F7C2CF7"/>
    <w:rsid w:val="0F8C6CB2"/>
    <w:rsid w:val="0F9D4A1B"/>
    <w:rsid w:val="0F9F69E6"/>
    <w:rsid w:val="0FA91612"/>
    <w:rsid w:val="0FCC3993"/>
    <w:rsid w:val="10134CDE"/>
    <w:rsid w:val="102E102C"/>
    <w:rsid w:val="103B4960"/>
    <w:rsid w:val="1041184B"/>
    <w:rsid w:val="104A6951"/>
    <w:rsid w:val="10523A58"/>
    <w:rsid w:val="10831E63"/>
    <w:rsid w:val="108B61EC"/>
    <w:rsid w:val="10A047C3"/>
    <w:rsid w:val="10C8579F"/>
    <w:rsid w:val="10EC7A09"/>
    <w:rsid w:val="10F1501F"/>
    <w:rsid w:val="10F92E76"/>
    <w:rsid w:val="113F658E"/>
    <w:rsid w:val="116A4DD1"/>
    <w:rsid w:val="116A5271"/>
    <w:rsid w:val="116E479B"/>
    <w:rsid w:val="12FD532F"/>
    <w:rsid w:val="130A23C8"/>
    <w:rsid w:val="13180371"/>
    <w:rsid w:val="13207E3D"/>
    <w:rsid w:val="13213A9B"/>
    <w:rsid w:val="1351449B"/>
    <w:rsid w:val="13596EAB"/>
    <w:rsid w:val="13A81C10"/>
    <w:rsid w:val="13D34EB0"/>
    <w:rsid w:val="13D604FC"/>
    <w:rsid w:val="13E26EA1"/>
    <w:rsid w:val="144731A8"/>
    <w:rsid w:val="144C07BE"/>
    <w:rsid w:val="14504752"/>
    <w:rsid w:val="14510446"/>
    <w:rsid w:val="14583F1C"/>
    <w:rsid w:val="14900FF3"/>
    <w:rsid w:val="14C10CA0"/>
    <w:rsid w:val="14F8407D"/>
    <w:rsid w:val="15087B2B"/>
    <w:rsid w:val="152C0D1B"/>
    <w:rsid w:val="15447579"/>
    <w:rsid w:val="15767B58"/>
    <w:rsid w:val="158A77F0"/>
    <w:rsid w:val="15A765F4"/>
    <w:rsid w:val="15B47D77"/>
    <w:rsid w:val="15D078F9"/>
    <w:rsid w:val="164107F7"/>
    <w:rsid w:val="167C0D32"/>
    <w:rsid w:val="16B34B25"/>
    <w:rsid w:val="16FF7D6A"/>
    <w:rsid w:val="17173F85"/>
    <w:rsid w:val="175C5903"/>
    <w:rsid w:val="179D7CAF"/>
    <w:rsid w:val="183F0D66"/>
    <w:rsid w:val="18521EF4"/>
    <w:rsid w:val="18A40BC9"/>
    <w:rsid w:val="18BF5A03"/>
    <w:rsid w:val="18C35497"/>
    <w:rsid w:val="18F2402A"/>
    <w:rsid w:val="19056169"/>
    <w:rsid w:val="19067AD5"/>
    <w:rsid w:val="19523729"/>
    <w:rsid w:val="198F4573"/>
    <w:rsid w:val="1991739F"/>
    <w:rsid w:val="19CE23A1"/>
    <w:rsid w:val="19D12376"/>
    <w:rsid w:val="1A0F4768"/>
    <w:rsid w:val="1A463554"/>
    <w:rsid w:val="1A61454A"/>
    <w:rsid w:val="1A8F7469"/>
    <w:rsid w:val="1AE17E2F"/>
    <w:rsid w:val="1B50523B"/>
    <w:rsid w:val="1B697EA8"/>
    <w:rsid w:val="1B852F33"/>
    <w:rsid w:val="1B9118D8"/>
    <w:rsid w:val="1BA3160C"/>
    <w:rsid w:val="1BFF4611"/>
    <w:rsid w:val="1C186942"/>
    <w:rsid w:val="1C784846"/>
    <w:rsid w:val="1CC44F35"/>
    <w:rsid w:val="1D0C72F2"/>
    <w:rsid w:val="1D2E3157"/>
    <w:rsid w:val="1D4B781B"/>
    <w:rsid w:val="1D74500E"/>
    <w:rsid w:val="1D9A2F05"/>
    <w:rsid w:val="1DBB4BA7"/>
    <w:rsid w:val="1E1C7453"/>
    <w:rsid w:val="1E42510C"/>
    <w:rsid w:val="1E7828DC"/>
    <w:rsid w:val="1E8C72C6"/>
    <w:rsid w:val="1EAE454F"/>
    <w:rsid w:val="1EB21A9C"/>
    <w:rsid w:val="1EC45B21"/>
    <w:rsid w:val="1ECE7A8E"/>
    <w:rsid w:val="1EE40C0E"/>
    <w:rsid w:val="1EF3606E"/>
    <w:rsid w:val="1EFD7285"/>
    <w:rsid w:val="1FD75D28"/>
    <w:rsid w:val="1FDA7D20"/>
    <w:rsid w:val="1FE12702"/>
    <w:rsid w:val="1FED554B"/>
    <w:rsid w:val="204131A1"/>
    <w:rsid w:val="206C2914"/>
    <w:rsid w:val="206F2211"/>
    <w:rsid w:val="206F7D0E"/>
    <w:rsid w:val="20894ECA"/>
    <w:rsid w:val="208C08C0"/>
    <w:rsid w:val="20AA2B83"/>
    <w:rsid w:val="213C0ED8"/>
    <w:rsid w:val="218B6DCA"/>
    <w:rsid w:val="21C1459A"/>
    <w:rsid w:val="21C66054"/>
    <w:rsid w:val="22456F79"/>
    <w:rsid w:val="22657436"/>
    <w:rsid w:val="226E1771"/>
    <w:rsid w:val="22A77C33"/>
    <w:rsid w:val="22BE4F7D"/>
    <w:rsid w:val="22CE65EE"/>
    <w:rsid w:val="23140AB8"/>
    <w:rsid w:val="23256DAA"/>
    <w:rsid w:val="237763F3"/>
    <w:rsid w:val="237A0EA4"/>
    <w:rsid w:val="23847F75"/>
    <w:rsid w:val="239D3CDF"/>
    <w:rsid w:val="23B2192A"/>
    <w:rsid w:val="243C11D8"/>
    <w:rsid w:val="244B2752"/>
    <w:rsid w:val="24B403E6"/>
    <w:rsid w:val="24FC00E1"/>
    <w:rsid w:val="252512E3"/>
    <w:rsid w:val="25882E37"/>
    <w:rsid w:val="25A3780F"/>
    <w:rsid w:val="25B20DC9"/>
    <w:rsid w:val="25BF775B"/>
    <w:rsid w:val="260678C3"/>
    <w:rsid w:val="2622355E"/>
    <w:rsid w:val="26482AC2"/>
    <w:rsid w:val="267A5FE7"/>
    <w:rsid w:val="2685028B"/>
    <w:rsid w:val="26B80661"/>
    <w:rsid w:val="26C11862"/>
    <w:rsid w:val="26E1123A"/>
    <w:rsid w:val="26F60B6E"/>
    <w:rsid w:val="26FC3FD7"/>
    <w:rsid w:val="27315D1D"/>
    <w:rsid w:val="274041B2"/>
    <w:rsid w:val="27496A54"/>
    <w:rsid w:val="277F2D99"/>
    <w:rsid w:val="277F2F2D"/>
    <w:rsid w:val="279558CC"/>
    <w:rsid w:val="279908E2"/>
    <w:rsid w:val="27AE2608"/>
    <w:rsid w:val="27C43035"/>
    <w:rsid w:val="27E20326"/>
    <w:rsid w:val="2829733C"/>
    <w:rsid w:val="283830DC"/>
    <w:rsid w:val="289E3886"/>
    <w:rsid w:val="28C01A4F"/>
    <w:rsid w:val="28FC792E"/>
    <w:rsid w:val="29143B49"/>
    <w:rsid w:val="297B5976"/>
    <w:rsid w:val="297E3B7D"/>
    <w:rsid w:val="29E10124"/>
    <w:rsid w:val="29EF3C6E"/>
    <w:rsid w:val="2A781EB5"/>
    <w:rsid w:val="2A832D34"/>
    <w:rsid w:val="2AAF0753"/>
    <w:rsid w:val="2AE35581"/>
    <w:rsid w:val="2AE642C9"/>
    <w:rsid w:val="2B157704"/>
    <w:rsid w:val="2B253A23"/>
    <w:rsid w:val="2B4B159E"/>
    <w:rsid w:val="2B9702AC"/>
    <w:rsid w:val="2BAC0068"/>
    <w:rsid w:val="2BEE16D0"/>
    <w:rsid w:val="2C4B7881"/>
    <w:rsid w:val="2C5030EA"/>
    <w:rsid w:val="2CD755B9"/>
    <w:rsid w:val="2D2970B8"/>
    <w:rsid w:val="2D384314"/>
    <w:rsid w:val="2D3B78F6"/>
    <w:rsid w:val="2D5B3AF4"/>
    <w:rsid w:val="2D8D3ECA"/>
    <w:rsid w:val="2DB41456"/>
    <w:rsid w:val="2DD155BD"/>
    <w:rsid w:val="2E045F3A"/>
    <w:rsid w:val="2E905A1F"/>
    <w:rsid w:val="2EBF6305"/>
    <w:rsid w:val="2EC92CDF"/>
    <w:rsid w:val="2ED81174"/>
    <w:rsid w:val="2ED973C6"/>
    <w:rsid w:val="2EDF2503"/>
    <w:rsid w:val="2F015510"/>
    <w:rsid w:val="2F4A3E20"/>
    <w:rsid w:val="2F680596"/>
    <w:rsid w:val="301F58A8"/>
    <w:rsid w:val="30444D13"/>
    <w:rsid w:val="3078676B"/>
    <w:rsid w:val="30E7440A"/>
    <w:rsid w:val="30FA1876"/>
    <w:rsid w:val="312D57A8"/>
    <w:rsid w:val="315D067D"/>
    <w:rsid w:val="31F84007"/>
    <w:rsid w:val="31FA1A73"/>
    <w:rsid w:val="323104BA"/>
    <w:rsid w:val="32582CF8"/>
    <w:rsid w:val="32A61EBA"/>
    <w:rsid w:val="32ED1692"/>
    <w:rsid w:val="32F12805"/>
    <w:rsid w:val="33122EA7"/>
    <w:rsid w:val="33A1422B"/>
    <w:rsid w:val="33A87367"/>
    <w:rsid w:val="33EB08E8"/>
    <w:rsid w:val="342A6CDC"/>
    <w:rsid w:val="342C5AFE"/>
    <w:rsid w:val="34360E17"/>
    <w:rsid w:val="35266C07"/>
    <w:rsid w:val="35470E02"/>
    <w:rsid w:val="356E638F"/>
    <w:rsid w:val="35A41DB0"/>
    <w:rsid w:val="35D83DA9"/>
    <w:rsid w:val="362508B5"/>
    <w:rsid w:val="36806379"/>
    <w:rsid w:val="36835A94"/>
    <w:rsid w:val="368D3148"/>
    <w:rsid w:val="36AE0ABB"/>
    <w:rsid w:val="37054AD1"/>
    <w:rsid w:val="375A12C0"/>
    <w:rsid w:val="377203B8"/>
    <w:rsid w:val="37824373"/>
    <w:rsid w:val="37910467"/>
    <w:rsid w:val="37E33064"/>
    <w:rsid w:val="37F05781"/>
    <w:rsid w:val="38434688"/>
    <w:rsid w:val="386E258E"/>
    <w:rsid w:val="38B12743"/>
    <w:rsid w:val="38D04F99"/>
    <w:rsid w:val="39070FD4"/>
    <w:rsid w:val="39311BAD"/>
    <w:rsid w:val="39521AD6"/>
    <w:rsid w:val="395B4E7C"/>
    <w:rsid w:val="397C3770"/>
    <w:rsid w:val="39951C15"/>
    <w:rsid w:val="39EB4B32"/>
    <w:rsid w:val="39F2758E"/>
    <w:rsid w:val="3A655FB2"/>
    <w:rsid w:val="3A6C5593"/>
    <w:rsid w:val="3A7322CD"/>
    <w:rsid w:val="3A9647B8"/>
    <w:rsid w:val="3AE43D6C"/>
    <w:rsid w:val="3B5D312D"/>
    <w:rsid w:val="3B6C15C2"/>
    <w:rsid w:val="3B8A1D23"/>
    <w:rsid w:val="3BC65F1E"/>
    <w:rsid w:val="3BCA4695"/>
    <w:rsid w:val="3BDA477E"/>
    <w:rsid w:val="3C09304C"/>
    <w:rsid w:val="3C096E11"/>
    <w:rsid w:val="3C867CC7"/>
    <w:rsid w:val="3C8F37BA"/>
    <w:rsid w:val="3C984916"/>
    <w:rsid w:val="3CAD3C40"/>
    <w:rsid w:val="3CF63839"/>
    <w:rsid w:val="3D05141F"/>
    <w:rsid w:val="3D09356D"/>
    <w:rsid w:val="3D1C4922"/>
    <w:rsid w:val="3D4A3641"/>
    <w:rsid w:val="3D5347E8"/>
    <w:rsid w:val="3D594F2A"/>
    <w:rsid w:val="3D7824A0"/>
    <w:rsid w:val="3D995914"/>
    <w:rsid w:val="3E382D5B"/>
    <w:rsid w:val="3ED41958"/>
    <w:rsid w:val="3EFE0783"/>
    <w:rsid w:val="3F43088C"/>
    <w:rsid w:val="3F570B59"/>
    <w:rsid w:val="3F577277"/>
    <w:rsid w:val="3F5E7474"/>
    <w:rsid w:val="3F9C53AA"/>
    <w:rsid w:val="3FCA68B7"/>
    <w:rsid w:val="3FD64037"/>
    <w:rsid w:val="400961F6"/>
    <w:rsid w:val="402E2E54"/>
    <w:rsid w:val="404E573A"/>
    <w:rsid w:val="40664832"/>
    <w:rsid w:val="409C0254"/>
    <w:rsid w:val="40CF687B"/>
    <w:rsid w:val="40F265CE"/>
    <w:rsid w:val="40FC0CF2"/>
    <w:rsid w:val="4181740A"/>
    <w:rsid w:val="41AC2FA7"/>
    <w:rsid w:val="41C7679A"/>
    <w:rsid w:val="41F94893"/>
    <w:rsid w:val="42010CB6"/>
    <w:rsid w:val="42291FBB"/>
    <w:rsid w:val="42444AFC"/>
    <w:rsid w:val="42497F67"/>
    <w:rsid w:val="42562684"/>
    <w:rsid w:val="42786A9F"/>
    <w:rsid w:val="42890CAC"/>
    <w:rsid w:val="42CF1F5D"/>
    <w:rsid w:val="42DE4B54"/>
    <w:rsid w:val="42E67EAC"/>
    <w:rsid w:val="43065E58"/>
    <w:rsid w:val="43122A4F"/>
    <w:rsid w:val="43853221"/>
    <w:rsid w:val="43A22025"/>
    <w:rsid w:val="43D31B93"/>
    <w:rsid w:val="44073946"/>
    <w:rsid w:val="447D214A"/>
    <w:rsid w:val="44C53903"/>
    <w:rsid w:val="45B327DA"/>
    <w:rsid w:val="45B95404"/>
    <w:rsid w:val="46196816"/>
    <w:rsid w:val="46342CDD"/>
    <w:rsid w:val="46431172"/>
    <w:rsid w:val="46671304"/>
    <w:rsid w:val="46BF7193"/>
    <w:rsid w:val="46D83FB0"/>
    <w:rsid w:val="46EA24C2"/>
    <w:rsid w:val="47221596"/>
    <w:rsid w:val="474C7A42"/>
    <w:rsid w:val="477A2191"/>
    <w:rsid w:val="477A5E97"/>
    <w:rsid w:val="4780512A"/>
    <w:rsid w:val="478832E0"/>
    <w:rsid w:val="47993115"/>
    <w:rsid w:val="47C90F7E"/>
    <w:rsid w:val="47CB141F"/>
    <w:rsid w:val="47DA69CD"/>
    <w:rsid w:val="47F6064A"/>
    <w:rsid w:val="47F70704"/>
    <w:rsid w:val="480037BE"/>
    <w:rsid w:val="482F43E6"/>
    <w:rsid w:val="48654144"/>
    <w:rsid w:val="487F2935"/>
    <w:rsid w:val="48855A71"/>
    <w:rsid w:val="48B63E7D"/>
    <w:rsid w:val="48C62921"/>
    <w:rsid w:val="49064E04"/>
    <w:rsid w:val="49115557"/>
    <w:rsid w:val="49221512"/>
    <w:rsid w:val="492434DC"/>
    <w:rsid w:val="496C7815"/>
    <w:rsid w:val="4974287C"/>
    <w:rsid w:val="497873C2"/>
    <w:rsid w:val="49BF4D69"/>
    <w:rsid w:val="4A0B1FA6"/>
    <w:rsid w:val="4A5676C5"/>
    <w:rsid w:val="4A6873F9"/>
    <w:rsid w:val="4AA470ED"/>
    <w:rsid w:val="4AA5474E"/>
    <w:rsid w:val="4B0C04AC"/>
    <w:rsid w:val="4B2C6678"/>
    <w:rsid w:val="4B9C70C6"/>
    <w:rsid w:val="4BAB1C93"/>
    <w:rsid w:val="4BBA2F9C"/>
    <w:rsid w:val="4BDA60D4"/>
    <w:rsid w:val="4BE64A79"/>
    <w:rsid w:val="4C04739B"/>
    <w:rsid w:val="4C115F9A"/>
    <w:rsid w:val="4C207F8B"/>
    <w:rsid w:val="4C831B11"/>
    <w:rsid w:val="4C95525D"/>
    <w:rsid w:val="4CDC02C0"/>
    <w:rsid w:val="4CEE1E37"/>
    <w:rsid w:val="4D226C01"/>
    <w:rsid w:val="4D3B518A"/>
    <w:rsid w:val="4D62721D"/>
    <w:rsid w:val="4D7E7E78"/>
    <w:rsid w:val="4DA76E86"/>
    <w:rsid w:val="4DB36BDD"/>
    <w:rsid w:val="4DB56DF9"/>
    <w:rsid w:val="4DD03C33"/>
    <w:rsid w:val="4DEA4CF4"/>
    <w:rsid w:val="4E6879C7"/>
    <w:rsid w:val="4ED73208"/>
    <w:rsid w:val="4EEF00E8"/>
    <w:rsid w:val="4F255A9C"/>
    <w:rsid w:val="4F3D70A6"/>
    <w:rsid w:val="4FA633E1"/>
    <w:rsid w:val="4FAE58AE"/>
    <w:rsid w:val="500A342C"/>
    <w:rsid w:val="50120532"/>
    <w:rsid w:val="5032028D"/>
    <w:rsid w:val="50E11FE6"/>
    <w:rsid w:val="50E43D72"/>
    <w:rsid w:val="50F66007"/>
    <w:rsid w:val="50FB0FC7"/>
    <w:rsid w:val="510065DD"/>
    <w:rsid w:val="51025EB1"/>
    <w:rsid w:val="51182254"/>
    <w:rsid w:val="511C176F"/>
    <w:rsid w:val="51A96C75"/>
    <w:rsid w:val="51BB2504"/>
    <w:rsid w:val="51DA1917"/>
    <w:rsid w:val="523A78CD"/>
    <w:rsid w:val="52C048CE"/>
    <w:rsid w:val="52D56B62"/>
    <w:rsid w:val="52E15F9A"/>
    <w:rsid w:val="533A326E"/>
    <w:rsid w:val="53591FD4"/>
    <w:rsid w:val="53EA69D1"/>
    <w:rsid w:val="53F71F19"/>
    <w:rsid w:val="54492049"/>
    <w:rsid w:val="545255FD"/>
    <w:rsid w:val="54B60FDC"/>
    <w:rsid w:val="54DA7990"/>
    <w:rsid w:val="54EF0E42"/>
    <w:rsid w:val="54FA3343"/>
    <w:rsid w:val="551F4FC7"/>
    <w:rsid w:val="553E5926"/>
    <w:rsid w:val="55CE174C"/>
    <w:rsid w:val="55DA1525"/>
    <w:rsid w:val="5613290E"/>
    <w:rsid w:val="562A072F"/>
    <w:rsid w:val="56B259B1"/>
    <w:rsid w:val="56DD259F"/>
    <w:rsid w:val="56DF6C95"/>
    <w:rsid w:val="570C3DA6"/>
    <w:rsid w:val="572A43B4"/>
    <w:rsid w:val="57391A72"/>
    <w:rsid w:val="5765363E"/>
    <w:rsid w:val="578227BC"/>
    <w:rsid w:val="57B1418D"/>
    <w:rsid w:val="57C2639A"/>
    <w:rsid w:val="58144523"/>
    <w:rsid w:val="584D2B97"/>
    <w:rsid w:val="58AC2BA6"/>
    <w:rsid w:val="594E6601"/>
    <w:rsid w:val="59D16397"/>
    <w:rsid w:val="5A127D6D"/>
    <w:rsid w:val="5A5D684E"/>
    <w:rsid w:val="5A7A11AE"/>
    <w:rsid w:val="5AA93A49"/>
    <w:rsid w:val="5AB87C0C"/>
    <w:rsid w:val="5AE2592E"/>
    <w:rsid w:val="5AF54D54"/>
    <w:rsid w:val="5B112DF2"/>
    <w:rsid w:val="5B2C211E"/>
    <w:rsid w:val="5B667A98"/>
    <w:rsid w:val="5B9067AF"/>
    <w:rsid w:val="5B976A81"/>
    <w:rsid w:val="5BB406F0"/>
    <w:rsid w:val="5C571220"/>
    <w:rsid w:val="5C9B540C"/>
    <w:rsid w:val="5CB63FF4"/>
    <w:rsid w:val="5D015BB7"/>
    <w:rsid w:val="5D2D0A72"/>
    <w:rsid w:val="5D4B6E32"/>
    <w:rsid w:val="5D5850AB"/>
    <w:rsid w:val="5D700646"/>
    <w:rsid w:val="5D753EAF"/>
    <w:rsid w:val="5D7D7551"/>
    <w:rsid w:val="5DA16A52"/>
    <w:rsid w:val="5DB26EB1"/>
    <w:rsid w:val="5E39312E"/>
    <w:rsid w:val="5E4915C3"/>
    <w:rsid w:val="5E5502C9"/>
    <w:rsid w:val="5E8C325E"/>
    <w:rsid w:val="5F4E6765"/>
    <w:rsid w:val="5F646D0F"/>
    <w:rsid w:val="5F652DB2"/>
    <w:rsid w:val="5F69359F"/>
    <w:rsid w:val="602B0459"/>
    <w:rsid w:val="604F643C"/>
    <w:rsid w:val="60B92E1E"/>
    <w:rsid w:val="60BF3DBF"/>
    <w:rsid w:val="60FD202F"/>
    <w:rsid w:val="611E0FEE"/>
    <w:rsid w:val="612754C0"/>
    <w:rsid w:val="61816051"/>
    <w:rsid w:val="61AB6E96"/>
    <w:rsid w:val="62082550"/>
    <w:rsid w:val="62210161"/>
    <w:rsid w:val="624B5D7A"/>
    <w:rsid w:val="62631B63"/>
    <w:rsid w:val="62A35127"/>
    <w:rsid w:val="631B2E02"/>
    <w:rsid w:val="6375489A"/>
    <w:rsid w:val="63D80CF3"/>
    <w:rsid w:val="63FE11A7"/>
    <w:rsid w:val="64CA764A"/>
    <w:rsid w:val="64DD2A65"/>
    <w:rsid w:val="650A1380"/>
    <w:rsid w:val="656A0D04"/>
    <w:rsid w:val="65A23BC0"/>
    <w:rsid w:val="65BA4B55"/>
    <w:rsid w:val="65DD3A72"/>
    <w:rsid w:val="668E7B0D"/>
    <w:rsid w:val="66D5737F"/>
    <w:rsid w:val="66E856F1"/>
    <w:rsid w:val="670A5668"/>
    <w:rsid w:val="67145733"/>
    <w:rsid w:val="6764746E"/>
    <w:rsid w:val="67987117"/>
    <w:rsid w:val="681F38AA"/>
    <w:rsid w:val="686C7083"/>
    <w:rsid w:val="68C34857"/>
    <w:rsid w:val="691427CE"/>
    <w:rsid w:val="693E3CEF"/>
    <w:rsid w:val="697119CE"/>
    <w:rsid w:val="69825989"/>
    <w:rsid w:val="699A3C09"/>
    <w:rsid w:val="69C44C29"/>
    <w:rsid w:val="69D607D4"/>
    <w:rsid w:val="6A04634A"/>
    <w:rsid w:val="6A6262E0"/>
    <w:rsid w:val="6A9736B6"/>
    <w:rsid w:val="6AB9187F"/>
    <w:rsid w:val="6ACE1A23"/>
    <w:rsid w:val="6AFC636D"/>
    <w:rsid w:val="6B59096C"/>
    <w:rsid w:val="6C066D46"/>
    <w:rsid w:val="6C1C572C"/>
    <w:rsid w:val="6C2E1DF8"/>
    <w:rsid w:val="6C517895"/>
    <w:rsid w:val="6C797762"/>
    <w:rsid w:val="6CA65FF8"/>
    <w:rsid w:val="6D323B6A"/>
    <w:rsid w:val="6D8E6FF3"/>
    <w:rsid w:val="6DB47058"/>
    <w:rsid w:val="6DCD73EF"/>
    <w:rsid w:val="6DDA6C97"/>
    <w:rsid w:val="6E153270"/>
    <w:rsid w:val="6E2C680B"/>
    <w:rsid w:val="6E435BD2"/>
    <w:rsid w:val="6E5518BE"/>
    <w:rsid w:val="6E86620E"/>
    <w:rsid w:val="6E975E98"/>
    <w:rsid w:val="6EE3336E"/>
    <w:rsid w:val="6EE36ECA"/>
    <w:rsid w:val="6EE449F0"/>
    <w:rsid w:val="6F307C36"/>
    <w:rsid w:val="6F857F81"/>
    <w:rsid w:val="6FA128E1"/>
    <w:rsid w:val="6FB46AB9"/>
    <w:rsid w:val="6FFB1860"/>
    <w:rsid w:val="70082960"/>
    <w:rsid w:val="70422316"/>
    <w:rsid w:val="70805004"/>
    <w:rsid w:val="70811400"/>
    <w:rsid w:val="708F0B65"/>
    <w:rsid w:val="70E138DD"/>
    <w:rsid w:val="719F48F9"/>
    <w:rsid w:val="71DD7E2B"/>
    <w:rsid w:val="72135D18"/>
    <w:rsid w:val="7214383E"/>
    <w:rsid w:val="725D6F93"/>
    <w:rsid w:val="72B11DBE"/>
    <w:rsid w:val="72D1785E"/>
    <w:rsid w:val="736B748E"/>
    <w:rsid w:val="73942E89"/>
    <w:rsid w:val="73B34EF3"/>
    <w:rsid w:val="73B61A65"/>
    <w:rsid w:val="73CF2113"/>
    <w:rsid w:val="740A6037"/>
    <w:rsid w:val="74302426"/>
    <w:rsid w:val="7431692A"/>
    <w:rsid w:val="746803C6"/>
    <w:rsid w:val="746C5BB4"/>
    <w:rsid w:val="7482736A"/>
    <w:rsid w:val="74AF784E"/>
    <w:rsid w:val="74B35591"/>
    <w:rsid w:val="74DA0D6F"/>
    <w:rsid w:val="74E56917"/>
    <w:rsid w:val="74F11C15"/>
    <w:rsid w:val="751A5B91"/>
    <w:rsid w:val="7521074C"/>
    <w:rsid w:val="754D09F1"/>
    <w:rsid w:val="756920F3"/>
    <w:rsid w:val="75C3637C"/>
    <w:rsid w:val="75C55EA3"/>
    <w:rsid w:val="760A0EE8"/>
    <w:rsid w:val="762F0C47"/>
    <w:rsid w:val="765B7C8E"/>
    <w:rsid w:val="76AC2297"/>
    <w:rsid w:val="76AC673B"/>
    <w:rsid w:val="76D812DE"/>
    <w:rsid w:val="771D4F43"/>
    <w:rsid w:val="773565A2"/>
    <w:rsid w:val="77560455"/>
    <w:rsid w:val="77BA6C36"/>
    <w:rsid w:val="77BC55B0"/>
    <w:rsid w:val="77CB35B3"/>
    <w:rsid w:val="780879A1"/>
    <w:rsid w:val="784E0808"/>
    <w:rsid w:val="78DC77CF"/>
    <w:rsid w:val="78F06000"/>
    <w:rsid w:val="79116D2A"/>
    <w:rsid w:val="7A036D91"/>
    <w:rsid w:val="7A773F9E"/>
    <w:rsid w:val="7A777060"/>
    <w:rsid w:val="7B1E128A"/>
    <w:rsid w:val="7B2C1BF9"/>
    <w:rsid w:val="7B6F1AE6"/>
    <w:rsid w:val="7B7A6E08"/>
    <w:rsid w:val="7B7B66DC"/>
    <w:rsid w:val="7BCA6D11"/>
    <w:rsid w:val="7C093CE8"/>
    <w:rsid w:val="7C626554"/>
    <w:rsid w:val="7C6F7FEF"/>
    <w:rsid w:val="7CED53B8"/>
    <w:rsid w:val="7D0E5A5A"/>
    <w:rsid w:val="7D354625"/>
    <w:rsid w:val="7D933F7B"/>
    <w:rsid w:val="7DBB236F"/>
    <w:rsid w:val="7DD547CA"/>
    <w:rsid w:val="7DFA7D8C"/>
    <w:rsid w:val="7E040C0B"/>
    <w:rsid w:val="7E2B6198"/>
    <w:rsid w:val="7E3B19AE"/>
    <w:rsid w:val="7E4E1E86"/>
    <w:rsid w:val="7E632999"/>
    <w:rsid w:val="7EF5194D"/>
    <w:rsid w:val="7F01514B"/>
    <w:rsid w:val="7F0D421A"/>
    <w:rsid w:val="7F4219EB"/>
    <w:rsid w:val="7F945FBF"/>
    <w:rsid w:val="7FCA4FD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1"/>
    <w:pPr>
      <w:ind w:left="1846" w:right="1919"/>
      <w:jc w:val="center"/>
      <w:outlineLvl w:val="0"/>
    </w:pPr>
    <w:rPr>
      <w:b/>
      <w:bCs/>
      <w:sz w:val="38"/>
      <w:szCs w:val="38"/>
    </w:rPr>
  </w:style>
  <w:style w:type="paragraph" w:styleId="3">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qFormat/>
    <w:uiPriority w:val="0"/>
    <w:pPr>
      <w:keepNext/>
      <w:spacing w:line="460" w:lineRule="exact"/>
      <w:outlineLvl w:val="2"/>
    </w:pPr>
    <w:rPr>
      <w:rFonts w:ascii="宋体" w:hAnsi="宋体"/>
      <w:b/>
      <w:bCs/>
      <w:sz w:val="30"/>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table of authorities"/>
    <w:basedOn w:val="1"/>
    <w:next w:val="1"/>
    <w:unhideWhenUsed/>
    <w:qFormat/>
    <w:uiPriority w:val="99"/>
    <w:pPr>
      <w:tabs>
        <w:tab w:val="decimal" w:pos="315"/>
        <w:tab w:val="left" w:pos="630"/>
      </w:tabs>
      <w:ind w:left="420" w:leftChars="200"/>
    </w:pPr>
  </w:style>
  <w:style w:type="paragraph" w:styleId="6">
    <w:name w:val="Normal Indent"/>
    <w:basedOn w:val="1"/>
    <w:qFormat/>
    <w:uiPriority w:val="0"/>
    <w:pPr>
      <w:widowControl w:val="0"/>
      <w:ind w:firstLine="420"/>
      <w:jc w:val="both"/>
    </w:pPr>
    <w:rPr>
      <w:kern w:val="2"/>
    </w:rPr>
  </w:style>
  <w:style w:type="paragraph" w:styleId="7">
    <w:name w:val="annotation text"/>
    <w:basedOn w:val="1"/>
    <w:qFormat/>
    <w:uiPriority w:val="0"/>
    <w:pPr>
      <w:jc w:val="left"/>
    </w:pPr>
  </w:style>
  <w:style w:type="paragraph" w:styleId="8">
    <w:name w:val="Body Text"/>
    <w:basedOn w:val="1"/>
    <w:next w:val="9"/>
    <w:qFormat/>
    <w:uiPriority w:val="0"/>
    <w:pPr>
      <w:spacing w:after="120"/>
    </w:pPr>
  </w:style>
  <w:style w:type="paragraph" w:customStyle="1" w:styleId="9">
    <w:name w:val="Default"/>
    <w:next w:val="1"/>
    <w:qFormat/>
    <w:uiPriority w:val="0"/>
    <w:pPr>
      <w:widowControl w:val="0"/>
      <w:autoSpaceDE w:val="0"/>
      <w:autoSpaceDN w:val="0"/>
      <w:adjustRightInd w:val="0"/>
    </w:pPr>
    <w:rPr>
      <w:rFonts w:ascii="Calibri" w:hAnsi="Calibri" w:eastAsia="宋体" w:cs="Times New Roman"/>
      <w:color w:val="000000"/>
      <w:sz w:val="24"/>
      <w:szCs w:val="22"/>
      <w:lang w:val="en-US" w:eastAsia="zh-CN" w:bidi="ar-SA"/>
    </w:rPr>
  </w:style>
  <w:style w:type="paragraph" w:styleId="10">
    <w:name w:val="Body Text Indent"/>
    <w:basedOn w:val="1"/>
    <w:qFormat/>
    <w:uiPriority w:val="0"/>
    <w:pPr>
      <w:ind w:firstLine="540"/>
    </w:pPr>
    <w:rPr>
      <w:sz w:val="24"/>
      <w:szCs w:val="20"/>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Body Text 2"/>
    <w:basedOn w:val="1"/>
    <w:unhideWhenUsed/>
    <w:qFormat/>
    <w:uiPriority w:val="99"/>
    <w:pPr>
      <w:spacing w:after="120" w:line="480" w:lineRule="auto"/>
    </w:pPr>
  </w:style>
  <w:style w:type="paragraph" w:styleId="14">
    <w:name w:val="Body Text First Indent 2"/>
    <w:basedOn w:val="10"/>
    <w:next w:val="1"/>
    <w:unhideWhenUsed/>
    <w:qFormat/>
    <w:uiPriority w:val="99"/>
    <w:pPr>
      <w:ind w:firstLine="420" w:firstLineChars="200"/>
    </w:pPr>
  </w:style>
  <w:style w:type="table" w:styleId="16">
    <w:name w:val="Table Grid"/>
    <w:basedOn w:val="15"/>
    <w:qFormat/>
    <w:uiPriority w:val="0"/>
    <w:pPr>
      <w:widowControl w:val="0"/>
      <w:spacing w:line="400" w:lineRule="exact"/>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
    <w:name w:val="大标题"/>
    <w:basedOn w:val="1"/>
    <w:next w:val="14"/>
    <w:qFormat/>
    <w:uiPriority w:val="0"/>
    <w:pPr>
      <w:jc w:val="center"/>
    </w:pPr>
    <w:rPr>
      <w:rFonts w:ascii="Arial" w:hAnsi="Arial" w:eastAsia="宋体"/>
      <w:b/>
      <w:sz w:val="28"/>
      <w:szCs w:val="24"/>
    </w:rPr>
  </w:style>
  <w:style w:type="paragraph" w:customStyle="1" w:styleId="19">
    <w:name w:val="正文1"/>
    <w:qFormat/>
    <w:uiPriority w:val="0"/>
    <w:pPr>
      <w:widowControl w:val="0"/>
      <w:adjustRightInd w:val="0"/>
      <w:spacing w:line="360" w:lineRule="atLeast"/>
      <w:jc w:val="both"/>
      <w:textAlignment w:val="baseline"/>
    </w:pPr>
    <w:rPr>
      <w:rFonts w:ascii="宋体" w:hAnsi="Times New Roman" w:eastAsia="宋体" w:cs="Times New Roman"/>
      <w:sz w:val="24"/>
      <w:lang w:val="en-US" w:eastAsia="zh-CN" w:bidi="ar-SA"/>
    </w:rPr>
  </w:style>
  <w:style w:type="paragraph" w:customStyle="1" w:styleId="20">
    <w:name w:val="列出段落1"/>
    <w:basedOn w:val="1"/>
    <w:qFormat/>
    <w:uiPriority w:val="34"/>
    <w:pPr>
      <w:ind w:firstLine="420" w:firstLineChars="200"/>
    </w:pPr>
  </w:style>
  <w:style w:type="paragraph" w:customStyle="1" w:styleId="21">
    <w:name w:val="投标正文小四"/>
    <w:basedOn w:val="1"/>
    <w:qFormat/>
    <w:uiPriority w:val="0"/>
    <w:pPr>
      <w:spacing w:line="360" w:lineRule="auto"/>
      <w:ind w:firstLine="200" w:firstLineChars="200"/>
    </w:pPr>
    <w:rPr>
      <w:sz w:val="24"/>
    </w:rPr>
  </w:style>
  <w:style w:type="paragraph" w:styleId="22">
    <w:name w:val="List Paragraph"/>
    <w:basedOn w:val="1"/>
    <w:qFormat/>
    <w:uiPriority w:val="34"/>
    <w:pPr>
      <w:ind w:firstLine="420" w:firstLineChars="200"/>
    </w:pPr>
  </w:style>
  <w:style w:type="paragraph" w:customStyle="1" w:styleId="23">
    <w:name w:val="列出段落"/>
    <w:basedOn w:val="1"/>
    <w:qFormat/>
    <w:uiPriority w:val="0"/>
    <w:pPr>
      <w:ind w:firstLine="420" w:firstLineChars="200"/>
    </w:pPr>
    <w:rPr>
      <w:rFonts w:ascii="Calibri" w:hAnsi="Calibri" w:cs="宋体"/>
    </w:rPr>
  </w:style>
  <w:style w:type="paragraph" w:customStyle="1" w:styleId="24">
    <w:name w:val="列表段落2"/>
    <w:basedOn w:val="1"/>
    <w:qFormat/>
    <w:uiPriority w:val="0"/>
    <w:pPr>
      <w:ind w:firstLine="420" w:firstLineChars="200"/>
    </w:pPr>
    <w:rPr>
      <w:szCs w:val="21"/>
    </w:rPr>
  </w:style>
  <w:style w:type="paragraph" w:customStyle="1" w:styleId="25">
    <w:name w:val="列表段落1"/>
    <w:basedOn w:val="1"/>
    <w:qFormat/>
    <w:uiPriority w:val="0"/>
    <w:pPr>
      <w:ind w:firstLine="420" w:firstLineChars="200"/>
    </w:pPr>
    <w:rPr>
      <w:szCs w:val="21"/>
    </w:rPr>
  </w:style>
  <w:style w:type="paragraph" w:customStyle="1" w:styleId="26">
    <w:name w:val="null3"/>
    <w:hidden/>
    <w:qFormat/>
    <w:uiPriority w:val="0"/>
    <w:rPr>
      <w:rFonts w:hint="eastAsia" w:asciiTheme="minorHAnsi" w:hAnsiTheme="minorHAnsi" w:eastAsiaTheme="minorEastAsia" w:cstheme="minorBidi"/>
      <w:lang w:val="en-US" w:eastAsia="zh-Hans"/>
    </w:rPr>
  </w:style>
  <w:style w:type="paragraph" w:customStyle="1" w:styleId="27">
    <w:name w:val="Table Text"/>
    <w:basedOn w:val="1"/>
    <w:semiHidden/>
    <w:qFormat/>
    <w:uiPriority w:val="0"/>
    <w:rPr>
      <w:rFonts w:ascii="宋体" w:hAnsi="宋体" w:eastAsia="宋体" w:cs="宋体"/>
      <w:sz w:val="20"/>
      <w:szCs w:val="20"/>
      <w:lang w:val="en-US" w:eastAsia="en-US" w:bidi="ar-SA"/>
    </w:rPr>
  </w:style>
  <w:style w:type="table" w:customStyle="1" w:styleId="2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1563</Words>
  <Characters>1580</Characters>
  <Lines>0</Lines>
  <Paragraphs>0</Paragraphs>
  <TotalTime>3</TotalTime>
  <ScaleCrop>false</ScaleCrop>
  <LinksUpToDate>false</LinksUpToDate>
  <CharactersWithSpaces>1725</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2024-05-24T01:11:00Z</dcterms:created>
  <dc:creator>Administrator</dc:creator>
  <cp:lastModifiedBy>.</cp:lastModifiedBy>
  <dcterms:modified xsi:type="dcterms:W3CDTF">2026-07-08T04:03:53Z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223DB48C92EF4A37BD8552A6A933F7CA_13</vt:lpwstr>
  </property>
  <property fmtid="{D5CDD505-2E9C-101B-9397-08002B2CF9AE}" pid="4" name="KSOTemplateDocerSaveRecord">
    <vt:lpwstr>eyJoZGlkIjoiZDZhMmUyNGNkNjFmMDg5OTBkMGE5NzVmMzUyMDY2ZWUifQ==</vt:lpwstr>
  </property>
</Properties>
</file>