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3A1CA101">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2" w:name="_GoBack"/>
      <w:r>
        <w:rPr>
          <w:rFonts w:hint="eastAsia" w:ascii="宋体" w:hAnsi="宋体" w:eastAsia="宋体" w:cs="宋体"/>
          <w:b/>
          <w:bCs/>
          <w:color w:val="000000"/>
          <w:kern w:val="0"/>
          <w:sz w:val="28"/>
          <w:szCs w:val="28"/>
          <w:lang w:val="en-US" w:eastAsia="zh-CN" w:bidi="ar"/>
        </w:rPr>
        <w:t>超短波治疗仪</w:t>
      </w:r>
      <w:bookmarkEnd w:id="2"/>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2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65"/>
        <w:gridCol w:w="619"/>
        <w:gridCol w:w="631"/>
        <w:gridCol w:w="1017"/>
        <w:gridCol w:w="1099"/>
        <w:gridCol w:w="1734"/>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17</w:t>
            </w:r>
          </w:p>
        </w:tc>
        <w:tc>
          <w:tcPr>
            <w:tcW w:w="1473" w:type="pct"/>
            <w:noWrap w:val="0"/>
            <w:vAlign w:val="center"/>
          </w:tcPr>
          <w:p w14:paraId="57451F7C">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超短波治疗仪</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1036" w:type="pct"/>
            <w:noWrap w:val="0"/>
            <w:vAlign w:val="center"/>
          </w:tcPr>
          <w:p w14:paraId="42EFFAB5">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输出稳定、连续可调、双管设计、定时与自锁、台式结构。</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0512A"/>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700646"/>
    <w:rsid w:val="5D753EAF"/>
    <w:rsid w:val="5D7D7551"/>
    <w:rsid w:val="5DA16A52"/>
    <w:rsid w:val="5DB26EB1"/>
    <w:rsid w:val="5E39312E"/>
    <w:rsid w:val="5E4915C3"/>
    <w:rsid w:val="5E5502C9"/>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BF6834"/>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036D91"/>
    <w:rsid w:val="7A773F9E"/>
    <w:rsid w:val="7A777060"/>
    <w:rsid w:val="7B2C1BF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1563</Words>
  <Characters>1575</Characters>
  <Lines>0</Lines>
  <Paragraphs>0</Paragraphs>
  <TotalTime>9</TotalTime>
  <ScaleCrop>false</ScaleCrop>
  <LinksUpToDate>false</LinksUpToDate>
  <CharactersWithSpaces>1720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2026-06-24T10:29:01Z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80931C6C4BD1410FB1FD9A4A2693473E_13</vt:lpwstr>
  </property>
  <property fmtid="{D5CDD505-2E9C-101B-9397-08002B2CF9AE}" pid="4" name="KSOTemplateDocerSaveRecord">
    <vt:lpwstr>eyJoZGlkIjoiZDZhMmUyNGNkNjFmMDg5OTBkMGE5NzVmMzUyMDY2ZWUifQ==</vt:lpwstr>
  </property>
</Properties>
</file>