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F5FE0">
      <w:pPr>
        <w:pStyle w:val="2"/>
        <w:rPr>
          <w:rFonts w:hint="eastAsia"/>
          <w:b w:val="0"/>
          <w:bCs w:val="0"/>
          <w:color w:val="000000"/>
          <w:sz w:val="28"/>
          <w:szCs w:val="28"/>
        </w:rPr>
      </w:pPr>
      <w:r>
        <w:rPr>
          <w:rFonts w:hint="eastAsia"/>
          <w:b w:val="0"/>
          <w:bCs w:val="0"/>
          <w:color w:val="000000"/>
          <w:sz w:val="28"/>
          <w:szCs w:val="28"/>
        </w:rPr>
        <w:t>附件</w:t>
      </w:r>
      <w:r>
        <w:rPr>
          <w:rFonts w:hint="eastAsia"/>
          <w:b w:val="0"/>
          <w:bCs w:val="0"/>
          <w:color w:val="000000"/>
          <w:sz w:val="28"/>
          <w:szCs w:val="28"/>
          <w:lang w:val="en-US" w:eastAsia="zh-CN"/>
        </w:rPr>
        <w:t>3</w:t>
      </w:r>
      <w:r>
        <w:rPr>
          <w:rFonts w:hint="eastAsia"/>
          <w:b w:val="0"/>
          <w:bCs w:val="0"/>
          <w:color w:val="000000"/>
          <w:sz w:val="28"/>
          <w:szCs w:val="28"/>
        </w:rPr>
        <w:t>：</w:t>
      </w:r>
    </w:p>
    <w:p w14:paraId="2710AFFE">
      <w:pPr>
        <w:spacing w:line="360" w:lineRule="auto"/>
        <w:ind w:firstLine="602" w:firstLineChars="200"/>
        <w:jc w:val="center"/>
        <w:rPr>
          <w:rFonts w:hint="eastAsia" w:ascii="宋体" w:hAnsi="宋体" w:cs="宋体"/>
          <w:b/>
          <w:bCs/>
          <w:sz w:val="30"/>
          <w:szCs w:val="30"/>
        </w:rPr>
      </w:pPr>
      <w:r>
        <w:rPr>
          <w:rFonts w:hint="eastAsia" w:ascii="宋体" w:hAnsi="宋体" w:cs="宋体"/>
          <w:b/>
          <w:bCs/>
          <w:sz w:val="30"/>
          <w:szCs w:val="30"/>
        </w:rPr>
        <w:t>评审方案</w:t>
      </w:r>
    </w:p>
    <w:p w14:paraId="0E81F9E7">
      <w:pPr>
        <w:keepNext w:val="0"/>
        <w:keepLines w:val="0"/>
        <w:pageBreakBefore w:val="0"/>
        <w:widowControl w:val="0"/>
        <w:kinsoku/>
        <w:wordWrap/>
        <w:overflowPunct/>
        <w:topLinePunct w:val="0"/>
        <w:autoSpaceDE/>
        <w:autoSpaceDN/>
        <w:bidi w:val="0"/>
        <w:adjustRightInd/>
        <w:snapToGrid/>
        <w:spacing w:line="440" w:lineRule="exact"/>
        <w:ind w:firstLine="883" w:firstLineChars="200"/>
        <w:jc w:val="center"/>
        <w:textAlignment w:val="auto"/>
        <w:rPr>
          <w:rFonts w:hint="eastAsia" w:ascii="宋体" w:hAnsi="宋体" w:cs="宋体"/>
          <w:b/>
          <w:bCs/>
          <w:sz w:val="44"/>
          <w:szCs w:val="44"/>
        </w:rPr>
      </w:pPr>
    </w:p>
    <w:p w14:paraId="05F8CF75">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宋体" w:hAnsi="宋体"/>
          <w:szCs w:val="21"/>
        </w:rPr>
      </w:pPr>
      <w:r>
        <w:rPr>
          <w:rFonts w:hint="eastAsia" w:ascii="宋体" w:hAnsi="宋体"/>
          <w:b/>
          <w:bCs/>
          <w:szCs w:val="21"/>
        </w:rPr>
        <w:t>1、评审步骤：</w:t>
      </w:r>
      <w:r>
        <w:rPr>
          <w:rFonts w:hint="eastAsia" w:ascii="宋体" w:hAnsi="宋体"/>
          <w:szCs w:val="21"/>
        </w:rPr>
        <w:t>评审小组对响应文件的评审分为初审（资格性和符合性审查，详见响应文件模版参考内容）和详细评审，初审通过才进入详细评审环节。</w:t>
      </w:r>
    </w:p>
    <w:p w14:paraId="43511462">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宋体" w:hAnsi="宋体"/>
          <w:szCs w:val="21"/>
        </w:rPr>
      </w:pPr>
      <w:r>
        <w:rPr>
          <w:rFonts w:hint="eastAsia" w:ascii="宋体" w:hAnsi="宋体"/>
          <w:b/>
          <w:bCs/>
          <w:szCs w:val="21"/>
        </w:rPr>
        <w:t>2、</w:t>
      </w:r>
      <w:r>
        <w:rPr>
          <w:rFonts w:hint="eastAsia" w:ascii="宋体" w:hAnsi="宋体"/>
          <w:szCs w:val="21"/>
        </w:rPr>
        <w:t>详细评审时，根据评分表的内容，评审小组各成员应当独立对每个有效响应的文件进行评价、打分，从商务技术和价格方面进行综合评审。各成员评分的算术平均值即为该供应商的商务技术得分。得分按四舍五入规则，精确到小数点后2位。</w:t>
      </w:r>
    </w:p>
    <w:p w14:paraId="39FFA85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宋体" w:hAnsi="宋体"/>
          <w:szCs w:val="21"/>
        </w:rPr>
      </w:pPr>
      <w:r>
        <w:rPr>
          <w:rFonts w:hint="eastAsia" w:ascii="宋体" w:hAnsi="宋体"/>
          <w:b/>
          <w:bCs/>
          <w:szCs w:val="21"/>
        </w:rPr>
        <w:t>3、评审总得分＝商务技术得分+响应报价得分</w:t>
      </w:r>
      <w:r>
        <w:rPr>
          <w:rFonts w:hint="eastAsia" w:ascii="宋体" w:hAnsi="宋体"/>
          <w:szCs w:val="21"/>
        </w:rPr>
        <w:t>　　</w:t>
      </w:r>
    </w:p>
    <w:p w14:paraId="64B310E2">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宋体" w:hAnsi="宋体"/>
          <w:szCs w:val="21"/>
        </w:rPr>
      </w:pPr>
      <w:r>
        <w:rPr>
          <w:rFonts w:hint="eastAsia" w:ascii="宋体" w:hAnsi="宋体"/>
          <w:b/>
          <w:bCs/>
          <w:szCs w:val="21"/>
        </w:rPr>
        <w:t>4、</w:t>
      </w:r>
      <w:r>
        <w:rPr>
          <w:rFonts w:hint="eastAsia" w:ascii="宋体" w:hAnsi="宋体"/>
          <w:szCs w:val="21"/>
        </w:rPr>
        <w:t>评审小组按评审得分由高到低进行排序，排名第一的推荐为第一成交候选人，排名第二的供应商为第二成交候选人，排名第三的供应商为第三成交候选人。出现综合总得分并列时，按下列顺序比较确定：（1）报价（由低到高）；（2）商务技术评分（由高到低）。如以上都相同的，由全体评审专家投票确定名次。</w:t>
      </w:r>
    </w:p>
    <w:p w14:paraId="06801EE1">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宋体" w:hAnsi="宋体"/>
          <w:b/>
          <w:bCs/>
          <w:szCs w:val="21"/>
        </w:rPr>
      </w:pPr>
      <w:r>
        <w:rPr>
          <w:rFonts w:hint="eastAsia" w:ascii="宋体" w:hAnsi="宋体"/>
          <w:b/>
          <w:bCs/>
          <w:szCs w:val="21"/>
        </w:rPr>
        <w:t>5、响应文件的澄清</w:t>
      </w:r>
    </w:p>
    <w:p w14:paraId="72F311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szCs w:val="21"/>
        </w:rPr>
      </w:pPr>
      <w:r>
        <w:rPr>
          <w:rFonts w:hint="eastAsia" w:ascii="宋体" w:hAnsi="宋体"/>
          <w:szCs w:val="21"/>
        </w:rPr>
        <w:t>评审期间，对响应文件中含义不明确、同类问题表述不一致或者有明显文字和计算错误</w:t>
      </w:r>
      <w:r>
        <w:rPr>
          <w:rFonts w:hint="eastAsia" w:ascii="宋体" w:hAnsi="宋体"/>
          <w:szCs w:val="21"/>
          <w:lang w:eastAsia="zh-CN"/>
        </w:rPr>
        <w:t>。</w:t>
      </w:r>
      <w:r>
        <w:rPr>
          <w:rFonts w:hint="eastAsia" w:ascii="宋体" w:hAnsi="宋体"/>
          <w:szCs w:val="21"/>
        </w:rPr>
        <w:t>的内容，评审小组可以书面形式（应当由评审小组专家签字）要求供应商作出必要的澄清、说明或者纠正，但不得允许供应商对响应报价等实质性内容做任何更改。供应商的澄清、说明或者纠正应当采用书面形式，由其授权的代表签字，并不得超出响应文件的范围或者改变响应文件的实质性内容。有关澄清的答复均应由供应商的法定代表人或授权代表签名的书面形式作出。供应商的澄清文件是其响应文件的组成部分。</w:t>
      </w:r>
    </w:p>
    <w:p w14:paraId="2358A020">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pPr>
      <w:r>
        <w:rPr>
          <w:rFonts w:hint="eastAsia" w:ascii="宋体" w:hAnsi="宋体"/>
          <w:b/>
          <w:bCs/>
          <w:szCs w:val="21"/>
        </w:rPr>
        <w:t>6、</w:t>
      </w:r>
      <w:r>
        <w:rPr>
          <w:rFonts w:hint="eastAsia" w:ascii="宋体" w:hAnsi="宋体"/>
          <w:szCs w:val="21"/>
        </w:rPr>
        <w:t>评审专家按照总得分由高到低的顺序推荐中选人名单。排名第一的推荐为第一成交候选人。如果推荐的第一成交候选人向采购人来书面函退出或违反采购文件规定或不能履行合同的，则采购人视为该第一成交候选人放弃成交资格。则采购人在法律法规允许的情况下可按中选人排名顺序依次确定递补中选人资格，或重新组织采购。</w:t>
      </w:r>
    </w:p>
    <w:p w14:paraId="0EFADE6B">
      <w:pPr>
        <w:pStyle w:val="10"/>
        <w:ind w:left="0"/>
        <w:jc w:val="center"/>
        <w:rPr>
          <w:rFonts w:hint="eastAsia" w:ascii="宋体" w:hAnsi="宋体" w:cs="宋体"/>
          <w:b/>
          <w:bCs/>
          <w:sz w:val="24"/>
          <w:szCs w:val="24"/>
        </w:rPr>
      </w:pPr>
    </w:p>
    <w:p w14:paraId="44CACE10">
      <w:pPr>
        <w:rPr>
          <w:rFonts w:hint="eastAsia" w:ascii="宋体" w:hAnsi="宋体" w:cs="宋体"/>
          <w:b/>
          <w:bCs/>
          <w:sz w:val="24"/>
          <w:szCs w:val="24"/>
        </w:rPr>
      </w:pPr>
    </w:p>
    <w:p w14:paraId="3199AB98">
      <w:pPr>
        <w:pStyle w:val="2"/>
        <w:rPr>
          <w:rFonts w:hint="eastAsia" w:ascii="宋体" w:hAnsi="宋体" w:cs="宋体"/>
          <w:b/>
          <w:bCs/>
          <w:sz w:val="24"/>
          <w:szCs w:val="24"/>
        </w:rPr>
      </w:pPr>
    </w:p>
    <w:p w14:paraId="60DBFF0B">
      <w:pPr>
        <w:pStyle w:val="3"/>
        <w:rPr>
          <w:rFonts w:hint="eastAsia" w:ascii="宋体" w:hAnsi="宋体" w:cs="宋体"/>
          <w:b/>
          <w:bCs/>
          <w:sz w:val="24"/>
          <w:szCs w:val="24"/>
        </w:rPr>
      </w:pPr>
    </w:p>
    <w:p w14:paraId="19A9ECF3">
      <w:pPr>
        <w:pStyle w:val="4"/>
        <w:rPr>
          <w:rFonts w:hint="eastAsia"/>
        </w:rPr>
      </w:pPr>
    </w:p>
    <w:p w14:paraId="437EFB3A">
      <w:pPr>
        <w:pStyle w:val="3"/>
        <w:rPr>
          <w:rFonts w:hint="eastAsia"/>
        </w:rPr>
      </w:pPr>
    </w:p>
    <w:p w14:paraId="4AFC49DB">
      <w:pPr>
        <w:pStyle w:val="10"/>
        <w:ind w:left="0"/>
        <w:jc w:val="center"/>
        <w:rPr>
          <w:rFonts w:hint="eastAsia" w:ascii="宋体" w:hAnsi="宋体" w:cs="宋体"/>
          <w:b/>
          <w:bCs/>
          <w:sz w:val="24"/>
          <w:szCs w:val="24"/>
        </w:rPr>
      </w:pPr>
    </w:p>
    <w:p w14:paraId="0FB56E07">
      <w:pPr>
        <w:pStyle w:val="10"/>
        <w:ind w:left="0"/>
        <w:jc w:val="both"/>
        <w:rPr>
          <w:rFonts w:hint="eastAsia" w:ascii="宋体" w:hAnsi="宋体" w:cs="宋体"/>
          <w:b/>
          <w:bCs/>
          <w:sz w:val="24"/>
          <w:szCs w:val="24"/>
        </w:rPr>
      </w:pPr>
    </w:p>
    <w:p w14:paraId="76164321">
      <w:pPr>
        <w:pStyle w:val="10"/>
        <w:ind w:left="0"/>
        <w:jc w:val="both"/>
        <w:rPr>
          <w:rFonts w:hint="eastAsia" w:ascii="宋体" w:hAnsi="宋体" w:cs="宋体"/>
          <w:b/>
          <w:bCs/>
          <w:sz w:val="24"/>
          <w:szCs w:val="24"/>
        </w:rPr>
      </w:pPr>
      <w:r>
        <w:rPr>
          <w:rFonts w:hint="eastAsia" w:ascii="宋体" w:hAnsi="宋体" w:cs="宋体"/>
          <w:b/>
          <w:bCs/>
          <w:sz w:val="24"/>
          <w:szCs w:val="24"/>
        </w:rPr>
        <w:t>附表：</w:t>
      </w:r>
    </w:p>
    <w:p w14:paraId="4A5DA49F">
      <w:pPr>
        <w:pStyle w:val="10"/>
        <w:ind w:left="0"/>
        <w:rPr>
          <w:b/>
          <w:sz w:val="24"/>
          <w:szCs w:val="24"/>
        </w:rPr>
      </w:pPr>
    </w:p>
    <w:p w14:paraId="12CA6E4C">
      <w:pPr>
        <w:pStyle w:val="10"/>
        <w:ind w:left="0"/>
        <w:jc w:val="center"/>
        <w:rPr>
          <w:rFonts w:hint="eastAsia"/>
          <w:b/>
          <w:sz w:val="30"/>
          <w:szCs w:val="30"/>
        </w:rPr>
      </w:pPr>
      <w:r>
        <w:rPr>
          <w:rFonts w:hint="eastAsia"/>
          <w:b/>
          <w:sz w:val="30"/>
          <w:szCs w:val="30"/>
        </w:rPr>
        <w:t>中山市黄圃人民医院门诊住院综合大楼1号空调主机维修</w:t>
      </w:r>
    </w:p>
    <w:p w14:paraId="5B98FD29">
      <w:pPr>
        <w:pStyle w:val="10"/>
        <w:ind w:left="0"/>
        <w:jc w:val="center"/>
        <w:rPr>
          <w:rFonts w:hint="eastAsia" w:ascii="宋体" w:hAnsi="宋体" w:cs="宋体"/>
          <w:b/>
          <w:bCs/>
          <w:sz w:val="30"/>
          <w:szCs w:val="30"/>
        </w:rPr>
      </w:pPr>
      <w:r>
        <w:rPr>
          <w:rFonts w:hint="eastAsia"/>
          <w:b/>
          <w:sz w:val="30"/>
          <w:szCs w:val="30"/>
        </w:rPr>
        <w:t>项目</w:t>
      </w:r>
      <w:r>
        <w:rPr>
          <w:rFonts w:hint="eastAsia" w:ascii="宋体" w:hAnsi="宋体" w:cs="宋体"/>
          <w:b/>
          <w:bCs/>
          <w:sz w:val="30"/>
          <w:szCs w:val="30"/>
        </w:rPr>
        <w:t>评分表</w:t>
      </w:r>
    </w:p>
    <w:p w14:paraId="2F35D28E"/>
    <w:tbl>
      <w:tblPr>
        <w:tblStyle w:val="14"/>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286"/>
        <w:gridCol w:w="6244"/>
        <w:gridCol w:w="809"/>
      </w:tblGrid>
      <w:tr w14:paraId="5ABA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1087" w:type="dxa"/>
            <w:vAlign w:val="center"/>
          </w:tcPr>
          <w:p w14:paraId="3628FDD4">
            <w:pPr>
              <w:pStyle w:val="11"/>
              <w:tabs>
                <w:tab w:val="clear" w:pos="4153"/>
                <w:tab w:val="clear" w:pos="8306"/>
              </w:tabs>
              <w:snapToGrid/>
              <w:spacing w:line="360" w:lineRule="auto"/>
              <w:jc w:val="center"/>
              <w:rPr>
                <w:rFonts w:hint="eastAsia" w:ascii="宋体" w:hAnsi="宋体" w:cs="宋体"/>
                <w:b/>
                <w:bCs/>
                <w:sz w:val="21"/>
                <w:szCs w:val="21"/>
              </w:rPr>
            </w:pPr>
            <w:r>
              <w:rPr>
                <w:rFonts w:hint="eastAsia" w:ascii="宋体" w:hAnsi="宋体" w:cs="宋体"/>
                <w:b/>
                <w:bCs/>
                <w:sz w:val="21"/>
                <w:szCs w:val="21"/>
              </w:rPr>
              <w:t>项目</w:t>
            </w:r>
          </w:p>
        </w:tc>
        <w:tc>
          <w:tcPr>
            <w:tcW w:w="1286" w:type="dxa"/>
            <w:vAlign w:val="center"/>
          </w:tcPr>
          <w:p w14:paraId="41677062">
            <w:pPr>
              <w:pStyle w:val="11"/>
              <w:tabs>
                <w:tab w:val="clear" w:pos="4153"/>
                <w:tab w:val="clear" w:pos="8306"/>
              </w:tabs>
              <w:snapToGrid/>
              <w:spacing w:line="360" w:lineRule="auto"/>
              <w:jc w:val="center"/>
              <w:rPr>
                <w:rFonts w:hint="eastAsia" w:ascii="宋体" w:hAnsi="宋体" w:cs="宋体"/>
                <w:b/>
                <w:bCs/>
                <w:sz w:val="21"/>
                <w:szCs w:val="21"/>
              </w:rPr>
            </w:pPr>
            <w:r>
              <w:rPr>
                <w:rFonts w:hint="eastAsia" w:ascii="宋体" w:hAnsi="宋体" w:cs="宋体"/>
                <w:b/>
                <w:bCs/>
                <w:sz w:val="21"/>
                <w:szCs w:val="21"/>
              </w:rPr>
              <w:t>评审因素</w:t>
            </w:r>
          </w:p>
        </w:tc>
        <w:tc>
          <w:tcPr>
            <w:tcW w:w="6244" w:type="dxa"/>
            <w:vAlign w:val="center"/>
          </w:tcPr>
          <w:p w14:paraId="48506DF7">
            <w:pPr>
              <w:pStyle w:val="11"/>
              <w:tabs>
                <w:tab w:val="clear" w:pos="4153"/>
                <w:tab w:val="clear" w:pos="8306"/>
              </w:tabs>
              <w:snapToGrid/>
              <w:spacing w:line="360" w:lineRule="auto"/>
              <w:jc w:val="center"/>
              <w:rPr>
                <w:rFonts w:hint="eastAsia" w:ascii="宋体" w:hAnsi="宋体" w:cs="宋体"/>
                <w:b/>
                <w:bCs/>
                <w:sz w:val="21"/>
                <w:szCs w:val="21"/>
              </w:rPr>
            </w:pPr>
            <w:r>
              <w:rPr>
                <w:rFonts w:hint="eastAsia" w:ascii="宋体" w:hAnsi="宋体" w:cs="宋体"/>
                <w:b/>
                <w:bCs/>
                <w:sz w:val="21"/>
                <w:szCs w:val="21"/>
              </w:rPr>
              <w:t>评分细则</w:t>
            </w:r>
          </w:p>
        </w:tc>
        <w:tc>
          <w:tcPr>
            <w:tcW w:w="809" w:type="dxa"/>
            <w:vAlign w:val="center"/>
          </w:tcPr>
          <w:p w14:paraId="61AAEC60">
            <w:pPr>
              <w:pStyle w:val="11"/>
              <w:tabs>
                <w:tab w:val="clear" w:pos="4153"/>
                <w:tab w:val="clear" w:pos="8306"/>
              </w:tabs>
              <w:snapToGrid/>
              <w:spacing w:line="360" w:lineRule="auto"/>
              <w:jc w:val="center"/>
              <w:rPr>
                <w:rFonts w:hint="eastAsia" w:ascii="宋体" w:hAnsi="宋体" w:cs="宋体"/>
                <w:b/>
                <w:bCs/>
                <w:sz w:val="21"/>
                <w:szCs w:val="21"/>
              </w:rPr>
            </w:pPr>
            <w:r>
              <w:rPr>
                <w:rFonts w:hint="eastAsia" w:ascii="宋体" w:hAnsi="宋体" w:cs="宋体"/>
                <w:b/>
                <w:bCs/>
                <w:sz w:val="21"/>
                <w:szCs w:val="21"/>
              </w:rPr>
              <w:t>分值</w:t>
            </w:r>
          </w:p>
        </w:tc>
      </w:tr>
      <w:tr w14:paraId="68E0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3" w:hRule="atLeast"/>
          <w:jc w:val="center"/>
        </w:trPr>
        <w:tc>
          <w:tcPr>
            <w:tcW w:w="1087" w:type="dxa"/>
            <w:vMerge w:val="restart"/>
            <w:vAlign w:val="center"/>
          </w:tcPr>
          <w:p w14:paraId="07E3F974">
            <w:pPr>
              <w:keepNext w:val="0"/>
              <w:keepLines w:val="0"/>
              <w:pageBreakBefore w:val="0"/>
              <w:tabs>
                <w:tab w:val="decimal" w:pos="315"/>
                <w:tab w:val="left" w:pos="630"/>
              </w:tabs>
              <w:kinsoku/>
              <w:wordWrap/>
              <w:overflowPunct/>
              <w:topLinePunct w:val="0"/>
              <w:autoSpaceDE/>
              <w:autoSpaceDN/>
              <w:bidi w:val="0"/>
              <w:adjustRightInd/>
              <w:snapToGrid/>
              <w:spacing w:line="400" w:lineRule="exact"/>
              <w:jc w:val="center"/>
              <w:textAlignment w:val="auto"/>
              <w:rPr>
                <w:color w:val="000000" w:themeColor="text1"/>
                <w14:textFill>
                  <w14:solidFill>
                    <w14:schemeClr w14:val="tx1"/>
                  </w14:solidFill>
                </w14:textFill>
              </w:rPr>
            </w:pPr>
            <w:r>
              <w:rPr>
                <w:b/>
                <w:bCs/>
                <w:color w:val="000000" w:themeColor="text1"/>
                <w14:textFill>
                  <w14:solidFill>
                    <w14:schemeClr w14:val="tx1"/>
                  </w14:solidFill>
                </w14:textFill>
              </w:rPr>
              <w:t>商务</w:t>
            </w:r>
            <w:r>
              <w:rPr>
                <w:rFonts w:hint="eastAsia"/>
                <w:b/>
                <w:bCs/>
                <w:color w:val="000000" w:themeColor="text1"/>
                <w14:textFill>
                  <w14:solidFill>
                    <w14:schemeClr w14:val="tx1"/>
                  </w14:solidFill>
                </w14:textFill>
              </w:rPr>
              <w:t>技术</w:t>
            </w:r>
            <w:r>
              <w:rPr>
                <w:b/>
                <w:bCs/>
                <w:color w:val="000000" w:themeColor="text1"/>
                <w14:textFill>
                  <w14:solidFill>
                    <w14:schemeClr w14:val="tx1"/>
                  </w14:solidFill>
                </w14:textFill>
              </w:rPr>
              <w:t>部分</w:t>
            </w:r>
          </w:p>
        </w:tc>
        <w:tc>
          <w:tcPr>
            <w:tcW w:w="1286" w:type="dxa"/>
            <w:vAlign w:val="center"/>
          </w:tcPr>
          <w:p w14:paraId="1BEC429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themeColor="text1"/>
                <w:szCs w:val="21"/>
                <w:lang w:bidi="ar"/>
                <w14:textFill>
                  <w14:solidFill>
                    <w14:schemeClr w14:val="tx1"/>
                  </w14:solidFill>
                </w14:textFill>
              </w:rPr>
            </w:pPr>
          </w:p>
          <w:p w14:paraId="0684CE8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同类项目</w:t>
            </w:r>
          </w:p>
          <w:p w14:paraId="5829EA9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themeColor="text1"/>
                <w:kern w:val="2"/>
                <w:sz w:val="21"/>
                <w:szCs w:val="21"/>
                <w:lang w:val="zh-CN" w:eastAsia="zh-CN" w:bidi="ar-SA"/>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业绩</w:t>
            </w:r>
          </w:p>
        </w:tc>
        <w:tc>
          <w:tcPr>
            <w:tcW w:w="6244" w:type="dxa"/>
            <w:vAlign w:val="center"/>
          </w:tcPr>
          <w:p w14:paraId="6171C29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Cs/>
                <w:color w:val="000000" w:themeColor="text1"/>
                <w:kern w:val="2"/>
                <w:sz w:val="21"/>
                <w:szCs w:val="21"/>
                <w:lang w:val="zh-CN" w:eastAsia="zh-CN" w:bidi="ar-SA"/>
                <w14:textFill>
                  <w14:solidFill>
                    <w14:schemeClr w14:val="tx1"/>
                  </w14:solidFill>
                </w14:textFill>
              </w:rPr>
            </w:pPr>
            <w:r>
              <w:rPr>
                <w:rFonts w:hint="eastAsia" w:ascii="宋体" w:hAnsi="宋体" w:cs="宋体"/>
                <w:bCs/>
                <w:szCs w:val="21"/>
              </w:rPr>
              <w:t>供应商自202</w:t>
            </w:r>
            <w:r>
              <w:rPr>
                <w:rFonts w:hint="eastAsia" w:ascii="宋体" w:hAnsi="宋体" w:cs="宋体"/>
                <w:bCs/>
                <w:szCs w:val="21"/>
                <w:lang w:val="en-US" w:eastAsia="zh-CN"/>
              </w:rPr>
              <w:t>3</w:t>
            </w:r>
            <w:r>
              <w:rPr>
                <w:rFonts w:hint="eastAsia" w:ascii="宋体" w:hAnsi="宋体" w:cs="宋体"/>
                <w:bCs/>
                <w:szCs w:val="21"/>
              </w:rPr>
              <w:t>年1月1日以来（以合同签订时间为准）承接的同类项目业绩</w:t>
            </w:r>
            <w:r>
              <w:rPr>
                <w:rFonts w:hint="eastAsia" w:ascii="宋体" w:hAnsi="宋体" w:cs="宋体"/>
                <w:bCs/>
                <w:szCs w:val="21"/>
                <w:lang w:eastAsia="zh-CN"/>
              </w:rPr>
              <w:t>（</w:t>
            </w:r>
            <w:r>
              <w:rPr>
                <w:rFonts w:hint="eastAsia" w:ascii="宋体" w:hAnsi="宋体" w:cs="宋体"/>
                <w:color w:val="000000" w:themeColor="text1"/>
                <w:szCs w:val="21"/>
                <w:highlight w:val="none"/>
                <w:lang w:bidi="ar"/>
                <w14:textFill>
                  <w14:solidFill>
                    <w14:schemeClr w14:val="tx1"/>
                  </w14:solidFill>
                </w14:textFill>
              </w:rPr>
              <w:t>业绩须包含风冷蒸发式冷凝螺杆热泵机组整机维修</w:t>
            </w:r>
            <w:r>
              <w:rPr>
                <w:rFonts w:hint="eastAsia" w:ascii="宋体" w:hAnsi="宋体" w:cs="宋体"/>
                <w:color w:val="000000" w:themeColor="text1"/>
                <w:szCs w:val="21"/>
                <w:highlight w:val="none"/>
                <w:lang w:val="en-US" w:eastAsia="zh-CN" w:bidi="ar"/>
                <w14:textFill>
                  <w14:solidFill>
                    <w14:schemeClr w14:val="tx1"/>
                  </w14:solidFill>
                </w14:textFill>
              </w:rPr>
              <w:t>、</w:t>
            </w:r>
            <w:bookmarkStart w:id="0" w:name="_GoBack"/>
            <w:bookmarkEnd w:id="0"/>
            <w:r>
              <w:rPr>
                <w:rFonts w:hint="eastAsia" w:ascii="宋体" w:hAnsi="宋体" w:cs="宋体"/>
                <w:color w:val="000000" w:themeColor="text1"/>
                <w:szCs w:val="21"/>
                <w:highlight w:val="none"/>
                <w:lang w:val="en-US" w:eastAsia="zh-CN" w:bidi="ar"/>
                <w14:textFill>
                  <w14:solidFill>
                    <w14:schemeClr w14:val="tx1"/>
                  </w14:solidFill>
                </w14:textFill>
              </w:rPr>
              <w:t>安装、</w:t>
            </w:r>
            <w:r>
              <w:rPr>
                <w:rFonts w:hint="eastAsia" w:ascii="宋体" w:hAnsi="宋体" w:cs="宋体"/>
                <w:color w:val="000000" w:themeColor="text1"/>
                <w:szCs w:val="21"/>
                <w:highlight w:val="none"/>
                <w:lang w:bidi="ar"/>
                <w14:textFill>
                  <w14:solidFill>
                    <w14:schemeClr w14:val="tx1"/>
                  </w14:solidFill>
                </w14:textFill>
              </w:rPr>
              <w:t>系统调试，普通分体空调维保业绩不</w:t>
            </w:r>
            <w:r>
              <w:rPr>
                <w:rFonts w:hint="eastAsia" w:ascii="宋体" w:hAnsi="宋体" w:cs="宋体"/>
                <w:color w:val="000000" w:themeColor="text1"/>
                <w:szCs w:val="21"/>
                <w:highlight w:val="none"/>
                <w:lang w:eastAsia="zh-CN" w:bidi="ar"/>
                <w14:textFill>
                  <w14:solidFill>
                    <w14:schemeClr w14:val="tx1"/>
                  </w14:solidFill>
                </w14:textFill>
              </w:rPr>
              <w:t>纳入计算范围</w:t>
            </w:r>
            <w:r>
              <w:rPr>
                <w:rFonts w:hint="eastAsia" w:ascii="宋体" w:hAnsi="宋体" w:cs="宋体"/>
                <w:bCs/>
                <w:szCs w:val="21"/>
                <w:lang w:eastAsia="zh-CN"/>
              </w:rPr>
              <w:t>）</w:t>
            </w:r>
            <w:r>
              <w:rPr>
                <w:rFonts w:hint="eastAsia" w:ascii="宋体" w:hAnsi="宋体" w:cs="宋体"/>
                <w:bCs/>
                <w:szCs w:val="21"/>
                <w:lang w:val="en-US" w:eastAsia="zh-CN"/>
              </w:rPr>
              <w:t>,</w:t>
            </w:r>
            <w:r>
              <w:rPr>
                <w:rFonts w:hint="eastAsia" w:ascii="宋体" w:hAnsi="宋体" w:cs="宋体"/>
                <w:bCs/>
                <w:szCs w:val="21"/>
              </w:rPr>
              <w:t>每个得</w:t>
            </w:r>
            <w:r>
              <w:rPr>
                <w:rFonts w:hint="eastAsia" w:ascii="宋体" w:hAnsi="宋体" w:cs="宋体"/>
                <w:bCs/>
                <w:szCs w:val="21"/>
                <w:lang w:val="en-US" w:eastAsia="zh-CN"/>
              </w:rPr>
              <w:t>5</w:t>
            </w:r>
            <w:r>
              <w:rPr>
                <w:rFonts w:hint="eastAsia" w:ascii="宋体" w:hAnsi="宋体" w:cs="宋体"/>
                <w:bCs/>
                <w:szCs w:val="21"/>
              </w:rPr>
              <w:t>分，最高得</w:t>
            </w:r>
            <w:r>
              <w:rPr>
                <w:rFonts w:hint="eastAsia" w:ascii="宋体" w:hAnsi="宋体" w:cs="宋体"/>
                <w:bCs/>
                <w:szCs w:val="21"/>
                <w:lang w:val="en-US" w:eastAsia="zh-CN"/>
              </w:rPr>
              <w:t>10</w:t>
            </w:r>
            <w:r>
              <w:rPr>
                <w:rFonts w:hint="eastAsia" w:ascii="宋体" w:hAnsi="宋体" w:cs="宋体"/>
                <w:bCs/>
                <w:szCs w:val="21"/>
              </w:rPr>
              <w:t>分</w:t>
            </w:r>
            <w:r>
              <w:rPr>
                <w:rFonts w:hint="eastAsia" w:ascii="宋体" w:hAnsi="宋体" w:cs="宋体"/>
                <w:color w:val="000000" w:themeColor="text1"/>
                <w:szCs w:val="21"/>
                <w:highlight w:val="none"/>
                <w:lang w:bidi="ar"/>
                <w14:textFill>
                  <w14:solidFill>
                    <w14:schemeClr w14:val="tx1"/>
                  </w14:solidFill>
                </w14:textFill>
              </w:rPr>
              <w:t>；</w:t>
            </w:r>
            <w:r>
              <w:rPr>
                <w:rFonts w:hint="eastAsia" w:ascii="宋体" w:hAnsi="宋体" w:cs="宋体"/>
                <w:color w:val="000000" w:themeColor="text1"/>
                <w:szCs w:val="21"/>
                <w:highlight w:val="none"/>
                <w:lang w:bidi="ar"/>
                <w14:textFill>
                  <w14:solidFill>
                    <w14:schemeClr w14:val="tx1"/>
                  </w14:solidFill>
                </w14:textFill>
              </w:rPr>
              <w:br w:type="textWrapping"/>
            </w:r>
            <w:r>
              <w:rPr>
                <w:rFonts w:hint="eastAsia" w:ascii="宋体" w:hAnsi="宋体" w:cs="宋体"/>
                <w:color w:val="000000" w:themeColor="text1"/>
                <w:szCs w:val="21"/>
                <w:highlight w:val="none"/>
                <w:lang w:bidi="ar"/>
                <w14:textFill>
                  <w14:solidFill>
                    <w14:schemeClr w14:val="tx1"/>
                  </w14:solidFill>
                </w14:textFill>
              </w:rPr>
              <w:t>注：提供合同复印件</w:t>
            </w:r>
            <w:r>
              <w:rPr>
                <w:rFonts w:hint="eastAsia" w:ascii="宋体" w:hAnsi="宋体" w:cs="宋体"/>
                <w:color w:val="000000" w:themeColor="text1"/>
                <w:szCs w:val="21"/>
                <w:highlight w:val="none"/>
                <w:lang w:eastAsia="zh-CN" w:bidi="ar"/>
                <w14:textFill>
                  <w14:solidFill>
                    <w14:schemeClr w14:val="tx1"/>
                  </w14:solidFill>
                </w14:textFill>
              </w:rPr>
              <w:t>（至少含维修内容、签署盖章页）</w:t>
            </w:r>
            <w:r>
              <w:rPr>
                <w:rFonts w:hint="eastAsia" w:ascii="宋体" w:hAnsi="宋体" w:cs="宋体"/>
                <w:color w:val="000000" w:themeColor="text1"/>
                <w:szCs w:val="21"/>
                <w:highlight w:val="none"/>
                <w:lang w:bidi="ar"/>
                <w14:textFill>
                  <w14:solidFill>
                    <w14:schemeClr w14:val="tx1"/>
                  </w14:solidFill>
                </w14:textFill>
              </w:rPr>
              <w:t>或供货单复印件（</w:t>
            </w:r>
            <w:r>
              <w:rPr>
                <w:rFonts w:hint="eastAsia" w:ascii="宋体" w:hAnsi="宋体" w:cs="宋体"/>
                <w:b/>
                <w:bCs/>
                <w:color w:val="000000" w:themeColor="text1"/>
                <w:szCs w:val="21"/>
                <w:highlight w:val="none"/>
                <w:lang w:bidi="ar"/>
                <w14:textFill>
                  <w14:solidFill>
                    <w14:schemeClr w14:val="tx1"/>
                  </w14:solidFill>
                </w14:textFill>
              </w:rPr>
              <w:t>加盖</w:t>
            </w:r>
            <w:r>
              <w:rPr>
                <w:rFonts w:hint="eastAsia" w:ascii="宋体" w:hAnsi="宋体" w:cs="宋体"/>
                <w:b/>
                <w:bCs/>
                <w:color w:val="000000" w:themeColor="text1"/>
                <w:szCs w:val="21"/>
                <w:highlight w:val="none"/>
                <w:lang w:eastAsia="zh-CN" w:bidi="ar"/>
                <w14:textFill>
                  <w14:solidFill>
                    <w14:schemeClr w14:val="tx1"/>
                  </w14:solidFill>
                </w14:textFill>
              </w:rPr>
              <w:t>供应商</w:t>
            </w:r>
            <w:r>
              <w:rPr>
                <w:rFonts w:hint="eastAsia" w:ascii="宋体" w:hAnsi="宋体" w:cs="宋体"/>
                <w:b/>
                <w:bCs/>
                <w:color w:val="000000" w:themeColor="text1"/>
                <w:szCs w:val="21"/>
                <w:highlight w:val="none"/>
                <w:lang w:bidi="ar"/>
                <w14:textFill>
                  <w14:solidFill>
                    <w14:schemeClr w14:val="tx1"/>
                  </w14:solidFill>
                </w14:textFill>
              </w:rPr>
              <w:t>公章</w:t>
            </w:r>
            <w:r>
              <w:rPr>
                <w:rFonts w:hint="eastAsia" w:ascii="宋体" w:hAnsi="宋体" w:cs="宋体"/>
                <w:color w:val="000000" w:themeColor="text1"/>
                <w:szCs w:val="21"/>
                <w:highlight w:val="none"/>
                <w:lang w:bidi="ar"/>
                <w14:textFill>
                  <w14:solidFill>
                    <w14:schemeClr w14:val="tx1"/>
                  </w14:solidFill>
                </w14:textFill>
              </w:rPr>
              <w:t>），未提供或未按要求提供相关证明材料的不得分。</w:t>
            </w:r>
          </w:p>
        </w:tc>
        <w:tc>
          <w:tcPr>
            <w:tcW w:w="809" w:type="dxa"/>
            <w:vAlign w:val="center"/>
          </w:tcPr>
          <w:p w14:paraId="6DD52040">
            <w:pPr>
              <w:keepNext w:val="0"/>
              <w:keepLines w:val="0"/>
              <w:pageBreakBefore w:val="0"/>
              <w:tabs>
                <w:tab w:val="decimal" w:pos="315"/>
                <w:tab w:val="left" w:pos="630"/>
              </w:tabs>
              <w:kinsoku/>
              <w:wordWrap/>
              <w:overflowPunct/>
              <w:topLinePunct w:val="0"/>
              <w:autoSpaceDE/>
              <w:autoSpaceDN/>
              <w:bidi w:val="0"/>
              <w:adjustRightInd/>
              <w:snapToGrid/>
              <w:spacing w:line="40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14:textFill>
                  <w14:solidFill>
                    <w14:schemeClr w14:val="tx1"/>
                  </w14:solidFill>
                </w14:textFill>
              </w:rPr>
              <w:t>分</w:t>
            </w:r>
          </w:p>
        </w:tc>
      </w:tr>
      <w:tr w14:paraId="3670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87" w:type="dxa"/>
            <w:vMerge w:val="continue"/>
            <w:vAlign w:val="center"/>
          </w:tcPr>
          <w:p w14:paraId="090374BD">
            <w:pPr>
              <w:keepNext w:val="0"/>
              <w:keepLines w:val="0"/>
              <w:pageBreakBefore w:val="0"/>
              <w:tabs>
                <w:tab w:val="decimal" w:pos="315"/>
                <w:tab w:val="left" w:pos="630"/>
              </w:tabs>
              <w:kinsoku/>
              <w:wordWrap/>
              <w:overflowPunct/>
              <w:topLinePunct w:val="0"/>
              <w:autoSpaceDE/>
              <w:autoSpaceDN/>
              <w:bidi w:val="0"/>
              <w:adjustRightInd/>
              <w:snapToGrid/>
              <w:spacing w:line="400" w:lineRule="exact"/>
              <w:jc w:val="center"/>
              <w:textAlignment w:val="auto"/>
              <w:rPr>
                <w:color w:val="000000" w:themeColor="text1"/>
                <w14:textFill>
                  <w14:solidFill>
                    <w14:schemeClr w14:val="tx1"/>
                  </w14:solidFill>
                </w14:textFill>
              </w:rPr>
            </w:pPr>
          </w:p>
        </w:tc>
        <w:tc>
          <w:tcPr>
            <w:tcW w:w="1286" w:type="dxa"/>
            <w:vAlign w:val="center"/>
          </w:tcPr>
          <w:p w14:paraId="499DFAB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EE0000"/>
                <w:szCs w:val="21"/>
                <w:lang w:bidi="ar"/>
              </w:rPr>
            </w:pPr>
          </w:p>
          <w:p w14:paraId="12487A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EE0000"/>
                <w:szCs w:val="21"/>
                <w:lang w:bidi="ar"/>
              </w:rPr>
            </w:pPr>
          </w:p>
          <w:p w14:paraId="24AEFBE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2"/>
                <w:sz w:val="21"/>
                <w:szCs w:val="24"/>
                <w:lang w:val="en-US" w:eastAsia="zh-CN" w:bidi="ar-SA"/>
              </w:rPr>
            </w:pPr>
            <w:r>
              <w:rPr>
                <w:rFonts w:hint="eastAsia" w:ascii="宋体" w:hAnsi="宋体" w:eastAsia="宋体" w:cs="宋体"/>
                <w:bCs/>
                <w:color w:val="000000" w:themeColor="text1"/>
                <w:kern w:val="2"/>
                <w:sz w:val="21"/>
                <w:szCs w:val="21"/>
                <w:lang w:val="zh-CN" w:eastAsia="zh-CN" w:bidi="ar-SA"/>
                <w14:textFill>
                  <w14:solidFill>
                    <w14:schemeClr w14:val="tx1"/>
                  </w14:solidFill>
                </w14:textFill>
              </w:rPr>
              <w:t>实施人员</w:t>
            </w:r>
            <w:r>
              <w:rPr>
                <w:rFonts w:hint="eastAsia" w:ascii="宋体" w:hAnsi="宋体" w:eastAsia="宋体" w:cs="宋体"/>
                <w:bCs/>
                <w:color w:val="000000" w:themeColor="text1"/>
                <w:kern w:val="2"/>
                <w:sz w:val="21"/>
                <w:szCs w:val="21"/>
                <w:lang w:val="en-US" w:eastAsia="zh-CN" w:bidi="ar-SA"/>
                <w14:textFill>
                  <w14:solidFill>
                    <w14:schemeClr w14:val="tx1"/>
                  </w14:solidFill>
                </w14:textFill>
              </w:rPr>
              <w:t xml:space="preserve"> </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要求</w:t>
            </w:r>
          </w:p>
        </w:tc>
        <w:tc>
          <w:tcPr>
            <w:tcW w:w="6244" w:type="dxa"/>
            <w:vAlign w:val="center"/>
          </w:tcPr>
          <w:p w14:paraId="2BAD4CF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Cs/>
                <w:color w:val="000000" w:themeColor="text1"/>
                <w:kern w:val="2"/>
                <w:sz w:val="21"/>
                <w:szCs w:val="21"/>
                <w:lang w:val="zh-CN" w:eastAsia="zh-CN" w:bidi="ar-SA"/>
                <w14:textFill>
                  <w14:solidFill>
                    <w14:schemeClr w14:val="tx1"/>
                  </w14:solidFill>
                </w14:textFill>
              </w:rPr>
            </w:pPr>
            <w:r>
              <w:rPr>
                <w:rFonts w:hint="eastAsia" w:ascii="宋体" w:hAnsi="宋体" w:eastAsia="宋体" w:cs="宋体"/>
                <w:bCs/>
                <w:color w:val="000000" w:themeColor="text1"/>
                <w:kern w:val="2"/>
                <w:sz w:val="21"/>
                <w:szCs w:val="21"/>
                <w:lang w:val="zh-CN" w:eastAsia="zh-CN" w:bidi="ar-SA"/>
                <w14:textFill>
                  <w14:solidFill>
                    <w14:schemeClr w14:val="tx1"/>
                  </w14:solidFill>
                </w14:textFill>
              </w:rPr>
              <w:t>供应商</w:t>
            </w:r>
            <w:r>
              <w:rPr>
                <w:rFonts w:hint="eastAsia" w:ascii="宋体" w:hAnsi="宋体" w:eastAsia="宋体" w:cs="宋体"/>
                <w:bCs/>
                <w:color w:val="000000" w:themeColor="text1"/>
                <w:kern w:val="2"/>
                <w:sz w:val="21"/>
                <w:szCs w:val="21"/>
                <w:lang w:val="en-US" w:eastAsia="zh-CN" w:bidi="ar-SA"/>
                <w14:textFill>
                  <w14:solidFill>
                    <w14:schemeClr w14:val="tx1"/>
                  </w14:solidFill>
                </w14:textFill>
              </w:rPr>
              <w:t>持</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有特种作业操作证（</w:t>
            </w:r>
            <w:r>
              <w:rPr>
                <w:rFonts w:hint="eastAsia" w:ascii="宋体" w:hAnsi="宋体" w:eastAsia="宋体" w:cs="宋体"/>
                <w:kern w:val="2"/>
                <w:sz w:val="21"/>
                <w:szCs w:val="21"/>
                <w:lang w:val="en-US" w:eastAsia="zh-CN" w:bidi="ar"/>
              </w:rPr>
              <w:t>制冷与空调</w:t>
            </w:r>
            <w:r>
              <w:rPr>
                <w:rFonts w:hint="eastAsia" w:ascii="宋体" w:hAnsi="宋体" w:cs="宋体"/>
                <w:bCs/>
                <w:color w:val="000000" w:themeColor="text1"/>
                <w:kern w:val="2"/>
                <w:sz w:val="21"/>
                <w:szCs w:val="21"/>
                <w:lang w:val="zh-CN" w:eastAsia="zh-CN" w:bidi="ar-SA"/>
                <w14:textFill>
                  <w14:solidFill>
                    <w14:schemeClr w14:val="tx1"/>
                  </w14:solidFill>
                </w14:textFill>
              </w:rPr>
              <w:t>设备</w:t>
            </w:r>
            <w:r>
              <w:rPr>
                <w:rFonts w:hint="eastAsia" w:ascii="宋体" w:hAnsi="宋体" w:eastAsia="宋体" w:cs="宋体"/>
                <w:kern w:val="2"/>
                <w:sz w:val="21"/>
                <w:szCs w:val="21"/>
                <w:lang w:val="en-US" w:eastAsia="zh-CN" w:bidi="ar"/>
              </w:rPr>
              <w:t>运行操作</w:t>
            </w:r>
            <w:r>
              <w:rPr>
                <w:rFonts w:hint="eastAsia" w:ascii="宋体" w:hAnsi="宋体" w:cs="宋体"/>
                <w:bCs/>
                <w:color w:val="000000" w:themeColor="text1"/>
                <w:kern w:val="2"/>
                <w:sz w:val="21"/>
                <w:szCs w:val="21"/>
                <w:lang w:val="zh-CN" w:eastAsia="zh-CN" w:bidi="ar-SA"/>
                <w14:textFill>
                  <w14:solidFill>
                    <w14:schemeClr w14:val="tx1"/>
                  </w14:solidFill>
                </w14:textFill>
              </w:rPr>
              <w:t>作业证</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制冷与空调</w:t>
            </w:r>
            <w:r>
              <w:rPr>
                <w:rFonts w:hint="eastAsia" w:ascii="宋体" w:hAnsi="宋体" w:cs="宋体"/>
                <w:bCs/>
                <w:color w:val="000000" w:themeColor="text1"/>
                <w:kern w:val="2"/>
                <w:sz w:val="21"/>
                <w:szCs w:val="21"/>
                <w:lang w:val="zh-CN" w:eastAsia="zh-CN" w:bidi="ar-SA"/>
                <w14:textFill>
                  <w14:solidFill>
                    <w14:schemeClr w14:val="tx1"/>
                  </w14:solidFill>
                </w14:textFill>
              </w:rPr>
              <w:t>设备安装修理作业证</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低压电工作业证</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登高架设作业证</w:t>
            </w:r>
            <w:r>
              <w:rPr>
                <w:rFonts w:hint="eastAsia" w:ascii="宋体" w:hAnsi="宋体" w:cs="宋体"/>
                <w:kern w:val="2"/>
                <w:sz w:val="21"/>
                <w:szCs w:val="21"/>
                <w:lang w:val="en-US" w:eastAsia="zh-CN" w:bidi="ar"/>
              </w:rPr>
              <w:t>/熔化焊接与热切割作业证</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）服务人员：双证同时</w:t>
            </w:r>
            <w:r>
              <w:rPr>
                <w:rFonts w:hint="eastAsia" w:ascii="宋体" w:hAnsi="宋体" w:eastAsia="宋体" w:cs="宋体"/>
                <w:bCs/>
                <w:color w:val="000000" w:themeColor="text1"/>
                <w:kern w:val="2"/>
                <w:sz w:val="21"/>
                <w:szCs w:val="21"/>
                <w:lang w:val="en-US" w:eastAsia="zh-CN" w:bidi="ar-SA"/>
                <w14:textFill>
                  <w14:solidFill>
                    <w14:schemeClr w14:val="tx1"/>
                  </w14:solidFill>
                </w14:textFill>
              </w:rPr>
              <w:t>持</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有每提供1名得</w:t>
            </w:r>
            <w:r>
              <w:rPr>
                <w:rFonts w:hint="default" w:ascii="宋体" w:hAnsi="宋体" w:eastAsia="宋体" w:cs="宋体"/>
                <w:bCs/>
                <w:color w:val="000000" w:themeColor="text1"/>
                <w:kern w:val="2"/>
                <w:sz w:val="21"/>
                <w:szCs w:val="21"/>
                <w:lang w:val="en-US" w:eastAsia="zh-CN" w:bidi="ar-SA"/>
                <w14:textFill>
                  <w14:solidFill>
                    <w14:schemeClr w14:val="tx1"/>
                  </w14:solidFill>
                </w14:textFill>
              </w:rPr>
              <w:t>4</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分；只持单证每提供1名得</w:t>
            </w:r>
            <w:r>
              <w:rPr>
                <w:rFonts w:hint="eastAsia" w:ascii="宋体" w:hAnsi="宋体" w:eastAsia="宋体" w:cs="宋体"/>
                <w:bCs/>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分</w:t>
            </w:r>
            <w:r>
              <w:rPr>
                <w:rFonts w:hint="eastAsia" w:ascii="宋体" w:hAnsi="宋体" w:cs="宋体"/>
                <w:bCs/>
                <w:color w:val="000000" w:themeColor="text1"/>
                <w:kern w:val="2"/>
                <w:sz w:val="21"/>
                <w:szCs w:val="21"/>
                <w:lang w:val="zh-CN" w:eastAsia="zh-CN" w:bidi="ar-SA"/>
                <w14:textFill>
                  <w14:solidFill>
                    <w14:schemeClr w14:val="tx1"/>
                  </w14:solidFill>
                </w14:textFill>
              </w:rPr>
              <w:t>，不提供不得分</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；本项最高得10分；</w:t>
            </w:r>
          </w:p>
          <w:p w14:paraId="1D68011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Cs/>
                <w:color w:val="000000" w:themeColor="text1"/>
                <w:kern w:val="2"/>
                <w:sz w:val="21"/>
                <w:szCs w:val="21"/>
                <w:lang w:val="zh-CN" w:eastAsia="zh-Hans" w:bidi="ar-SA"/>
                <w14:textFill>
                  <w14:solidFill>
                    <w14:schemeClr w14:val="tx1"/>
                  </w14:solidFill>
                </w14:textFill>
              </w:rPr>
            </w:pPr>
            <w:r>
              <w:rPr>
                <w:rFonts w:hint="eastAsia" w:ascii="宋体" w:hAnsi="宋体" w:eastAsia="宋体" w:cs="宋体"/>
                <w:bCs/>
                <w:color w:val="000000" w:themeColor="text1"/>
                <w:kern w:val="2"/>
                <w:sz w:val="21"/>
                <w:szCs w:val="21"/>
                <w:lang w:val="zh-CN" w:eastAsia="zh-CN" w:bidi="ar-SA"/>
                <w14:textFill>
                  <w14:solidFill>
                    <w14:schemeClr w14:val="tx1"/>
                  </w14:solidFill>
                </w14:textFill>
              </w:rPr>
              <w:t>注：（1）同一人员不得重复得分；(2)提供上述有效证件复印件</w:t>
            </w:r>
            <w:r>
              <w:rPr>
                <w:rFonts w:hint="eastAsia" w:ascii="宋体" w:hAnsi="宋体" w:eastAsia="宋体" w:cs="宋体"/>
                <w:b/>
                <w:bCs w:val="0"/>
                <w:color w:val="000000" w:themeColor="text1"/>
                <w:kern w:val="2"/>
                <w:sz w:val="21"/>
                <w:szCs w:val="21"/>
                <w:lang w:val="zh-CN" w:eastAsia="zh-CN" w:bidi="ar-SA"/>
                <w14:textFill>
                  <w14:solidFill>
                    <w14:schemeClr w14:val="tx1"/>
                  </w14:solidFill>
                </w14:textFill>
              </w:rPr>
              <w:t>（加盖</w:t>
            </w:r>
            <w:r>
              <w:rPr>
                <w:rFonts w:hint="eastAsia" w:ascii="宋体" w:hAnsi="宋体" w:cs="宋体"/>
                <w:b/>
                <w:bCs w:val="0"/>
                <w:color w:val="000000" w:themeColor="text1"/>
                <w:kern w:val="2"/>
                <w:sz w:val="21"/>
                <w:szCs w:val="21"/>
                <w:lang w:val="zh-CN" w:eastAsia="zh-CN" w:bidi="ar-SA"/>
                <w14:textFill>
                  <w14:solidFill>
                    <w14:schemeClr w14:val="tx1"/>
                  </w14:solidFill>
                </w14:textFill>
              </w:rPr>
              <w:t>供应商</w:t>
            </w:r>
            <w:r>
              <w:rPr>
                <w:rFonts w:hint="eastAsia" w:ascii="宋体" w:hAnsi="宋体" w:eastAsia="宋体" w:cs="宋体"/>
                <w:b/>
                <w:bCs w:val="0"/>
                <w:color w:val="000000" w:themeColor="text1"/>
                <w:kern w:val="2"/>
                <w:sz w:val="21"/>
                <w:szCs w:val="21"/>
                <w:lang w:val="zh-CN" w:eastAsia="zh-CN" w:bidi="ar-SA"/>
                <w14:textFill>
                  <w14:solidFill>
                    <w14:schemeClr w14:val="tx1"/>
                  </w14:solidFill>
                </w14:textFill>
              </w:rPr>
              <w:t>公章）</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3）提供由供应商为其购买的响应截止时间前近3个月任意1个月的社保证明文件复印件并加盖公章。如果供应商未能提供社保证明文件复印件的，可在响应文件中提供相关承诺(格式自拟，承诺书内容包括但不限于以下内容:若我单位成交，合同签订时保证按响应文件中所配备的人员到位并提供以上拟派人员的社保证明文件或劳务合同，否则视为我单位放弃成交资格)，视为满足社保评审要求。未提供或未按上述要求提供相关证明材料的不得分。</w:t>
            </w:r>
          </w:p>
        </w:tc>
        <w:tc>
          <w:tcPr>
            <w:tcW w:w="809" w:type="dxa"/>
            <w:vAlign w:val="center"/>
          </w:tcPr>
          <w:p w14:paraId="41226270">
            <w:pPr>
              <w:keepNext w:val="0"/>
              <w:keepLines w:val="0"/>
              <w:pageBreakBefore w:val="0"/>
              <w:tabs>
                <w:tab w:val="decimal" w:pos="315"/>
                <w:tab w:val="left" w:pos="630"/>
              </w:tabs>
              <w:kinsoku/>
              <w:wordWrap/>
              <w:overflowPunct/>
              <w:topLinePunct w:val="0"/>
              <w:autoSpaceDE/>
              <w:autoSpaceDN/>
              <w:bidi w:val="0"/>
              <w:adjustRightInd/>
              <w:snapToGrid/>
              <w:spacing w:line="400" w:lineRule="exact"/>
              <w:jc w:val="both"/>
              <w:textAlignment w:val="auto"/>
              <w:rPr>
                <w:rFonts w:hint="eastAsia"/>
                <w:color w:val="000000" w:themeColor="text1"/>
                <w:highlight w:val="none"/>
                <w:lang w:val="en-US" w:eastAsia="zh-CN"/>
                <w14:textFill>
                  <w14:solidFill>
                    <w14:schemeClr w14:val="tx1"/>
                  </w14:solidFill>
                </w14:textFill>
              </w:rPr>
            </w:pPr>
          </w:p>
          <w:p w14:paraId="140FB606">
            <w:pPr>
              <w:keepNext w:val="0"/>
              <w:keepLines w:val="0"/>
              <w:pageBreakBefore w:val="0"/>
              <w:tabs>
                <w:tab w:val="decimal" w:pos="315"/>
                <w:tab w:val="left" w:pos="630"/>
              </w:tabs>
              <w:kinsoku/>
              <w:wordWrap/>
              <w:overflowPunct/>
              <w:topLinePunct w:val="0"/>
              <w:autoSpaceDE/>
              <w:autoSpaceDN/>
              <w:bidi w:val="0"/>
              <w:adjustRightInd/>
              <w:snapToGrid/>
              <w:spacing w:line="400" w:lineRule="exact"/>
              <w:jc w:val="both"/>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10分</w:t>
            </w:r>
          </w:p>
        </w:tc>
      </w:tr>
      <w:tr w14:paraId="006A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jc w:val="center"/>
        </w:trPr>
        <w:tc>
          <w:tcPr>
            <w:tcW w:w="1087" w:type="dxa"/>
            <w:vMerge w:val="continue"/>
            <w:vAlign w:val="center"/>
          </w:tcPr>
          <w:p w14:paraId="4D90D8CD">
            <w:pPr>
              <w:keepNext w:val="0"/>
              <w:keepLines w:val="0"/>
              <w:pageBreakBefore w:val="0"/>
              <w:tabs>
                <w:tab w:val="decimal" w:pos="315"/>
                <w:tab w:val="left" w:pos="630"/>
              </w:tabs>
              <w:kinsoku/>
              <w:wordWrap/>
              <w:overflowPunct/>
              <w:topLinePunct w:val="0"/>
              <w:autoSpaceDE/>
              <w:autoSpaceDN/>
              <w:bidi w:val="0"/>
              <w:adjustRightInd/>
              <w:snapToGrid/>
              <w:spacing w:line="400" w:lineRule="exact"/>
              <w:jc w:val="center"/>
              <w:textAlignment w:val="auto"/>
              <w:rPr>
                <w:color w:val="000000" w:themeColor="text1"/>
                <w14:textFill>
                  <w14:solidFill>
                    <w14:schemeClr w14:val="tx1"/>
                  </w14:solidFill>
                </w14:textFill>
              </w:rPr>
            </w:pPr>
          </w:p>
        </w:tc>
        <w:tc>
          <w:tcPr>
            <w:tcW w:w="1286" w:type="dxa"/>
            <w:vAlign w:val="center"/>
          </w:tcPr>
          <w:p w14:paraId="7AE23E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themeColor="text1"/>
                <w:szCs w:val="21"/>
                <w:lang w:eastAsia="zh-CN" w:bidi="ar"/>
                <w14:textFill>
                  <w14:solidFill>
                    <w14:schemeClr w14:val="tx1"/>
                  </w14:solidFill>
                </w14:textFill>
              </w:rPr>
            </w:pPr>
          </w:p>
          <w:p w14:paraId="0B97BE3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themeColor="text1"/>
                <w:szCs w:val="21"/>
                <w:lang w:eastAsia="zh-CN" w:bidi="ar"/>
                <w14:textFill>
                  <w14:solidFill>
                    <w14:schemeClr w14:val="tx1"/>
                  </w14:solidFill>
                </w14:textFill>
              </w:rPr>
            </w:pPr>
          </w:p>
          <w:p w14:paraId="44CE2F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themeColor="text1"/>
                <w:szCs w:val="21"/>
                <w:lang w:eastAsia="zh-CN" w:bidi="ar"/>
                <w14:textFill>
                  <w14:solidFill>
                    <w14:schemeClr w14:val="tx1"/>
                  </w14:solidFill>
                </w14:textFill>
              </w:rPr>
            </w:pPr>
          </w:p>
          <w:p w14:paraId="7724706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bidi="ar"/>
                <w14:textFill>
                  <w14:solidFill>
                    <w14:schemeClr w14:val="tx1"/>
                  </w14:solidFill>
                </w14:textFill>
              </w:rPr>
              <w:t>保修</w:t>
            </w:r>
            <w:r>
              <w:rPr>
                <w:rFonts w:hint="eastAsia" w:ascii="宋体" w:hAnsi="宋体" w:cs="宋体"/>
                <w:color w:val="000000" w:themeColor="text1"/>
                <w:szCs w:val="21"/>
                <w:lang w:bidi="ar"/>
                <w14:textFill>
                  <w14:solidFill>
                    <w14:schemeClr w14:val="tx1"/>
                  </w14:solidFill>
                </w14:textFill>
              </w:rPr>
              <w:t>服务</w:t>
            </w:r>
            <w:r>
              <w:rPr>
                <w:rFonts w:hint="eastAsia" w:ascii="宋体" w:hAnsi="宋体" w:cs="宋体"/>
                <w:color w:val="000000" w:themeColor="text1"/>
                <w:szCs w:val="21"/>
                <w:lang w:val="en-US" w:eastAsia="zh-CN" w:bidi="ar"/>
                <w14:textFill>
                  <w14:solidFill>
                    <w14:schemeClr w14:val="tx1"/>
                  </w14:solidFill>
                </w14:textFill>
              </w:rPr>
              <w:t xml:space="preserve"> </w:t>
            </w:r>
            <w:r>
              <w:rPr>
                <w:rFonts w:hint="eastAsia" w:ascii="宋体" w:hAnsi="宋体" w:cs="宋体"/>
                <w:color w:val="000000" w:themeColor="text1"/>
                <w:szCs w:val="21"/>
                <w:lang w:bidi="ar"/>
                <w14:textFill>
                  <w14:solidFill>
                    <w14:schemeClr w14:val="tx1"/>
                  </w14:solidFill>
                </w14:textFill>
              </w:rPr>
              <w:t>方案</w:t>
            </w:r>
          </w:p>
        </w:tc>
        <w:tc>
          <w:tcPr>
            <w:tcW w:w="6244" w:type="dxa"/>
            <w:vAlign w:val="center"/>
          </w:tcPr>
          <w:p w14:paraId="23DCFD4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Cs/>
                <w:color w:val="000000" w:themeColor="text1"/>
                <w:kern w:val="2"/>
                <w:sz w:val="21"/>
                <w:szCs w:val="21"/>
                <w:lang w:val="zh-CN" w:eastAsia="zh-CN" w:bidi="ar-SA"/>
                <w14:textFill>
                  <w14:solidFill>
                    <w14:schemeClr w14:val="tx1"/>
                  </w14:solidFill>
                </w14:textFill>
              </w:rPr>
            </w:pPr>
            <w:r>
              <w:rPr>
                <w:rFonts w:hint="eastAsia" w:ascii="宋体" w:hAnsi="宋体" w:eastAsia="宋体" w:cs="宋体"/>
                <w:bCs/>
                <w:color w:val="000000" w:themeColor="text1"/>
                <w:kern w:val="2"/>
                <w:sz w:val="21"/>
                <w:szCs w:val="21"/>
                <w:lang w:val="zh-CN" w:eastAsia="zh-CN" w:bidi="ar-SA"/>
                <w14:textFill>
                  <w14:solidFill>
                    <w14:schemeClr w14:val="tx1"/>
                  </w14:solidFill>
                </w14:textFill>
              </w:rPr>
              <w:t>根据供应商提供的</w:t>
            </w:r>
            <w:r>
              <w:rPr>
                <w:rFonts w:hint="eastAsia" w:ascii="宋体" w:hAnsi="宋体" w:cs="宋体"/>
                <w:bCs/>
                <w:color w:val="000000" w:themeColor="text1"/>
                <w:kern w:val="2"/>
                <w:sz w:val="21"/>
                <w:szCs w:val="21"/>
                <w:lang w:val="zh-CN" w:eastAsia="zh-CN" w:bidi="ar-SA"/>
                <w14:textFill>
                  <w14:solidFill>
                    <w14:schemeClr w14:val="tx1"/>
                  </w14:solidFill>
                </w14:textFill>
              </w:rPr>
              <w:t>保修</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服务方案（包括但不限于</w:t>
            </w:r>
            <w:r>
              <w:rPr>
                <w:rFonts w:hint="eastAsia" w:ascii="宋体" w:hAnsi="宋体" w:cs="宋体"/>
                <w:bCs/>
                <w:color w:val="000000" w:themeColor="text1"/>
                <w:kern w:val="2"/>
                <w:sz w:val="21"/>
                <w:szCs w:val="21"/>
                <w:lang w:val="zh-CN" w:eastAsia="zh-CN" w:bidi="ar-SA"/>
                <w14:textFill>
                  <w14:solidFill>
                    <w14:schemeClr w14:val="tx1"/>
                  </w14:solidFill>
                </w14:textFill>
              </w:rPr>
              <w:t>保修期、</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服务响应时间、</w:t>
            </w:r>
            <w:r>
              <w:rPr>
                <w:rFonts w:hint="eastAsia" w:ascii="宋体" w:hAnsi="宋体" w:cs="宋体"/>
                <w:bCs/>
                <w:color w:val="000000" w:themeColor="text1"/>
                <w:kern w:val="2"/>
                <w:sz w:val="21"/>
                <w:szCs w:val="21"/>
                <w:lang w:val="zh-CN" w:eastAsia="zh-CN" w:bidi="ar-SA"/>
                <w14:textFill>
                  <w14:solidFill>
                    <w14:schemeClr w14:val="tx1"/>
                  </w14:solidFill>
                </w14:textFill>
              </w:rPr>
              <w:t>保修</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期内产品维护措施）进行评审：</w:t>
            </w:r>
          </w:p>
          <w:p w14:paraId="35CB594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Cs/>
                <w:color w:val="000000" w:themeColor="text1"/>
                <w:kern w:val="2"/>
                <w:sz w:val="21"/>
                <w:szCs w:val="21"/>
                <w:lang w:val="zh-CN" w:eastAsia="zh-CN" w:bidi="ar-SA"/>
                <w14:textFill>
                  <w14:solidFill>
                    <w14:schemeClr w14:val="tx1"/>
                  </w14:solidFill>
                </w14:textFill>
              </w:rPr>
            </w:pPr>
            <w:r>
              <w:rPr>
                <w:rFonts w:hint="eastAsia" w:ascii="宋体" w:hAnsi="宋体" w:eastAsia="宋体" w:cs="宋体"/>
                <w:bCs/>
                <w:color w:val="000000" w:themeColor="text1"/>
                <w:kern w:val="2"/>
                <w:sz w:val="21"/>
                <w:szCs w:val="21"/>
                <w:lang w:val="zh-CN" w:eastAsia="zh-CN" w:bidi="ar-SA"/>
                <w14:textFill>
                  <w14:solidFill>
                    <w14:schemeClr w14:val="tx1"/>
                  </w14:solidFill>
                </w14:textFill>
              </w:rPr>
              <w:t>1.</w:t>
            </w:r>
            <w:r>
              <w:rPr>
                <w:rFonts w:hint="eastAsia" w:ascii="宋体" w:hAnsi="宋体" w:cs="宋体"/>
                <w:bCs/>
                <w:color w:val="000000" w:themeColor="text1"/>
                <w:kern w:val="2"/>
                <w:sz w:val="21"/>
                <w:szCs w:val="21"/>
                <w:lang w:val="zh-CN" w:eastAsia="zh-CN" w:bidi="ar-SA"/>
                <w14:textFill>
                  <w14:solidFill>
                    <w14:schemeClr w14:val="tx1"/>
                  </w14:solidFill>
                </w14:textFill>
              </w:rPr>
              <w:t>保修期、</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服务响应时间优于采购文件要求，有详细的</w:t>
            </w:r>
            <w:r>
              <w:rPr>
                <w:rFonts w:hint="eastAsia" w:ascii="宋体" w:hAnsi="宋体" w:cs="宋体"/>
                <w:bCs/>
                <w:color w:val="000000" w:themeColor="text1"/>
                <w:kern w:val="2"/>
                <w:sz w:val="21"/>
                <w:szCs w:val="21"/>
                <w:lang w:val="zh-CN" w:eastAsia="zh-CN" w:bidi="ar-SA"/>
                <w14:textFill>
                  <w14:solidFill>
                    <w14:schemeClr w14:val="tx1"/>
                  </w14:solidFill>
                </w14:textFill>
              </w:rPr>
              <w:t>保修</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期内产品维护措施，针对性</w:t>
            </w:r>
            <w:r>
              <w:rPr>
                <w:rFonts w:hint="eastAsia" w:ascii="宋体" w:hAnsi="宋体" w:cs="宋体"/>
                <w:bCs/>
                <w:color w:val="000000" w:themeColor="text1"/>
                <w:kern w:val="2"/>
                <w:sz w:val="21"/>
                <w:szCs w:val="21"/>
                <w:lang w:val="zh-CN" w:eastAsia="zh-CN" w:bidi="ar-SA"/>
                <w14:textFill>
                  <w14:solidFill>
                    <w14:schemeClr w14:val="tx1"/>
                  </w14:solidFill>
                </w14:textFill>
              </w:rPr>
              <w:t>强</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，得</w:t>
            </w:r>
            <w:r>
              <w:rPr>
                <w:rFonts w:hint="eastAsia" w:ascii="宋体" w:hAnsi="宋体" w:cs="宋体"/>
                <w:bCs/>
                <w:color w:val="000000" w:themeColor="text1"/>
                <w:kern w:val="2"/>
                <w:sz w:val="21"/>
                <w:szCs w:val="21"/>
                <w:lang w:val="en-US" w:eastAsia="zh-CN" w:bidi="ar-SA"/>
                <w14:textFill>
                  <w14:solidFill>
                    <w14:schemeClr w14:val="tx1"/>
                  </w14:solidFill>
                </w14:textFill>
              </w:rPr>
              <w:t>25</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分</w:t>
            </w:r>
            <w:r>
              <w:rPr>
                <w:rFonts w:hint="eastAsia" w:ascii="宋体" w:hAnsi="宋体" w:cs="宋体"/>
                <w:bCs/>
                <w:color w:val="000000" w:themeColor="text1"/>
                <w:kern w:val="2"/>
                <w:sz w:val="21"/>
                <w:szCs w:val="21"/>
                <w:lang w:val="zh-CN" w:eastAsia="zh-CN" w:bidi="ar-SA"/>
                <w14:textFill>
                  <w14:solidFill>
                    <w14:schemeClr w14:val="tx1"/>
                  </w14:solidFill>
                </w14:textFill>
              </w:rPr>
              <w:t>；</w:t>
            </w:r>
          </w:p>
          <w:p w14:paraId="3DCEE56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Cs/>
                <w:color w:val="000000" w:themeColor="text1"/>
                <w:kern w:val="2"/>
                <w:sz w:val="21"/>
                <w:szCs w:val="21"/>
                <w:lang w:val="zh-CN" w:eastAsia="zh-CN" w:bidi="ar-SA"/>
                <w14:textFill>
                  <w14:solidFill>
                    <w14:schemeClr w14:val="tx1"/>
                  </w14:solidFill>
                </w14:textFill>
              </w:rPr>
            </w:pPr>
            <w:r>
              <w:rPr>
                <w:rFonts w:hint="eastAsia" w:ascii="宋体" w:hAnsi="宋体" w:eastAsia="宋体" w:cs="宋体"/>
                <w:bCs/>
                <w:color w:val="000000" w:themeColor="text1"/>
                <w:kern w:val="2"/>
                <w:sz w:val="21"/>
                <w:szCs w:val="21"/>
                <w:lang w:val="zh-CN" w:eastAsia="zh-CN" w:bidi="ar-SA"/>
                <w14:textFill>
                  <w14:solidFill>
                    <w14:schemeClr w14:val="tx1"/>
                  </w14:solidFill>
                </w14:textFill>
              </w:rPr>
              <w:t>2.</w:t>
            </w:r>
            <w:r>
              <w:rPr>
                <w:rFonts w:hint="eastAsia" w:ascii="宋体" w:hAnsi="宋体" w:cs="宋体"/>
                <w:bCs/>
                <w:color w:val="000000" w:themeColor="text1"/>
                <w:kern w:val="2"/>
                <w:sz w:val="21"/>
                <w:szCs w:val="21"/>
                <w:lang w:val="zh-CN" w:eastAsia="zh-CN" w:bidi="ar-SA"/>
                <w14:textFill>
                  <w14:solidFill>
                    <w14:schemeClr w14:val="tx1"/>
                  </w14:solidFill>
                </w14:textFill>
              </w:rPr>
              <w:t>保修期、</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服务响应时间满足采购文件要求，有</w:t>
            </w:r>
            <w:r>
              <w:rPr>
                <w:rFonts w:hint="eastAsia" w:ascii="宋体" w:hAnsi="宋体" w:cs="宋体"/>
                <w:bCs/>
                <w:color w:val="000000" w:themeColor="text1"/>
                <w:kern w:val="2"/>
                <w:sz w:val="21"/>
                <w:szCs w:val="21"/>
                <w:lang w:val="zh-CN" w:eastAsia="zh-CN" w:bidi="ar-SA"/>
                <w14:textFill>
                  <w14:solidFill>
                    <w14:schemeClr w14:val="tx1"/>
                  </w14:solidFill>
                </w14:textFill>
              </w:rPr>
              <w:t>较详细</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的</w:t>
            </w:r>
            <w:r>
              <w:rPr>
                <w:rFonts w:hint="eastAsia" w:ascii="宋体" w:hAnsi="宋体" w:cs="宋体"/>
                <w:bCs/>
                <w:color w:val="000000" w:themeColor="text1"/>
                <w:kern w:val="2"/>
                <w:sz w:val="21"/>
                <w:szCs w:val="21"/>
                <w:lang w:val="zh-CN" w:eastAsia="zh-CN" w:bidi="ar-SA"/>
                <w14:textFill>
                  <w14:solidFill>
                    <w14:schemeClr w14:val="tx1"/>
                  </w14:solidFill>
                </w14:textFill>
              </w:rPr>
              <w:t>保修</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期内产品维护措施，有</w:t>
            </w:r>
            <w:r>
              <w:rPr>
                <w:rFonts w:hint="eastAsia" w:ascii="宋体" w:hAnsi="宋体" w:cs="宋体"/>
                <w:bCs/>
                <w:color w:val="000000" w:themeColor="text1"/>
                <w:kern w:val="2"/>
                <w:sz w:val="21"/>
                <w:szCs w:val="21"/>
                <w:lang w:val="zh-CN" w:eastAsia="zh-CN" w:bidi="ar-SA"/>
                <w14:textFill>
                  <w14:solidFill>
                    <w14:schemeClr w14:val="tx1"/>
                  </w14:solidFill>
                </w14:textFill>
              </w:rPr>
              <w:t>较好</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的针对性，得</w:t>
            </w:r>
            <w:r>
              <w:rPr>
                <w:rFonts w:hint="eastAsia" w:ascii="宋体" w:hAnsi="宋体" w:cs="宋体"/>
                <w:bCs/>
                <w:color w:val="000000" w:themeColor="text1"/>
                <w:kern w:val="2"/>
                <w:sz w:val="21"/>
                <w:szCs w:val="21"/>
                <w:lang w:val="en-US" w:eastAsia="zh-CN" w:bidi="ar-SA"/>
                <w14:textFill>
                  <w14:solidFill>
                    <w14:schemeClr w14:val="tx1"/>
                  </w14:solidFill>
                </w14:textFill>
              </w:rPr>
              <w:t>19</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分</w:t>
            </w:r>
            <w:r>
              <w:rPr>
                <w:rFonts w:hint="eastAsia" w:ascii="宋体" w:hAnsi="宋体" w:cs="宋体"/>
                <w:bCs/>
                <w:color w:val="000000" w:themeColor="text1"/>
                <w:kern w:val="2"/>
                <w:sz w:val="21"/>
                <w:szCs w:val="21"/>
                <w:lang w:val="zh-CN" w:eastAsia="zh-CN" w:bidi="ar-SA"/>
                <w14:textFill>
                  <w14:solidFill>
                    <w14:schemeClr w14:val="tx1"/>
                  </w14:solidFill>
                </w14:textFill>
              </w:rPr>
              <w:t>；</w:t>
            </w:r>
          </w:p>
          <w:p w14:paraId="65EC624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Cs/>
                <w:color w:val="000000" w:themeColor="text1"/>
                <w:kern w:val="2"/>
                <w:sz w:val="21"/>
                <w:szCs w:val="21"/>
                <w:lang w:val="zh-CN" w:eastAsia="zh-CN" w:bidi="ar-SA"/>
                <w14:textFill>
                  <w14:solidFill>
                    <w14:schemeClr w14:val="tx1"/>
                  </w14:solidFill>
                </w14:textFill>
              </w:rPr>
            </w:pPr>
            <w:r>
              <w:rPr>
                <w:rFonts w:hint="eastAsia" w:ascii="宋体" w:hAnsi="宋体" w:eastAsia="宋体" w:cs="宋体"/>
                <w:bCs/>
                <w:color w:val="000000" w:themeColor="text1"/>
                <w:kern w:val="2"/>
                <w:sz w:val="21"/>
                <w:szCs w:val="21"/>
                <w:lang w:val="zh-CN" w:eastAsia="zh-CN" w:bidi="ar-SA"/>
                <w14:textFill>
                  <w14:solidFill>
                    <w14:schemeClr w14:val="tx1"/>
                  </w14:solidFill>
                </w14:textFill>
              </w:rPr>
              <w:t>3.</w:t>
            </w:r>
            <w:r>
              <w:rPr>
                <w:rFonts w:hint="eastAsia" w:ascii="宋体" w:hAnsi="宋体" w:cs="宋体"/>
                <w:bCs/>
                <w:color w:val="000000" w:themeColor="text1"/>
                <w:kern w:val="2"/>
                <w:sz w:val="21"/>
                <w:szCs w:val="21"/>
                <w:lang w:val="zh-CN" w:eastAsia="zh-CN" w:bidi="ar-SA"/>
                <w14:textFill>
                  <w14:solidFill>
                    <w14:schemeClr w14:val="tx1"/>
                  </w14:solidFill>
                </w14:textFill>
              </w:rPr>
              <w:t>保修期、</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服务响应时间不能满足采购文件要求，提供的</w:t>
            </w:r>
            <w:r>
              <w:rPr>
                <w:rFonts w:hint="eastAsia" w:ascii="宋体" w:hAnsi="宋体" w:cs="宋体"/>
                <w:bCs/>
                <w:color w:val="000000" w:themeColor="text1"/>
                <w:kern w:val="2"/>
                <w:sz w:val="21"/>
                <w:szCs w:val="21"/>
                <w:lang w:val="zh-CN" w:eastAsia="zh-CN" w:bidi="ar-SA"/>
                <w14:textFill>
                  <w14:solidFill>
                    <w14:schemeClr w14:val="tx1"/>
                  </w14:solidFill>
                </w14:textFill>
              </w:rPr>
              <w:t>保修</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期内产品维护措施</w:t>
            </w:r>
            <w:r>
              <w:rPr>
                <w:rFonts w:hint="eastAsia" w:ascii="宋体" w:hAnsi="宋体" w:cs="宋体"/>
                <w:bCs/>
                <w:color w:val="000000" w:themeColor="text1"/>
                <w:kern w:val="2"/>
                <w:sz w:val="21"/>
                <w:szCs w:val="21"/>
                <w:lang w:val="zh-CN" w:eastAsia="zh-CN" w:bidi="ar-SA"/>
                <w14:textFill>
                  <w14:solidFill>
                    <w14:schemeClr w14:val="tx1"/>
                  </w14:solidFill>
                </w14:textFill>
              </w:rPr>
              <w:t>一般</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，应用性、针对性</w:t>
            </w:r>
            <w:r>
              <w:rPr>
                <w:rFonts w:hint="eastAsia" w:ascii="宋体" w:hAnsi="宋体" w:cs="宋体"/>
                <w:bCs/>
                <w:color w:val="000000" w:themeColor="text1"/>
                <w:kern w:val="2"/>
                <w:sz w:val="21"/>
                <w:szCs w:val="21"/>
                <w:lang w:val="zh-CN" w:eastAsia="zh-CN" w:bidi="ar-SA"/>
                <w14:textFill>
                  <w14:solidFill>
                    <w14:schemeClr w14:val="tx1"/>
                  </w14:solidFill>
                </w14:textFill>
              </w:rPr>
              <w:t>一般</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，得</w:t>
            </w:r>
            <w:r>
              <w:rPr>
                <w:rFonts w:hint="eastAsia" w:ascii="宋体" w:hAnsi="宋体" w:cs="宋体"/>
                <w:bCs/>
                <w:color w:val="000000" w:themeColor="text1"/>
                <w:kern w:val="2"/>
                <w:sz w:val="21"/>
                <w:szCs w:val="21"/>
                <w:lang w:val="en-US" w:eastAsia="zh-CN" w:bidi="ar-SA"/>
                <w14:textFill>
                  <w14:solidFill>
                    <w14:schemeClr w14:val="tx1"/>
                  </w14:solidFill>
                </w14:textFill>
              </w:rPr>
              <w:t>13</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分</w:t>
            </w:r>
            <w:r>
              <w:rPr>
                <w:rFonts w:hint="eastAsia" w:ascii="宋体" w:hAnsi="宋体" w:cs="宋体"/>
                <w:bCs/>
                <w:color w:val="000000" w:themeColor="text1"/>
                <w:kern w:val="2"/>
                <w:sz w:val="21"/>
                <w:szCs w:val="21"/>
                <w:lang w:val="zh-CN" w:eastAsia="zh-CN" w:bidi="ar-SA"/>
                <w14:textFill>
                  <w14:solidFill>
                    <w14:schemeClr w14:val="tx1"/>
                  </w14:solidFill>
                </w14:textFill>
              </w:rPr>
              <w:t>；</w:t>
            </w:r>
          </w:p>
          <w:p w14:paraId="69ABEA95">
            <w:pPr>
              <w:pStyle w:val="2"/>
              <w:rPr>
                <w:rFonts w:hint="default"/>
                <w:lang w:val="en-US" w:eastAsia="zh-CN"/>
              </w:rPr>
            </w:pPr>
            <w:r>
              <w:rPr>
                <w:rFonts w:hint="eastAsia"/>
                <w:lang w:val="en-US" w:eastAsia="zh-CN"/>
              </w:rPr>
              <w:t>4.</w:t>
            </w:r>
            <w:r>
              <w:rPr>
                <w:rFonts w:hint="eastAsia" w:ascii="宋体" w:hAnsi="宋体" w:cs="宋体"/>
                <w:bCs/>
                <w:color w:val="000000" w:themeColor="text1"/>
                <w:kern w:val="2"/>
                <w:sz w:val="21"/>
                <w:szCs w:val="21"/>
                <w:lang w:val="zh-CN" w:eastAsia="zh-CN" w:bidi="ar-SA"/>
                <w14:textFill>
                  <w14:solidFill>
                    <w14:schemeClr w14:val="tx1"/>
                  </w14:solidFill>
                </w14:textFill>
              </w:rPr>
              <w:t>保修期、</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服务响应时间不能满足采购文件要求，提供的</w:t>
            </w:r>
            <w:r>
              <w:rPr>
                <w:rFonts w:hint="eastAsia" w:ascii="宋体" w:hAnsi="宋体" w:cs="宋体"/>
                <w:bCs/>
                <w:color w:val="000000" w:themeColor="text1"/>
                <w:kern w:val="2"/>
                <w:sz w:val="21"/>
                <w:szCs w:val="21"/>
                <w:lang w:val="zh-CN" w:eastAsia="zh-CN" w:bidi="ar-SA"/>
                <w14:textFill>
                  <w14:solidFill>
                    <w14:schemeClr w14:val="tx1"/>
                  </w14:solidFill>
                </w14:textFill>
              </w:rPr>
              <w:t>保修</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期内产品维护措施简单，应用性、针对性差，得</w:t>
            </w:r>
            <w:r>
              <w:rPr>
                <w:rFonts w:hint="eastAsia" w:cs="宋体"/>
                <w:bCs/>
                <w:color w:val="000000" w:themeColor="text1"/>
                <w:kern w:val="2"/>
                <w:sz w:val="21"/>
                <w:szCs w:val="21"/>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分</w:t>
            </w:r>
            <w:r>
              <w:rPr>
                <w:rFonts w:hint="eastAsia" w:ascii="宋体" w:hAnsi="宋体" w:cs="宋体"/>
                <w:bCs/>
                <w:color w:val="000000" w:themeColor="text1"/>
                <w:kern w:val="2"/>
                <w:sz w:val="21"/>
                <w:szCs w:val="21"/>
                <w:lang w:val="zh-CN" w:eastAsia="zh-CN" w:bidi="ar-SA"/>
                <w14:textFill>
                  <w14:solidFill>
                    <w14:schemeClr w14:val="tx1"/>
                  </w14:solidFill>
                </w14:textFill>
              </w:rPr>
              <w:t>；</w:t>
            </w:r>
          </w:p>
          <w:p w14:paraId="66F55A7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Cs/>
                <w:color w:val="000000" w:themeColor="text1"/>
                <w:kern w:val="2"/>
                <w:sz w:val="21"/>
                <w:szCs w:val="21"/>
                <w:lang w:val="zh-CN" w:eastAsia="zh-CN" w:bidi="ar-SA"/>
                <w14:textFill>
                  <w14:solidFill>
                    <w14:schemeClr w14:val="tx1"/>
                  </w14:solidFill>
                </w14:textFill>
              </w:rPr>
            </w:pPr>
            <w:r>
              <w:rPr>
                <w:rFonts w:hint="eastAsia" w:ascii="宋体" w:hAnsi="宋体" w:cs="宋体"/>
                <w:bCs/>
                <w:color w:val="000000" w:themeColor="text1"/>
                <w:kern w:val="2"/>
                <w:sz w:val="21"/>
                <w:szCs w:val="21"/>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.不提供不得分。</w:t>
            </w:r>
          </w:p>
        </w:tc>
        <w:tc>
          <w:tcPr>
            <w:tcW w:w="809" w:type="dxa"/>
            <w:vAlign w:val="center"/>
          </w:tcPr>
          <w:p w14:paraId="6306EB60">
            <w:pPr>
              <w:keepNext w:val="0"/>
              <w:keepLines w:val="0"/>
              <w:pageBreakBefore w:val="0"/>
              <w:tabs>
                <w:tab w:val="decimal" w:pos="315"/>
                <w:tab w:val="left" w:pos="630"/>
              </w:tabs>
              <w:kinsoku/>
              <w:wordWrap/>
              <w:overflowPunct/>
              <w:topLinePunct w:val="0"/>
              <w:autoSpaceDE/>
              <w:autoSpaceDN/>
              <w:bidi w:val="0"/>
              <w:adjustRightInd/>
              <w:snapToGrid/>
              <w:spacing w:line="40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分</w:t>
            </w:r>
          </w:p>
        </w:tc>
      </w:tr>
      <w:tr w14:paraId="33B1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jc w:val="center"/>
        </w:trPr>
        <w:tc>
          <w:tcPr>
            <w:tcW w:w="1087" w:type="dxa"/>
            <w:vMerge w:val="continue"/>
            <w:vAlign w:val="center"/>
          </w:tcPr>
          <w:p w14:paraId="596D86FC">
            <w:pPr>
              <w:keepNext w:val="0"/>
              <w:keepLines w:val="0"/>
              <w:pageBreakBefore w:val="0"/>
              <w:tabs>
                <w:tab w:val="decimal" w:pos="315"/>
                <w:tab w:val="left" w:pos="630"/>
              </w:tabs>
              <w:kinsoku/>
              <w:wordWrap/>
              <w:overflowPunct/>
              <w:topLinePunct w:val="0"/>
              <w:autoSpaceDE/>
              <w:autoSpaceDN/>
              <w:bidi w:val="0"/>
              <w:adjustRightInd/>
              <w:snapToGrid/>
              <w:spacing w:line="400" w:lineRule="exact"/>
              <w:jc w:val="center"/>
              <w:textAlignment w:val="auto"/>
              <w:rPr>
                <w:color w:val="000000" w:themeColor="text1"/>
                <w14:textFill>
                  <w14:solidFill>
                    <w14:schemeClr w14:val="tx1"/>
                  </w14:solidFill>
                </w14:textFill>
              </w:rPr>
            </w:pPr>
          </w:p>
        </w:tc>
        <w:tc>
          <w:tcPr>
            <w:tcW w:w="1286" w:type="dxa"/>
            <w:vAlign w:val="center"/>
          </w:tcPr>
          <w:p w14:paraId="5D1BA28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项目实施</w:t>
            </w:r>
          </w:p>
          <w:p w14:paraId="4B2B0D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方案</w:t>
            </w:r>
          </w:p>
        </w:tc>
        <w:tc>
          <w:tcPr>
            <w:tcW w:w="6244" w:type="dxa"/>
            <w:vAlign w:val="center"/>
          </w:tcPr>
          <w:p w14:paraId="38AEFB3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Cs/>
                <w:color w:val="000000" w:themeColor="text1"/>
                <w:kern w:val="2"/>
                <w:sz w:val="21"/>
                <w:szCs w:val="21"/>
                <w:lang w:val="zh-CN" w:eastAsia="zh-CN" w:bidi="ar-SA"/>
                <w14:textFill>
                  <w14:solidFill>
                    <w14:schemeClr w14:val="tx1"/>
                  </w14:solidFill>
                </w14:textFill>
              </w:rPr>
            </w:pPr>
            <w:r>
              <w:rPr>
                <w:rFonts w:hint="eastAsia" w:ascii="宋体" w:hAnsi="宋体" w:eastAsia="宋体" w:cs="宋体"/>
                <w:bCs/>
                <w:color w:val="000000" w:themeColor="text1"/>
                <w:kern w:val="2"/>
                <w:sz w:val="21"/>
                <w:szCs w:val="21"/>
                <w:lang w:val="zh-CN" w:eastAsia="zh-CN" w:bidi="ar-SA"/>
                <w14:textFill>
                  <w14:solidFill>
                    <w14:schemeClr w14:val="tx1"/>
                  </w14:solidFill>
                </w14:textFill>
              </w:rPr>
              <w:t>根据供应商提供的项目实施方案（包括但不限于施工、安装调试方案</w:t>
            </w:r>
            <w:r>
              <w:rPr>
                <w:rFonts w:hint="eastAsia" w:ascii="宋体" w:hAnsi="宋体" w:cs="宋体"/>
                <w:bCs/>
                <w:color w:val="000000" w:themeColor="text1"/>
                <w:kern w:val="2"/>
                <w:sz w:val="21"/>
                <w:szCs w:val="21"/>
                <w:lang w:val="zh-CN" w:eastAsia="zh-CN" w:bidi="ar-SA"/>
                <w14:textFill>
                  <w14:solidFill>
                    <w14:schemeClr w14:val="tx1"/>
                  </w14:solidFill>
                </w14:textFill>
              </w:rPr>
              <w:t>、项目保障方案</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）进行评审:</w:t>
            </w:r>
          </w:p>
          <w:p w14:paraId="0C1A6F5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Cs/>
                <w:color w:val="000000" w:themeColor="text1"/>
                <w:kern w:val="2"/>
                <w:sz w:val="21"/>
                <w:szCs w:val="21"/>
                <w:lang w:val="zh-CN" w:eastAsia="zh-CN" w:bidi="ar-SA"/>
                <w14:textFill>
                  <w14:solidFill>
                    <w14:schemeClr w14:val="tx1"/>
                  </w14:solidFill>
                </w14:textFill>
              </w:rPr>
            </w:pPr>
            <w:r>
              <w:rPr>
                <w:rFonts w:hint="eastAsia" w:ascii="宋体" w:hAnsi="宋体" w:eastAsia="宋体" w:cs="宋体"/>
                <w:bCs/>
                <w:color w:val="000000" w:themeColor="text1"/>
                <w:kern w:val="2"/>
                <w:sz w:val="21"/>
                <w:szCs w:val="21"/>
                <w:lang w:val="zh-CN" w:eastAsia="zh-CN" w:bidi="ar-SA"/>
                <w14:textFill>
                  <w14:solidFill>
                    <w14:schemeClr w14:val="tx1"/>
                  </w14:solidFill>
                </w14:textFill>
              </w:rPr>
              <w:t>1.项目实施方案详实明确，流程、措施完善，完全满足使用需求的，得</w:t>
            </w:r>
            <w:r>
              <w:rPr>
                <w:rFonts w:hint="eastAsia" w:ascii="宋体" w:hAnsi="宋体" w:cs="宋体"/>
                <w:bCs/>
                <w:color w:val="000000" w:themeColor="text1"/>
                <w:kern w:val="2"/>
                <w:sz w:val="21"/>
                <w:szCs w:val="21"/>
                <w:lang w:val="en-US" w:eastAsia="zh-CN" w:bidi="ar-SA"/>
                <w14:textFill>
                  <w14:solidFill>
                    <w14:schemeClr w14:val="tx1"/>
                  </w14:solidFill>
                </w14:textFill>
              </w:rPr>
              <w:t>25</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分;</w:t>
            </w:r>
          </w:p>
          <w:p w14:paraId="02B15AF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Cs/>
                <w:color w:val="000000" w:themeColor="text1"/>
                <w:kern w:val="2"/>
                <w:sz w:val="21"/>
                <w:szCs w:val="21"/>
                <w:lang w:val="zh-CN" w:eastAsia="zh-CN" w:bidi="ar-SA"/>
                <w14:textFill>
                  <w14:solidFill>
                    <w14:schemeClr w14:val="tx1"/>
                  </w14:solidFill>
                </w14:textFill>
              </w:rPr>
            </w:pPr>
            <w:r>
              <w:rPr>
                <w:rFonts w:hint="eastAsia" w:ascii="宋体" w:hAnsi="宋体" w:eastAsia="宋体" w:cs="宋体"/>
                <w:bCs/>
                <w:color w:val="000000" w:themeColor="text1"/>
                <w:kern w:val="2"/>
                <w:sz w:val="21"/>
                <w:szCs w:val="21"/>
                <w:lang w:val="zh-CN" w:eastAsia="zh-CN" w:bidi="ar-SA"/>
                <w14:textFill>
                  <w14:solidFill>
                    <w14:schemeClr w14:val="tx1"/>
                  </w14:solidFill>
                </w14:textFill>
              </w:rPr>
              <w:t>2.供项目实施方案较具体</w:t>
            </w:r>
            <w:r>
              <w:rPr>
                <w:rFonts w:hint="eastAsia" w:ascii="宋体" w:hAnsi="宋体" w:cs="宋体"/>
                <w:bCs/>
                <w:color w:val="000000" w:themeColor="text1"/>
                <w:kern w:val="2"/>
                <w:sz w:val="21"/>
                <w:szCs w:val="21"/>
                <w:lang w:val="zh-CN" w:eastAsia="zh-CN" w:bidi="ar-SA"/>
                <w14:textFill>
                  <w14:solidFill>
                    <w14:schemeClr w14:val="tx1"/>
                  </w14:solidFill>
                </w14:textFill>
              </w:rPr>
              <w:t>明确</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，流程、措施较完善，基本满足使用需求的，得</w:t>
            </w:r>
            <w:r>
              <w:rPr>
                <w:rFonts w:hint="eastAsia" w:ascii="宋体" w:hAnsi="宋体" w:cs="宋体"/>
                <w:bCs/>
                <w:color w:val="000000" w:themeColor="text1"/>
                <w:kern w:val="2"/>
                <w:sz w:val="21"/>
                <w:szCs w:val="21"/>
                <w:lang w:val="en-US" w:eastAsia="zh-CN" w:bidi="ar-SA"/>
                <w14:textFill>
                  <w14:solidFill>
                    <w14:schemeClr w14:val="tx1"/>
                  </w14:solidFill>
                </w14:textFill>
              </w:rPr>
              <w:t>19</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分；</w:t>
            </w:r>
          </w:p>
          <w:p w14:paraId="17CFDCA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Cs/>
                <w:color w:val="000000" w:themeColor="text1"/>
                <w:kern w:val="2"/>
                <w:sz w:val="21"/>
                <w:szCs w:val="21"/>
                <w:lang w:val="zh-CN" w:eastAsia="zh-CN" w:bidi="ar-SA"/>
                <w14:textFill>
                  <w14:solidFill>
                    <w14:schemeClr w14:val="tx1"/>
                  </w14:solidFill>
                </w14:textFill>
              </w:rPr>
            </w:pPr>
            <w:r>
              <w:rPr>
                <w:rFonts w:hint="eastAsia" w:ascii="宋体" w:hAnsi="宋体" w:eastAsia="宋体" w:cs="宋体"/>
                <w:bCs/>
                <w:color w:val="000000" w:themeColor="text1"/>
                <w:kern w:val="2"/>
                <w:sz w:val="21"/>
                <w:szCs w:val="21"/>
                <w:lang w:val="zh-CN" w:eastAsia="zh-CN" w:bidi="ar-SA"/>
                <w14:textFill>
                  <w14:solidFill>
                    <w14:schemeClr w14:val="tx1"/>
                  </w14:solidFill>
                </w14:textFill>
              </w:rPr>
              <w:t>3.项目实施方案一般，流程、措施一般的，得</w:t>
            </w:r>
            <w:r>
              <w:rPr>
                <w:rFonts w:hint="eastAsia" w:ascii="宋体" w:hAnsi="宋体" w:cs="宋体"/>
                <w:bCs/>
                <w:color w:val="000000" w:themeColor="text1"/>
                <w:kern w:val="2"/>
                <w:sz w:val="21"/>
                <w:szCs w:val="21"/>
                <w:lang w:val="en-US" w:eastAsia="zh-CN" w:bidi="ar-SA"/>
                <w14:textFill>
                  <w14:solidFill>
                    <w14:schemeClr w14:val="tx1"/>
                  </w14:solidFill>
                </w14:textFill>
              </w:rPr>
              <w:t>13</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分</w:t>
            </w:r>
            <w:r>
              <w:rPr>
                <w:rFonts w:hint="eastAsia" w:ascii="宋体" w:hAnsi="宋体" w:cs="宋体"/>
                <w:bCs/>
                <w:color w:val="000000" w:themeColor="text1"/>
                <w:kern w:val="2"/>
                <w:sz w:val="21"/>
                <w:szCs w:val="21"/>
                <w:lang w:val="zh-CN" w:eastAsia="zh-CN" w:bidi="ar-SA"/>
                <w14:textFill>
                  <w14:solidFill>
                    <w14:schemeClr w14:val="tx1"/>
                  </w14:solidFill>
                </w14:textFill>
              </w:rPr>
              <w:t>；</w:t>
            </w:r>
          </w:p>
          <w:p w14:paraId="6BD2182F">
            <w:pPr>
              <w:pStyle w:val="2"/>
              <w:rPr>
                <w:rFonts w:hint="default"/>
                <w:lang w:val="en-US" w:eastAsia="zh-CN"/>
              </w:rPr>
            </w:pPr>
            <w:r>
              <w:rPr>
                <w:rFonts w:hint="eastAsia" w:cs="宋体"/>
                <w:bCs/>
                <w:color w:val="000000" w:themeColor="text1"/>
                <w:kern w:val="2"/>
                <w:sz w:val="21"/>
                <w:szCs w:val="21"/>
                <w:lang w:val="en-US" w:eastAsia="zh-CN" w:bidi="ar-SA"/>
                <w14:textFill>
                  <w14:solidFill>
                    <w14:schemeClr w14:val="tx1"/>
                  </w14:solidFill>
                </w14:textFill>
              </w:rPr>
              <w:t>4.</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项目实施方案</w:t>
            </w:r>
            <w:r>
              <w:rPr>
                <w:rFonts w:hint="eastAsia" w:cs="宋体"/>
                <w:bCs/>
                <w:color w:val="000000" w:themeColor="text1"/>
                <w:kern w:val="2"/>
                <w:sz w:val="21"/>
                <w:szCs w:val="21"/>
                <w:lang w:val="zh-CN" w:eastAsia="zh-CN" w:bidi="ar-SA"/>
                <w14:textFill>
                  <w14:solidFill>
                    <w14:schemeClr w14:val="tx1"/>
                  </w14:solidFill>
                </w14:textFill>
              </w:rPr>
              <w:t>差，</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流程、措施</w:t>
            </w:r>
            <w:r>
              <w:rPr>
                <w:rFonts w:hint="eastAsia" w:cs="宋体"/>
                <w:bCs/>
                <w:color w:val="000000" w:themeColor="text1"/>
                <w:kern w:val="2"/>
                <w:sz w:val="21"/>
                <w:szCs w:val="21"/>
                <w:lang w:val="zh-CN" w:eastAsia="zh-CN" w:bidi="ar-SA"/>
                <w14:textFill>
                  <w14:solidFill>
                    <w14:schemeClr w14:val="tx1"/>
                  </w14:solidFill>
                </w14:textFill>
              </w:rPr>
              <w:t>简略</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的，得</w:t>
            </w:r>
            <w:r>
              <w:rPr>
                <w:rFonts w:hint="eastAsia" w:cs="宋体"/>
                <w:bCs/>
                <w:color w:val="000000" w:themeColor="text1"/>
                <w:kern w:val="2"/>
                <w:sz w:val="21"/>
                <w:szCs w:val="21"/>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分</w:t>
            </w:r>
            <w:r>
              <w:rPr>
                <w:rFonts w:hint="eastAsia" w:cs="宋体"/>
                <w:bCs/>
                <w:color w:val="000000" w:themeColor="text1"/>
                <w:kern w:val="2"/>
                <w:sz w:val="21"/>
                <w:szCs w:val="21"/>
                <w:lang w:val="zh-CN" w:eastAsia="zh-CN" w:bidi="ar-SA"/>
                <w14:textFill>
                  <w14:solidFill>
                    <w14:schemeClr w14:val="tx1"/>
                  </w14:solidFill>
                </w14:textFill>
              </w:rPr>
              <w:t>；</w:t>
            </w:r>
          </w:p>
          <w:p w14:paraId="4CC3210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Cs/>
                <w:color w:val="000000" w:themeColor="text1"/>
                <w:kern w:val="2"/>
                <w:sz w:val="21"/>
                <w:szCs w:val="21"/>
                <w:lang w:val="zh-CN" w:eastAsia="zh-CN" w:bidi="ar-SA"/>
                <w14:textFill>
                  <w14:solidFill>
                    <w14:schemeClr w14:val="tx1"/>
                  </w14:solidFill>
                </w14:textFill>
              </w:rPr>
            </w:pPr>
            <w:r>
              <w:rPr>
                <w:rFonts w:hint="eastAsia" w:ascii="宋体" w:hAnsi="宋体" w:cs="宋体"/>
                <w:bCs/>
                <w:color w:val="000000" w:themeColor="text1"/>
                <w:kern w:val="2"/>
                <w:sz w:val="21"/>
                <w:szCs w:val="21"/>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.未提供不得分。</w:t>
            </w:r>
          </w:p>
        </w:tc>
        <w:tc>
          <w:tcPr>
            <w:tcW w:w="809" w:type="dxa"/>
            <w:vAlign w:val="center"/>
          </w:tcPr>
          <w:p w14:paraId="50CD9A28">
            <w:pPr>
              <w:keepNext w:val="0"/>
              <w:keepLines w:val="0"/>
              <w:pageBreakBefore w:val="0"/>
              <w:tabs>
                <w:tab w:val="decimal" w:pos="315"/>
                <w:tab w:val="left" w:pos="630"/>
              </w:tabs>
              <w:kinsoku/>
              <w:wordWrap/>
              <w:overflowPunct/>
              <w:topLinePunct w:val="0"/>
              <w:autoSpaceDE/>
              <w:autoSpaceDN/>
              <w:bidi w:val="0"/>
              <w:adjustRightInd/>
              <w:snapToGrid/>
              <w:spacing w:line="40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分</w:t>
            </w:r>
          </w:p>
        </w:tc>
      </w:tr>
      <w:tr w14:paraId="343C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087" w:type="dxa"/>
            <w:vAlign w:val="center"/>
          </w:tcPr>
          <w:p w14:paraId="6B5F599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价格部分</w:t>
            </w:r>
          </w:p>
        </w:tc>
        <w:tc>
          <w:tcPr>
            <w:tcW w:w="1286" w:type="dxa"/>
            <w:vAlign w:val="center"/>
          </w:tcPr>
          <w:p w14:paraId="1F0A1BF2">
            <w:pPr>
              <w:keepNext w:val="0"/>
              <w:keepLines w:val="0"/>
              <w:pageBreakBefore w:val="0"/>
              <w:kinsoku/>
              <w:wordWrap/>
              <w:overflowPunct/>
              <w:topLinePunct w:val="0"/>
              <w:autoSpaceDE/>
              <w:autoSpaceDN/>
              <w:bidi w:val="0"/>
              <w:adjustRightInd/>
              <w:snapToGrid/>
              <w:spacing w:line="400" w:lineRule="exact"/>
              <w:jc w:val="center"/>
              <w:textAlignment w:val="auto"/>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响应报价</w:t>
            </w:r>
          </w:p>
        </w:tc>
        <w:tc>
          <w:tcPr>
            <w:tcW w:w="6244" w:type="dxa"/>
            <w:vAlign w:val="center"/>
          </w:tcPr>
          <w:p w14:paraId="6C501905">
            <w:pPr>
              <w:pStyle w:val="19"/>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宋体" w:eastAsia="宋体" w:cs="宋体"/>
                <w:bCs/>
                <w:color w:val="000000" w:themeColor="text1"/>
                <w:sz w:val="21"/>
                <w:szCs w:val="21"/>
                <w:lang w:val="zh-CN"/>
                <w14:textFill>
                  <w14:solidFill>
                    <w14:schemeClr w14:val="tx1"/>
                  </w14:solidFill>
                </w14:textFill>
              </w:rPr>
            </w:pPr>
            <w:r>
              <w:rPr>
                <w:rFonts w:hint="eastAsia" w:ascii="宋体" w:eastAsia="宋体" w:cs="宋体"/>
                <w:bCs/>
                <w:color w:val="000000" w:themeColor="text1"/>
                <w:sz w:val="21"/>
                <w:szCs w:val="21"/>
                <w:lang w:val="zh-CN"/>
                <w14:textFill>
                  <w14:solidFill>
                    <w14:schemeClr w14:val="tx1"/>
                  </w14:solidFill>
                </w14:textFill>
              </w:rPr>
              <w:t>响应报价得分＝（评审基准价/响应报价）×价格分值</w:t>
            </w:r>
          </w:p>
          <w:p w14:paraId="6FFEC1E7">
            <w:pPr>
              <w:pStyle w:val="19"/>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color w:val="000000" w:themeColor="text1"/>
                <w14:textFill>
                  <w14:solidFill>
                    <w14:schemeClr w14:val="tx1"/>
                  </w14:solidFill>
                </w14:textFill>
              </w:rPr>
            </w:pPr>
            <w:r>
              <w:rPr>
                <w:rFonts w:hint="eastAsia" w:ascii="宋体" w:eastAsia="宋体" w:cs="宋体"/>
                <w:bCs/>
                <w:color w:val="000000" w:themeColor="text1"/>
                <w:sz w:val="21"/>
                <w:szCs w:val="21"/>
                <w:lang w:val="zh-CN"/>
                <w14:textFill>
                  <w14:solidFill>
                    <w14:schemeClr w14:val="tx1"/>
                  </w14:solidFill>
                </w14:textFill>
              </w:rPr>
              <w:t>（注：满足采购文件要求且响应价格最低的响应报价为评审基准价。最低报价不是成交的唯一依据。）</w:t>
            </w:r>
          </w:p>
        </w:tc>
        <w:tc>
          <w:tcPr>
            <w:tcW w:w="809" w:type="dxa"/>
            <w:vAlign w:val="center"/>
          </w:tcPr>
          <w:p w14:paraId="4DF9447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w:t>
            </w:r>
          </w:p>
        </w:tc>
      </w:tr>
      <w:tr w14:paraId="37D65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617" w:type="dxa"/>
            <w:gridSpan w:val="3"/>
            <w:vAlign w:val="center"/>
          </w:tcPr>
          <w:p w14:paraId="6FCA573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809" w:type="dxa"/>
            <w:vAlign w:val="center"/>
          </w:tcPr>
          <w:p w14:paraId="7E9361A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14:textFill>
                  <w14:solidFill>
                    <w14:schemeClr w14:val="tx1"/>
                  </w14:solidFill>
                </w14:textFill>
              </w:rPr>
            </w:pPr>
            <w:r>
              <w:rPr>
                <w:rFonts w:hint="eastAsia"/>
                <w:color w:val="000000" w:themeColor="text1"/>
                <w14:textFill>
                  <w14:solidFill>
                    <w14:schemeClr w14:val="tx1"/>
                  </w14:solidFill>
                </w14:textFill>
              </w:rPr>
              <w:t>100</w:t>
            </w:r>
            <w:r>
              <w:rPr>
                <w:rFonts w:hint="eastAsia" w:ascii="宋体" w:hAnsi="宋体"/>
                <w:color w:val="000000" w:themeColor="text1"/>
                <w14:textFill>
                  <w14:solidFill>
                    <w14:schemeClr w14:val="tx1"/>
                  </w14:solidFill>
                </w14:textFill>
              </w:rPr>
              <w:t>分</w:t>
            </w:r>
          </w:p>
        </w:tc>
      </w:tr>
    </w:tbl>
    <w:p w14:paraId="0BF0411D">
      <w:pPr>
        <w:spacing w:line="360" w:lineRule="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2C08D9"/>
    <w:rsid w:val="00233B27"/>
    <w:rsid w:val="00280D3D"/>
    <w:rsid w:val="002C08D9"/>
    <w:rsid w:val="002D3BEC"/>
    <w:rsid w:val="00317321"/>
    <w:rsid w:val="00326EE1"/>
    <w:rsid w:val="00453214"/>
    <w:rsid w:val="004F7D60"/>
    <w:rsid w:val="005A2D64"/>
    <w:rsid w:val="006C3430"/>
    <w:rsid w:val="00726F79"/>
    <w:rsid w:val="007B7E81"/>
    <w:rsid w:val="00B16B05"/>
    <w:rsid w:val="00B50918"/>
    <w:rsid w:val="00B91EAC"/>
    <w:rsid w:val="00D95C0D"/>
    <w:rsid w:val="00E161BD"/>
    <w:rsid w:val="00E209BE"/>
    <w:rsid w:val="00E46AD2"/>
    <w:rsid w:val="00EB1C0E"/>
    <w:rsid w:val="00F04CBF"/>
    <w:rsid w:val="00F5445B"/>
    <w:rsid w:val="00FB627E"/>
    <w:rsid w:val="0116312F"/>
    <w:rsid w:val="022632F0"/>
    <w:rsid w:val="03267819"/>
    <w:rsid w:val="03EC2B7B"/>
    <w:rsid w:val="045D1075"/>
    <w:rsid w:val="048109F4"/>
    <w:rsid w:val="05BD6377"/>
    <w:rsid w:val="05D12EB3"/>
    <w:rsid w:val="06E72E78"/>
    <w:rsid w:val="077B0190"/>
    <w:rsid w:val="07AB423D"/>
    <w:rsid w:val="07F53FC7"/>
    <w:rsid w:val="085C484A"/>
    <w:rsid w:val="08CD207F"/>
    <w:rsid w:val="09570229"/>
    <w:rsid w:val="09CF031F"/>
    <w:rsid w:val="0A3E104C"/>
    <w:rsid w:val="0A621193"/>
    <w:rsid w:val="0AA35A8D"/>
    <w:rsid w:val="0AC27E84"/>
    <w:rsid w:val="0ADF6709"/>
    <w:rsid w:val="0B031FF8"/>
    <w:rsid w:val="0B2A7D51"/>
    <w:rsid w:val="0B330D82"/>
    <w:rsid w:val="0B5252E0"/>
    <w:rsid w:val="0B5915B2"/>
    <w:rsid w:val="0BF63EFD"/>
    <w:rsid w:val="0C344DB1"/>
    <w:rsid w:val="0C871385"/>
    <w:rsid w:val="0C8F77BA"/>
    <w:rsid w:val="0D7C5016"/>
    <w:rsid w:val="0E3A4E39"/>
    <w:rsid w:val="0E5651F6"/>
    <w:rsid w:val="0E920377"/>
    <w:rsid w:val="0E9B1118"/>
    <w:rsid w:val="0F0C1504"/>
    <w:rsid w:val="0F5074B0"/>
    <w:rsid w:val="0F640B4E"/>
    <w:rsid w:val="0FB36144"/>
    <w:rsid w:val="10001543"/>
    <w:rsid w:val="100B407B"/>
    <w:rsid w:val="113F222E"/>
    <w:rsid w:val="11CC5193"/>
    <w:rsid w:val="120450DA"/>
    <w:rsid w:val="12055A41"/>
    <w:rsid w:val="12C9238F"/>
    <w:rsid w:val="13157E18"/>
    <w:rsid w:val="135E0B3D"/>
    <w:rsid w:val="138A175B"/>
    <w:rsid w:val="14121DAC"/>
    <w:rsid w:val="142E20E6"/>
    <w:rsid w:val="15396F94"/>
    <w:rsid w:val="16012AC5"/>
    <w:rsid w:val="16A77C85"/>
    <w:rsid w:val="16AA0397"/>
    <w:rsid w:val="16B167CC"/>
    <w:rsid w:val="170610F8"/>
    <w:rsid w:val="17070B85"/>
    <w:rsid w:val="172211AC"/>
    <w:rsid w:val="17632032"/>
    <w:rsid w:val="177949B5"/>
    <w:rsid w:val="18664ECD"/>
    <w:rsid w:val="198164B4"/>
    <w:rsid w:val="198264C7"/>
    <w:rsid w:val="19A02B67"/>
    <w:rsid w:val="1A710F7F"/>
    <w:rsid w:val="1A7E0088"/>
    <w:rsid w:val="1CA90EA4"/>
    <w:rsid w:val="1CB17D58"/>
    <w:rsid w:val="1CEB5018"/>
    <w:rsid w:val="1D090252"/>
    <w:rsid w:val="1D4F1A4B"/>
    <w:rsid w:val="1D977BC5"/>
    <w:rsid w:val="2000702C"/>
    <w:rsid w:val="20531559"/>
    <w:rsid w:val="20E47C7B"/>
    <w:rsid w:val="211335B3"/>
    <w:rsid w:val="21251678"/>
    <w:rsid w:val="21507B40"/>
    <w:rsid w:val="21636166"/>
    <w:rsid w:val="2182320C"/>
    <w:rsid w:val="21B73ED8"/>
    <w:rsid w:val="22291947"/>
    <w:rsid w:val="22596E88"/>
    <w:rsid w:val="22F524FB"/>
    <w:rsid w:val="230B0532"/>
    <w:rsid w:val="2323226F"/>
    <w:rsid w:val="23234A89"/>
    <w:rsid w:val="232522DA"/>
    <w:rsid w:val="236C162A"/>
    <w:rsid w:val="23955CDE"/>
    <w:rsid w:val="23A97F7C"/>
    <w:rsid w:val="23E83B9F"/>
    <w:rsid w:val="24406F1A"/>
    <w:rsid w:val="24791DF7"/>
    <w:rsid w:val="25A11649"/>
    <w:rsid w:val="25A8494F"/>
    <w:rsid w:val="25CD5C03"/>
    <w:rsid w:val="2624631F"/>
    <w:rsid w:val="271472F1"/>
    <w:rsid w:val="27A6429D"/>
    <w:rsid w:val="27B91B08"/>
    <w:rsid w:val="27EA6359"/>
    <w:rsid w:val="29CC4423"/>
    <w:rsid w:val="29D67FA4"/>
    <w:rsid w:val="2A2B739C"/>
    <w:rsid w:val="2A432D46"/>
    <w:rsid w:val="2A7169DD"/>
    <w:rsid w:val="2A9F7BB6"/>
    <w:rsid w:val="2ACD0453"/>
    <w:rsid w:val="2AEF13BE"/>
    <w:rsid w:val="2B2F4148"/>
    <w:rsid w:val="2D0F545C"/>
    <w:rsid w:val="2D216834"/>
    <w:rsid w:val="2DB84096"/>
    <w:rsid w:val="2E3B05C3"/>
    <w:rsid w:val="2EAB0AAB"/>
    <w:rsid w:val="2F1E2C53"/>
    <w:rsid w:val="300915AF"/>
    <w:rsid w:val="304C1E1A"/>
    <w:rsid w:val="30D140CD"/>
    <w:rsid w:val="31BC4D7D"/>
    <w:rsid w:val="32B85545"/>
    <w:rsid w:val="32FC4A8D"/>
    <w:rsid w:val="32FC6616"/>
    <w:rsid w:val="330557AD"/>
    <w:rsid w:val="33641A72"/>
    <w:rsid w:val="33A672FD"/>
    <w:rsid w:val="34403A44"/>
    <w:rsid w:val="346534DC"/>
    <w:rsid w:val="347413BA"/>
    <w:rsid w:val="34781EAB"/>
    <w:rsid w:val="347E456C"/>
    <w:rsid w:val="352761F5"/>
    <w:rsid w:val="35EA1EB9"/>
    <w:rsid w:val="36051666"/>
    <w:rsid w:val="364D069A"/>
    <w:rsid w:val="36981DCB"/>
    <w:rsid w:val="36CD5A73"/>
    <w:rsid w:val="37AD6244"/>
    <w:rsid w:val="37C568B0"/>
    <w:rsid w:val="380A3FE7"/>
    <w:rsid w:val="381454F7"/>
    <w:rsid w:val="38370059"/>
    <w:rsid w:val="391159AF"/>
    <w:rsid w:val="395C2F79"/>
    <w:rsid w:val="3A1A6AE5"/>
    <w:rsid w:val="3A2636DC"/>
    <w:rsid w:val="3ABB3E24"/>
    <w:rsid w:val="3BC136BC"/>
    <w:rsid w:val="3BDE4E43"/>
    <w:rsid w:val="3C2E0CC5"/>
    <w:rsid w:val="3C5C5A09"/>
    <w:rsid w:val="3CE33BBF"/>
    <w:rsid w:val="3D3E0A32"/>
    <w:rsid w:val="3DB2047D"/>
    <w:rsid w:val="3E141CB2"/>
    <w:rsid w:val="3E570EC6"/>
    <w:rsid w:val="3EC14B85"/>
    <w:rsid w:val="3F283A52"/>
    <w:rsid w:val="3F6D1374"/>
    <w:rsid w:val="3FD60E4A"/>
    <w:rsid w:val="4024246B"/>
    <w:rsid w:val="40607ABC"/>
    <w:rsid w:val="40640ABA"/>
    <w:rsid w:val="413A60AB"/>
    <w:rsid w:val="42316216"/>
    <w:rsid w:val="43C8770C"/>
    <w:rsid w:val="440D68D7"/>
    <w:rsid w:val="44333C72"/>
    <w:rsid w:val="45AC718B"/>
    <w:rsid w:val="45ED50AE"/>
    <w:rsid w:val="45F95539"/>
    <w:rsid w:val="469E110E"/>
    <w:rsid w:val="46CA0433"/>
    <w:rsid w:val="479C6D8B"/>
    <w:rsid w:val="48364026"/>
    <w:rsid w:val="488241D3"/>
    <w:rsid w:val="49D62A28"/>
    <w:rsid w:val="4A9C1907"/>
    <w:rsid w:val="4AF97CB6"/>
    <w:rsid w:val="4B0B461C"/>
    <w:rsid w:val="4B6C4CC7"/>
    <w:rsid w:val="4BCB40E3"/>
    <w:rsid w:val="4BE5617B"/>
    <w:rsid w:val="4CA330E7"/>
    <w:rsid w:val="4CB07713"/>
    <w:rsid w:val="4CCD0706"/>
    <w:rsid w:val="4CF5766A"/>
    <w:rsid w:val="4CF87DD7"/>
    <w:rsid w:val="4DE84AD8"/>
    <w:rsid w:val="4E70527E"/>
    <w:rsid w:val="4E9B4F76"/>
    <w:rsid w:val="4EA10947"/>
    <w:rsid w:val="4F700B2E"/>
    <w:rsid w:val="51120D76"/>
    <w:rsid w:val="51D10F25"/>
    <w:rsid w:val="526206FA"/>
    <w:rsid w:val="528E29ED"/>
    <w:rsid w:val="52901F11"/>
    <w:rsid w:val="529B480F"/>
    <w:rsid w:val="52F83F51"/>
    <w:rsid w:val="530C74BB"/>
    <w:rsid w:val="53121B8E"/>
    <w:rsid w:val="53C47D96"/>
    <w:rsid w:val="54B6171E"/>
    <w:rsid w:val="55706356"/>
    <w:rsid w:val="55D30AF4"/>
    <w:rsid w:val="565F4ABA"/>
    <w:rsid w:val="568961D0"/>
    <w:rsid w:val="5733709E"/>
    <w:rsid w:val="574A05B2"/>
    <w:rsid w:val="574A1CB5"/>
    <w:rsid w:val="579059CE"/>
    <w:rsid w:val="57C55E8A"/>
    <w:rsid w:val="57F66416"/>
    <w:rsid w:val="5862288E"/>
    <w:rsid w:val="58937570"/>
    <w:rsid w:val="58BA45A1"/>
    <w:rsid w:val="58DF2F7C"/>
    <w:rsid w:val="59E167D6"/>
    <w:rsid w:val="5A183E5F"/>
    <w:rsid w:val="5AF8598C"/>
    <w:rsid w:val="5B1213E7"/>
    <w:rsid w:val="5B231A45"/>
    <w:rsid w:val="5BB3149D"/>
    <w:rsid w:val="5C472574"/>
    <w:rsid w:val="5C594DF3"/>
    <w:rsid w:val="5C6202FE"/>
    <w:rsid w:val="5D0766E2"/>
    <w:rsid w:val="5D5B20F3"/>
    <w:rsid w:val="5D5F7676"/>
    <w:rsid w:val="5DAB3A7E"/>
    <w:rsid w:val="5DC46F3E"/>
    <w:rsid w:val="5E525F9E"/>
    <w:rsid w:val="5E58282F"/>
    <w:rsid w:val="5E6C6746"/>
    <w:rsid w:val="5E9216C5"/>
    <w:rsid w:val="5EC23ABB"/>
    <w:rsid w:val="5ECC67C9"/>
    <w:rsid w:val="5F075202"/>
    <w:rsid w:val="5F571ABE"/>
    <w:rsid w:val="5FA31F5D"/>
    <w:rsid w:val="5FF852C4"/>
    <w:rsid w:val="600A766C"/>
    <w:rsid w:val="608D6F8C"/>
    <w:rsid w:val="60A54AAB"/>
    <w:rsid w:val="60AB27A8"/>
    <w:rsid w:val="60B06A3A"/>
    <w:rsid w:val="60C8402D"/>
    <w:rsid w:val="616C4593"/>
    <w:rsid w:val="62031A89"/>
    <w:rsid w:val="62061579"/>
    <w:rsid w:val="621C6FEF"/>
    <w:rsid w:val="62E775FD"/>
    <w:rsid w:val="62EA49F7"/>
    <w:rsid w:val="631A458A"/>
    <w:rsid w:val="633B400F"/>
    <w:rsid w:val="63634DBE"/>
    <w:rsid w:val="645962D8"/>
    <w:rsid w:val="64942E0C"/>
    <w:rsid w:val="649E658F"/>
    <w:rsid w:val="64A742B2"/>
    <w:rsid w:val="65683BA3"/>
    <w:rsid w:val="65704E76"/>
    <w:rsid w:val="657171FE"/>
    <w:rsid w:val="65D900EA"/>
    <w:rsid w:val="65F01CCB"/>
    <w:rsid w:val="66A90E26"/>
    <w:rsid w:val="66AE23EC"/>
    <w:rsid w:val="670D4A21"/>
    <w:rsid w:val="68332C5A"/>
    <w:rsid w:val="68B528D2"/>
    <w:rsid w:val="690B6A33"/>
    <w:rsid w:val="6ADF1456"/>
    <w:rsid w:val="6B0F149F"/>
    <w:rsid w:val="6B1D49E9"/>
    <w:rsid w:val="6C663340"/>
    <w:rsid w:val="6CCA5F8C"/>
    <w:rsid w:val="6D5D0BE7"/>
    <w:rsid w:val="6D61071B"/>
    <w:rsid w:val="6D9863E0"/>
    <w:rsid w:val="6E42305D"/>
    <w:rsid w:val="6F286276"/>
    <w:rsid w:val="6F413BF1"/>
    <w:rsid w:val="6F433E0D"/>
    <w:rsid w:val="6F490CF7"/>
    <w:rsid w:val="6F491DD6"/>
    <w:rsid w:val="6FC54822"/>
    <w:rsid w:val="6FD21F6F"/>
    <w:rsid w:val="70301438"/>
    <w:rsid w:val="70CC398E"/>
    <w:rsid w:val="70EF3AEB"/>
    <w:rsid w:val="71266A01"/>
    <w:rsid w:val="716D2988"/>
    <w:rsid w:val="71783467"/>
    <w:rsid w:val="72801080"/>
    <w:rsid w:val="72A262B6"/>
    <w:rsid w:val="72C74D55"/>
    <w:rsid w:val="72C87D81"/>
    <w:rsid w:val="72CD743C"/>
    <w:rsid w:val="735A02FF"/>
    <w:rsid w:val="73644F94"/>
    <w:rsid w:val="739E1612"/>
    <w:rsid w:val="74F160B9"/>
    <w:rsid w:val="76790114"/>
    <w:rsid w:val="767A253F"/>
    <w:rsid w:val="76E23F0B"/>
    <w:rsid w:val="77D2097C"/>
    <w:rsid w:val="78281DF2"/>
    <w:rsid w:val="785C061A"/>
    <w:rsid w:val="78743289"/>
    <w:rsid w:val="79060450"/>
    <w:rsid w:val="79076F20"/>
    <w:rsid w:val="7932248D"/>
    <w:rsid w:val="79366790"/>
    <w:rsid w:val="795D7670"/>
    <w:rsid w:val="79E077E8"/>
    <w:rsid w:val="7A192DB4"/>
    <w:rsid w:val="7A416DDF"/>
    <w:rsid w:val="7A6D7F90"/>
    <w:rsid w:val="7A97325F"/>
    <w:rsid w:val="7BBC35D3"/>
    <w:rsid w:val="7BBC3C49"/>
    <w:rsid w:val="7C023E77"/>
    <w:rsid w:val="7C232FFC"/>
    <w:rsid w:val="7C8415C1"/>
    <w:rsid w:val="7DDD71DA"/>
    <w:rsid w:val="7DFE027A"/>
    <w:rsid w:val="7E114FDF"/>
    <w:rsid w:val="7E171E3C"/>
    <w:rsid w:val="7E3855A4"/>
    <w:rsid w:val="7E3E26F6"/>
    <w:rsid w:val="7E67363F"/>
    <w:rsid w:val="7F51685D"/>
    <w:rsid w:val="7F8C2C66"/>
    <w:rsid w:val="7F945FBF"/>
    <w:rsid w:val="7FAE00C1"/>
    <w:rsid w:val="7FC71532"/>
    <w:rsid w:val="FED6F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tabs>
        <w:tab w:val="left" w:pos="840"/>
      </w:tabs>
      <w:adjustRightInd w:val="0"/>
      <w:snapToGrid w:val="0"/>
      <w:spacing w:line="360" w:lineRule="auto"/>
      <w:outlineLvl w:val="0"/>
    </w:pPr>
    <w:rPr>
      <w:rFonts w:ascii="宋体" w:hAnsi="宋体"/>
      <w:b/>
      <w:kern w:val="44"/>
      <w:sz w:val="24"/>
    </w:rPr>
  </w:style>
  <w:style w:type="paragraph" w:styleId="7">
    <w:name w:val="heading 2"/>
    <w:basedOn w:val="1"/>
    <w:next w:val="1"/>
    <w:link w:val="20"/>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460" w:lineRule="exact"/>
    </w:pPr>
    <w:rPr>
      <w:rFonts w:ascii="宋体" w:hAnsi="宋体"/>
    </w:rPr>
  </w:style>
  <w:style w:type="paragraph" w:styleId="3">
    <w:name w:val="Body Text First Indent"/>
    <w:basedOn w:val="2"/>
    <w:next w:val="4"/>
    <w:qFormat/>
    <w:uiPriority w:val="0"/>
    <w:pPr>
      <w:widowControl w:val="0"/>
      <w:ind w:firstLine="420" w:firstLineChars="100"/>
      <w:jc w:val="both"/>
    </w:pPr>
    <w:rPr>
      <w:kern w:val="2"/>
      <w:szCs w:val="24"/>
    </w:rPr>
  </w:style>
  <w:style w:type="paragraph" w:styleId="4">
    <w:name w:val="Body Text First Indent 2"/>
    <w:basedOn w:val="5"/>
    <w:next w:val="1"/>
    <w:qFormat/>
    <w:uiPriority w:val="0"/>
    <w:pPr>
      <w:widowControl w:val="0"/>
      <w:ind w:firstLine="420" w:firstLineChars="200"/>
      <w:jc w:val="both"/>
    </w:pPr>
    <w:rPr>
      <w:kern w:val="2"/>
      <w:szCs w:val="24"/>
    </w:rPr>
  </w:style>
  <w:style w:type="paragraph" w:styleId="5">
    <w:name w:val="Body Text Indent"/>
    <w:basedOn w:val="1"/>
    <w:qFormat/>
    <w:uiPriority w:val="0"/>
    <w:pPr>
      <w:spacing w:after="120"/>
      <w:ind w:left="420" w:leftChars="200"/>
    </w:pPr>
  </w:style>
  <w:style w:type="paragraph" w:styleId="8">
    <w:name w:val="Normal Indent"/>
    <w:basedOn w:val="1"/>
    <w:qFormat/>
    <w:uiPriority w:val="0"/>
    <w:pPr>
      <w:ind w:firstLine="420"/>
    </w:pPr>
  </w:style>
  <w:style w:type="paragraph" w:styleId="9">
    <w:name w:val="annotation text"/>
    <w:basedOn w:val="1"/>
    <w:qFormat/>
    <w:uiPriority w:val="99"/>
  </w:style>
  <w:style w:type="paragraph" w:styleId="10">
    <w:name w:val="toc 5"/>
    <w:basedOn w:val="1"/>
    <w:next w:val="1"/>
    <w:qFormat/>
    <w:uiPriority w:val="0"/>
    <w:pPr>
      <w:ind w:left="840"/>
      <w:jc w:val="left"/>
    </w:pPr>
    <w:rPr>
      <w:szCs w:val="21"/>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6">
    <w:name w:val="正文内容"/>
    <w:basedOn w:val="17"/>
    <w:qFormat/>
    <w:uiPriority w:val="0"/>
    <w:pPr>
      <w:widowControl w:val="0"/>
      <w:tabs>
        <w:tab w:val="decimal" w:pos="315"/>
        <w:tab w:val="left" w:pos="630"/>
      </w:tabs>
      <w:spacing w:beforeLines="50" w:beforeAutospacing="0" w:afterLines="50" w:afterAutospacing="0" w:line="360" w:lineRule="auto"/>
      <w:ind w:firstLine="480" w:firstLineChars="200"/>
      <w:jc w:val="both"/>
    </w:pPr>
    <w:rPr>
      <w:rFonts w:ascii="Times New Roman" w:hAnsi="Times New Roman" w:cs="Times New Roman"/>
      <w:b w:val="0"/>
      <w:bCs w:val="0"/>
      <w:sz w:val="24"/>
      <w:szCs w:val="20"/>
    </w:rPr>
  </w:style>
  <w:style w:type="paragraph" w:customStyle="1" w:styleId="17">
    <w:name w:val="xl1789"/>
    <w:basedOn w:val="1"/>
    <w:qFormat/>
    <w:uiPriority w:val="0"/>
    <w:pPr>
      <w:widowControl/>
      <w:tabs>
        <w:tab w:val="decimal" w:pos="315"/>
        <w:tab w:val="left" w:pos="630"/>
      </w:tabs>
      <w:spacing w:before="100" w:beforeAutospacing="1" w:after="100" w:afterAutospacing="1"/>
      <w:jc w:val="center"/>
    </w:pPr>
    <w:rPr>
      <w:rFonts w:ascii="宋体" w:hAnsi="宋体" w:cs="宋体"/>
      <w:b/>
      <w:bCs/>
      <w:kern w:val="0"/>
      <w:sz w:val="36"/>
      <w:szCs w:val="36"/>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正文缩进2格"/>
    <w:basedOn w:val="1"/>
    <w:qFormat/>
    <w:uiPriority w:val="0"/>
    <w:pPr>
      <w:spacing w:line="600" w:lineRule="exact"/>
      <w:ind w:firstLine="639" w:firstLineChars="206"/>
    </w:pPr>
    <w:rPr>
      <w:rFonts w:ascii="仿宋_GB2312" w:hAnsi="宋体" w:eastAsia="仿宋_GB2312"/>
      <w:sz w:val="31"/>
      <w:szCs w:val="22"/>
    </w:rPr>
  </w:style>
  <w:style w:type="character" w:customStyle="1" w:styleId="20">
    <w:name w:val="标题 2 字符"/>
    <w:link w:val="7"/>
    <w:qFormat/>
    <w:uiPriority w:val="0"/>
    <w:rPr>
      <w:rFonts w:ascii="宋体" w:hAnsi="宋体"/>
      <w:b/>
      <w:color w:val="000000"/>
      <w:kern w:val="0"/>
      <w:sz w:val="30"/>
      <w:szCs w:val="20"/>
    </w:rPr>
  </w:style>
  <w:style w:type="paragraph" w:customStyle="1" w:styleId="21">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2082</Words>
  <Characters>2102</Characters>
  <Lines>64</Lines>
  <Paragraphs>57</Paragraphs>
  <TotalTime>13</TotalTime>
  <ScaleCrop>false</ScaleCrop>
  <LinksUpToDate>false</LinksUpToDate>
  <CharactersWithSpaces>2105</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2024-07-26T16:44:00Z</dcterms:created>
  <dc:creator>Administrator</dc:creator>
  <cp:lastModifiedBy>user</cp:lastModifiedBy>
  <dcterms:modified xsi:type="dcterms:W3CDTF">2026-06-24T09:34:37Z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14EA587430E1444D89E9A240220E9BB5_13</vt:lpwstr>
  </property>
  <property fmtid="{D5CDD505-2E9C-101B-9397-08002B2CF9AE}" pid="4" name="KSOTemplateDocerSaveRecord">
    <vt:lpwstr>eyJoZGlkIjoiMzY3MWZiZWE1MDkzOGZiMWEyYmJlZjBjYjE4NWJkOTYiLCJ1c2VySWQiOiIzNTEzNDgzNDIifQ==</vt:lpwstr>
  </property>
</Properties>
</file>