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BE9A">
      <w:pPr>
        <w:spacing w:line="510" w:lineRule="exact"/>
        <w:ind w:firstLine="1084" w:firstLineChars="30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sz w:val="36"/>
          <w:szCs w:val="36"/>
        </w:rPr>
        <w:t>中山市黄圃人民医院</w:t>
      </w:r>
      <w:r>
        <w:rPr>
          <w:rFonts w:hint="eastAsia" w:asciiTheme="majorEastAsia" w:hAnsiTheme="majorEastAsia" w:eastAsiaTheme="majorEastAsia" w:cstheme="majorEastAsia"/>
          <w:b/>
          <w:sz w:val="36"/>
          <w:szCs w:val="36"/>
          <w:lang w:val="en-US" w:eastAsia="zh-CN"/>
        </w:rPr>
        <w:t>病案及图书搬迁服务项目</w:t>
      </w:r>
      <w:r>
        <w:rPr>
          <w:rFonts w:hint="eastAsia" w:asciiTheme="majorEastAsia" w:hAnsiTheme="majorEastAsia" w:eastAsiaTheme="majorEastAsia" w:cstheme="majorEastAsia"/>
          <w:b/>
          <w:sz w:val="36"/>
          <w:szCs w:val="36"/>
        </w:rPr>
        <w:t>合同</w:t>
      </w:r>
    </w:p>
    <w:p w14:paraId="2EF406D8">
      <w:pPr>
        <w:spacing w:line="510" w:lineRule="exact"/>
        <w:rPr>
          <w:rFonts w:hint="eastAsia" w:asciiTheme="minorEastAsia" w:hAnsiTheme="minorEastAsia" w:eastAsiaTheme="minorEastAsia" w:cstheme="minorEastAsia"/>
          <w:sz w:val="24"/>
          <w:szCs w:val="24"/>
        </w:rPr>
      </w:pPr>
    </w:p>
    <w:p w14:paraId="2FD44895">
      <w:pPr>
        <w:spacing w:line="51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甲方：中山市黄圃人民医院       </w:t>
      </w:r>
    </w:p>
    <w:p w14:paraId="00804791">
      <w:pPr>
        <w:pStyle w:val="2"/>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w:t>
      </w:r>
    </w:p>
    <w:p w14:paraId="75E2D797">
      <w:pPr>
        <w:spacing w:line="5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rPr>
        <w:t>国家有关法律规定，甲、乙双方经友好协商，就甲方委托乙方搬迁</w:t>
      </w:r>
      <w:r>
        <w:rPr>
          <w:rFonts w:hint="eastAsia" w:asciiTheme="minorEastAsia" w:hAnsiTheme="minorEastAsia" w:eastAsiaTheme="minorEastAsia" w:cstheme="minorEastAsia"/>
          <w:sz w:val="24"/>
          <w:szCs w:val="24"/>
          <w:lang w:val="en-US" w:eastAsia="zh-CN"/>
        </w:rPr>
        <w:t>病案及图书</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事宜，签订本合同，以便共同遵守。</w:t>
      </w:r>
    </w:p>
    <w:p w14:paraId="0EB22511">
      <w:pPr>
        <w:spacing w:line="510" w:lineRule="exact"/>
        <w:ind w:firstLine="482" w:firstLineChars="200"/>
        <w:rPr>
          <w:rFonts w:hint="eastAsia"/>
        </w:rPr>
      </w:pPr>
      <w:r>
        <w:rPr>
          <w:rFonts w:hint="eastAsia" w:asciiTheme="minorEastAsia" w:hAnsiTheme="minorEastAsia" w:eastAsiaTheme="minorEastAsia" w:cstheme="minorEastAsia"/>
          <w:b/>
          <w:sz w:val="24"/>
          <w:szCs w:val="24"/>
        </w:rPr>
        <w:t>第一条  搬迁服务内容：</w:t>
      </w:r>
    </w:p>
    <w:tbl>
      <w:tblPr>
        <w:tblStyle w:val="8"/>
        <w:tblpPr w:leftFromText="180" w:rightFromText="180" w:vertAnchor="text" w:horzAnchor="page" w:tblpX="825" w:tblpY="485"/>
        <w:tblOverlap w:val="never"/>
        <w:tblW w:w="103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25"/>
        <w:gridCol w:w="1225"/>
        <w:gridCol w:w="1188"/>
        <w:gridCol w:w="2300"/>
        <w:gridCol w:w="1476"/>
        <w:gridCol w:w="1750"/>
        <w:gridCol w:w="1049"/>
        <w:gridCol w:w="762"/>
      </w:tblGrid>
      <w:tr w14:paraId="571EB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10375" w:type="dxa"/>
            <w:gridSpan w:val="8"/>
            <w:vAlign w:val="center"/>
          </w:tcPr>
          <w:p w14:paraId="2181A1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eastAsiaTheme="minorEastAsia"/>
                <w:b/>
                <w:bCs/>
                <w:i w:val="0"/>
                <w:iCs w:val="0"/>
                <w:caps w:val="0"/>
                <w:color w:val="auto"/>
                <w:spacing w:val="0"/>
                <w:kern w:val="0"/>
                <w:sz w:val="24"/>
                <w:szCs w:val="24"/>
                <w:highlight w:val="none"/>
                <w:shd w:val="clear" w:color="auto" w:fill="FFFFFF"/>
                <w:vertAlign w:val="baseline"/>
                <w:lang w:val="en-US" w:eastAsia="zh-CN" w:bidi="ar"/>
              </w:rPr>
              <w:t>搬迁服务内容清单</w:t>
            </w:r>
          </w:p>
        </w:tc>
      </w:tr>
      <w:tr w14:paraId="3C7ABE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0375" w:type="dxa"/>
            <w:gridSpan w:val="8"/>
            <w:vAlign w:val="center"/>
          </w:tcPr>
          <w:p w14:paraId="2236862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申请科室：病案统计室、科教科</w:t>
            </w:r>
          </w:p>
        </w:tc>
      </w:tr>
      <w:tr w14:paraId="2920A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625" w:type="dxa"/>
            <w:vAlign w:val="center"/>
          </w:tcPr>
          <w:p w14:paraId="208259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序号</w:t>
            </w:r>
          </w:p>
        </w:tc>
        <w:tc>
          <w:tcPr>
            <w:tcW w:w="1225" w:type="dxa"/>
            <w:vAlign w:val="center"/>
          </w:tcPr>
          <w:p w14:paraId="1CE71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名称</w:t>
            </w:r>
          </w:p>
        </w:tc>
        <w:tc>
          <w:tcPr>
            <w:tcW w:w="1188" w:type="dxa"/>
            <w:vAlign w:val="center"/>
          </w:tcPr>
          <w:p w14:paraId="423811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数量</w:t>
            </w:r>
          </w:p>
        </w:tc>
        <w:tc>
          <w:tcPr>
            <w:tcW w:w="2300" w:type="dxa"/>
            <w:vAlign w:val="center"/>
          </w:tcPr>
          <w:p w14:paraId="38A825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要求</w:t>
            </w:r>
          </w:p>
        </w:tc>
        <w:tc>
          <w:tcPr>
            <w:tcW w:w="1476" w:type="dxa"/>
            <w:vAlign w:val="center"/>
          </w:tcPr>
          <w:p w14:paraId="62192E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尺寸</w:t>
            </w:r>
          </w:p>
        </w:tc>
        <w:tc>
          <w:tcPr>
            <w:tcW w:w="1750" w:type="dxa"/>
            <w:vAlign w:val="center"/>
          </w:tcPr>
          <w:p w14:paraId="30F7A0D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照片</w:t>
            </w:r>
          </w:p>
        </w:tc>
        <w:tc>
          <w:tcPr>
            <w:tcW w:w="1049" w:type="dxa"/>
            <w:vAlign w:val="center"/>
          </w:tcPr>
          <w:p w14:paraId="5A1E31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cs="Times New Roman"/>
                <w:kern w:val="0"/>
                <w:sz w:val="18"/>
                <w:szCs w:val="18"/>
                <w:lang w:val="en-US" w:eastAsia="zh-CN"/>
              </w:rPr>
              <w:t>原存放地点</w:t>
            </w:r>
          </w:p>
        </w:tc>
        <w:tc>
          <w:tcPr>
            <w:tcW w:w="762" w:type="dxa"/>
            <w:vAlign w:val="center"/>
          </w:tcPr>
          <w:p w14:paraId="1DC602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kern w:val="0"/>
                <w:sz w:val="18"/>
                <w:szCs w:val="18"/>
              </w:rPr>
              <w:t>搬迁目的地</w:t>
            </w:r>
          </w:p>
        </w:tc>
      </w:tr>
      <w:tr w14:paraId="7E905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3" w:hRule="atLeast"/>
        </w:trPr>
        <w:tc>
          <w:tcPr>
            <w:tcW w:w="625" w:type="dxa"/>
            <w:vAlign w:val="center"/>
          </w:tcPr>
          <w:p w14:paraId="761305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1</w:t>
            </w:r>
          </w:p>
        </w:tc>
        <w:tc>
          <w:tcPr>
            <w:tcW w:w="1225" w:type="dxa"/>
            <w:vAlign w:val="center"/>
          </w:tcPr>
          <w:p w14:paraId="64BD59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金属材料病案架</w:t>
            </w:r>
          </w:p>
        </w:tc>
        <w:tc>
          <w:tcPr>
            <w:tcW w:w="1188" w:type="dxa"/>
            <w:vAlign w:val="center"/>
          </w:tcPr>
          <w:p w14:paraId="4105B4E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38个</w:t>
            </w:r>
          </w:p>
        </w:tc>
        <w:tc>
          <w:tcPr>
            <w:tcW w:w="2300" w:type="dxa"/>
            <w:vAlign w:val="center"/>
          </w:tcPr>
          <w:p w14:paraId="46577E5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p w14:paraId="46E05F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476" w:type="dxa"/>
            <w:vAlign w:val="center"/>
          </w:tcPr>
          <w:p w14:paraId="7366E8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200cm*40cm*210cm</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病案架净重约 200 kg/个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tc>
        <w:tc>
          <w:tcPr>
            <w:tcW w:w="1750" w:type="dxa"/>
            <w:vAlign w:val="center"/>
          </w:tcPr>
          <w:p w14:paraId="7B205CB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60288" behindDoc="0" locked="0" layoutInCell="1" allowOverlap="1">
                  <wp:simplePos x="0" y="0"/>
                  <wp:positionH relativeFrom="column">
                    <wp:posOffset>20320</wp:posOffset>
                  </wp:positionH>
                  <wp:positionV relativeFrom="paragraph">
                    <wp:posOffset>27305</wp:posOffset>
                  </wp:positionV>
                  <wp:extent cx="966470" cy="847725"/>
                  <wp:effectExtent l="0" t="0" r="5080" b="9525"/>
                  <wp:wrapNone/>
                  <wp:docPr id="154" name="图片 1" descr="病案架（金属材质）(38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 descr="病案架（金属材质）(38个)"/>
                          <pic:cNvPicPr>
                            <a:picLocks noChangeAspect="1"/>
                          </pic:cNvPicPr>
                        </pic:nvPicPr>
                        <pic:blipFill>
                          <a:blip r:embed="rId5"/>
                          <a:stretch>
                            <a:fillRect/>
                          </a:stretch>
                        </pic:blipFill>
                        <pic:spPr>
                          <a:xfrm>
                            <a:off x="0" y="0"/>
                            <a:ext cx="966470" cy="847725"/>
                          </a:xfrm>
                          <a:prstGeom prst="rect">
                            <a:avLst/>
                          </a:prstGeom>
                          <a:noFill/>
                          <a:ln>
                            <a:noFill/>
                          </a:ln>
                        </pic:spPr>
                      </pic:pic>
                    </a:graphicData>
                  </a:graphic>
                </wp:anchor>
              </w:drawing>
            </w:r>
          </w:p>
        </w:tc>
        <w:tc>
          <w:tcPr>
            <w:tcW w:w="1049" w:type="dxa"/>
            <w:vAlign w:val="center"/>
          </w:tcPr>
          <w:p w14:paraId="699F00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医院医技楼七楼　</w:t>
            </w:r>
          </w:p>
        </w:tc>
        <w:tc>
          <w:tcPr>
            <w:tcW w:w="762" w:type="dxa"/>
            <w:vMerge w:val="restart"/>
            <w:vAlign w:val="center"/>
          </w:tcPr>
          <w:p w14:paraId="1C4645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t>黄圃镇</w:t>
            </w: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龙安街138号之一首层</w:t>
            </w:r>
            <w:r>
              <w:rPr>
                <w:rFonts w:hint="eastAsia" w:ascii="宋体" w:hAnsi="宋体" w:cs="宋体"/>
                <w:i w:val="0"/>
                <w:iCs w:val="0"/>
                <w:caps w:val="0"/>
                <w:color w:val="auto"/>
                <w:spacing w:val="0"/>
                <w:kern w:val="0"/>
                <w:sz w:val="21"/>
                <w:szCs w:val="21"/>
                <w:highlight w:val="none"/>
                <w:shd w:val="clear" w:color="auto" w:fill="FFFFFF"/>
                <w:vertAlign w:val="baseline"/>
                <w:lang w:val="en-US" w:eastAsia="zh-CN" w:bidi="ar"/>
              </w:rPr>
              <w:t>库房</w:t>
            </w:r>
          </w:p>
          <w:p w14:paraId="1F0B63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612D70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25" w:type="dxa"/>
            <w:vAlign w:val="center"/>
          </w:tcPr>
          <w:p w14:paraId="73068F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w:t>
            </w:r>
          </w:p>
        </w:tc>
        <w:tc>
          <w:tcPr>
            <w:tcW w:w="1225" w:type="dxa"/>
            <w:vAlign w:val="center"/>
          </w:tcPr>
          <w:p w14:paraId="46CAC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木质材料病案架</w:t>
            </w:r>
          </w:p>
        </w:tc>
        <w:tc>
          <w:tcPr>
            <w:tcW w:w="1188" w:type="dxa"/>
            <w:vAlign w:val="center"/>
          </w:tcPr>
          <w:p w14:paraId="3BA1779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67个</w:t>
            </w:r>
          </w:p>
        </w:tc>
        <w:tc>
          <w:tcPr>
            <w:tcW w:w="2300" w:type="dxa"/>
            <w:vAlign w:val="center"/>
          </w:tcPr>
          <w:p w14:paraId="014D6B8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不需要拆卸和安装。木质材料病案架因多次搬迁已造成不可修复，注意搬运时避免拖拉、碰撞</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p w14:paraId="23FCD1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476" w:type="dxa"/>
            <w:vAlign w:val="center"/>
          </w:tcPr>
          <w:p w14:paraId="2E6CF45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200cm*35cm*210cm</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病案架净重约 150 kg/个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w:t>
            </w:r>
          </w:p>
        </w:tc>
        <w:tc>
          <w:tcPr>
            <w:tcW w:w="1750" w:type="dxa"/>
            <w:vAlign w:val="center"/>
          </w:tcPr>
          <w:p w14:paraId="5C00BB2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61312" behindDoc="0" locked="0" layoutInCell="1" allowOverlap="1">
                  <wp:simplePos x="0" y="0"/>
                  <wp:positionH relativeFrom="column">
                    <wp:posOffset>24130</wp:posOffset>
                  </wp:positionH>
                  <wp:positionV relativeFrom="paragraph">
                    <wp:posOffset>81280</wp:posOffset>
                  </wp:positionV>
                  <wp:extent cx="920750" cy="1036955"/>
                  <wp:effectExtent l="0" t="0" r="12700" b="10795"/>
                  <wp:wrapNone/>
                  <wp:docPr id="155" name="图片 155" descr="病案架（木材材质）（67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病案架（木材材质）（67个）"/>
                          <pic:cNvPicPr>
                            <a:picLocks noChangeAspect="1"/>
                          </pic:cNvPicPr>
                        </pic:nvPicPr>
                        <pic:blipFill>
                          <a:blip r:embed="rId6"/>
                          <a:srcRect t="22238"/>
                          <a:stretch>
                            <a:fillRect/>
                          </a:stretch>
                        </pic:blipFill>
                        <pic:spPr>
                          <a:xfrm>
                            <a:off x="0" y="0"/>
                            <a:ext cx="920750" cy="1036955"/>
                          </a:xfrm>
                          <a:prstGeom prst="rect">
                            <a:avLst/>
                          </a:prstGeom>
                          <a:noFill/>
                          <a:ln>
                            <a:noFill/>
                          </a:ln>
                        </pic:spPr>
                      </pic:pic>
                    </a:graphicData>
                  </a:graphic>
                </wp:anchor>
              </w:drawing>
            </w:r>
          </w:p>
        </w:tc>
        <w:tc>
          <w:tcPr>
            <w:tcW w:w="1049" w:type="dxa"/>
            <w:vAlign w:val="center"/>
          </w:tcPr>
          <w:p w14:paraId="4E9A943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医院医技楼七楼</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51个、</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第二办公区一楼旧会议室</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16个</w:t>
            </w:r>
          </w:p>
        </w:tc>
        <w:tc>
          <w:tcPr>
            <w:tcW w:w="762" w:type="dxa"/>
            <w:vMerge w:val="continue"/>
            <w:vAlign w:val="center"/>
          </w:tcPr>
          <w:p w14:paraId="0B5690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0E62E6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vAlign w:val="center"/>
          </w:tcPr>
          <w:p w14:paraId="2CFB78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3</w:t>
            </w:r>
          </w:p>
        </w:tc>
        <w:tc>
          <w:tcPr>
            <w:tcW w:w="1225" w:type="dxa"/>
            <w:vAlign w:val="center"/>
          </w:tcPr>
          <w:p w14:paraId="158999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金属、木质材料</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病案架上病案份数</w:t>
            </w:r>
          </w:p>
        </w:tc>
        <w:tc>
          <w:tcPr>
            <w:tcW w:w="1188" w:type="dxa"/>
            <w:vAlign w:val="center"/>
          </w:tcPr>
          <w:p w14:paraId="29A7E7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213600份</w:t>
            </w:r>
          </w:p>
        </w:tc>
        <w:tc>
          <w:tcPr>
            <w:tcW w:w="2300" w:type="dxa"/>
            <w:vAlign w:val="center"/>
          </w:tcPr>
          <w:p w14:paraId="518E7C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乙方需要根据甲方要求打包并做好编码，搬迁后按照编码顺序上架（因病案架上的病案排列是按特定序号排列，连续性的；病案打包和病案上架务必专人专管，如病案归档错误，有可能导致永久性查找不到）。</w:t>
            </w:r>
          </w:p>
        </w:tc>
        <w:tc>
          <w:tcPr>
            <w:tcW w:w="1476" w:type="dxa"/>
            <w:vAlign w:val="center"/>
          </w:tcPr>
          <w:p w14:paraId="21FFE6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750" w:type="dxa"/>
            <w:vAlign w:val="center"/>
          </w:tcPr>
          <w:p w14:paraId="4CC5E49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049" w:type="dxa"/>
            <w:vAlign w:val="center"/>
          </w:tcPr>
          <w:p w14:paraId="3F9000C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p w14:paraId="541B639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医院医技楼七楼、第二办公区一楼旧会议室</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continue"/>
            <w:vAlign w:val="center"/>
          </w:tcPr>
          <w:p w14:paraId="0D6D51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702AE8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vAlign w:val="center"/>
          </w:tcPr>
          <w:p w14:paraId="39A4195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4</w:t>
            </w:r>
          </w:p>
        </w:tc>
        <w:tc>
          <w:tcPr>
            <w:tcW w:w="1225" w:type="dxa"/>
            <w:vAlign w:val="center"/>
          </w:tcPr>
          <w:p w14:paraId="43CA8F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已打包病案</w:t>
            </w:r>
          </w:p>
        </w:tc>
        <w:tc>
          <w:tcPr>
            <w:tcW w:w="1188" w:type="dxa"/>
            <w:vAlign w:val="center"/>
          </w:tcPr>
          <w:p w14:paraId="3433C5C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140袋</w:t>
            </w:r>
          </w:p>
        </w:tc>
        <w:tc>
          <w:tcPr>
            <w:tcW w:w="2300" w:type="dxa"/>
            <w:vAlign w:val="center"/>
          </w:tcPr>
          <w:p w14:paraId="4F1490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甲方已按不同时段打包好病案，搬迁后按甲方的要求位置堆放（务必专人专管，保证病案原始资料以防丢失。）</w:t>
            </w:r>
          </w:p>
        </w:tc>
        <w:tc>
          <w:tcPr>
            <w:tcW w:w="1476" w:type="dxa"/>
            <w:vAlign w:val="center"/>
          </w:tcPr>
          <w:p w14:paraId="147301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750" w:type="dxa"/>
            <w:vAlign w:val="center"/>
          </w:tcPr>
          <w:p w14:paraId="55D3194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1049" w:type="dxa"/>
            <w:vAlign w:val="center"/>
          </w:tcPr>
          <w:p w14:paraId="00613B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医院医技楼七楼</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p w14:paraId="171D17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continue"/>
            <w:vAlign w:val="center"/>
          </w:tcPr>
          <w:p w14:paraId="2543A0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r w14:paraId="7B193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3" w:hRule="atLeast"/>
        </w:trPr>
        <w:tc>
          <w:tcPr>
            <w:tcW w:w="625" w:type="dxa"/>
            <w:vAlign w:val="center"/>
          </w:tcPr>
          <w:p w14:paraId="6A05D5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5</w:t>
            </w:r>
          </w:p>
        </w:tc>
        <w:tc>
          <w:tcPr>
            <w:tcW w:w="1225" w:type="dxa"/>
            <w:vAlign w:val="center"/>
          </w:tcPr>
          <w:p w14:paraId="28C8760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图书书架</w:t>
            </w:r>
          </w:p>
        </w:tc>
        <w:tc>
          <w:tcPr>
            <w:tcW w:w="1188" w:type="dxa"/>
            <w:vAlign w:val="center"/>
          </w:tcPr>
          <w:p w14:paraId="32871B2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书架18个</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（三排书柜4个、二排书柜6个、杂志木柜8个）</w:t>
            </w:r>
          </w:p>
        </w:tc>
        <w:tc>
          <w:tcPr>
            <w:tcW w:w="2300" w:type="dxa"/>
            <w:vAlign w:val="center"/>
          </w:tcPr>
          <w:p w14:paraId="6BBA197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不需要拆卸和安装</w:t>
            </w:r>
          </w:p>
        </w:tc>
        <w:tc>
          <w:tcPr>
            <w:tcW w:w="1476" w:type="dxa"/>
            <w:vAlign w:val="center"/>
          </w:tcPr>
          <w:p w14:paraId="2E59D6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750" w:type="dxa"/>
            <w:vMerge w:val="restart"/>
            <w:vAlign w:val="center"/>
          </w:tcPr>
          <w:p w14:paraId="0C1C874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1080770" cy="1283335"/>
                  <wp:effectExtent l="0" t="0" r="5080" b="12065"/>
                  <wp:wrapNone/>
                  <wp:docPr id="156" name="图片 3" descr="pi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3" descr="pic(55)"/>
                          <pic:cNvPicPr>
                            <a:picLocks noChangeAspect="1"/>
                          </pic:cNvPicPr>
                        </pic:nvPicPr>
                        <pic:blipFill>
                          <a:blip r:embed="rId7"/>
                          <a:stretch>
                            <a:fillRect/>
                          </a:stretch>
                        </pic:blipFill>
                        <pic:spPr>
                          <a:xfrm>
                            <a:off x="0" y="0"/>
                            <a:ext cx="1080770" cy="1283335"/>
                          </a:xfrm>
                          <a:prstGeom prst="rect">
                            <a:avLst/>
                          </a:prstGeom>
                          <a:noFill/>
                          <a:ln>
                            <a:noFill/>
                          </a:ln>
                        </pic:spPr>
                      </pic:pic>
                    </a:graphicData>
                  </a:graphic>
                </wp:anchor>
              </w:drawing>
            </w:r>
          </w:p>
          <w:p w14:paraId="0D08B98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049" w:type="dxa"/>
            <w:vMerge w:val="restart"/>
            <w:vAlign w:val="center"/>
          </w:tcPr>
          <w:p w14:paraId="6B8998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医院</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第二办公区一楼旧会议室　</w:t>
            </w:r>
          </w:p>
          <w:p w14:paraId="2F02E7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　</w:t>
            </w:r>
          </w:p>
        </w:tc>
        <w:tc>
          <w:tcPr>
            <w:tcW w:w="762" w:type="dxa"/>
            <w:vMerge w:val="restart"/>
            <w:vAlign w:val="center"/>
          </w:tcPr>
          <w:p w14:paraId="4FD7D5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21"/>
                <w:szCs w:val="21"/>
                <w:highlight w:val="none"/>
                <w:shd w:val="clear" w:color="auto" w:fill="FFFFFF"/>
                <w:vertAlign w:val="baseline"/>
                <w:lang w:val="en-US" w:eastAsia="zh-CN" w:bidi="ar"/>
              </w:rPr>
              <w:t>医院5号楼一楼</w:t>
            </w:r>
          </w:p>
        </w:tc>
      </w:tr>
      <w:tr w14:paraId="5C8FAE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8" w:hRule="atLeast"/>
        </w:trPr>
        <w:tc>
          <w:tcPr>
            <w:tcW w:w="625" w:type="dxa"/>
            <w:vAlign w:val="center"/>
          </w:tcPr>
          <w:p w14:paraId="226BCCB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6</w:t>
            </w:r>
          </w:p>
        </w:tc>
        <w:tc>
          <w:tcPr>
            <w:tcW w:w="1225" w:type="dxa"/>
            <w:vAlign w:val="center"/>
          </w:tcPr>
          <w:p w14:paraId="4B9850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书籍</w:t>
            </w:r>
          </w:p>
        </w:tc>
        <w:tc>
          <w:tcPr>
            <w:tcW w:w="1188" w:type="dxa"/>
            <w:vAlign w:val="center"/>
          </w:tcPr>
          <w:p w14:paraId="7782CA2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专业书籍</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1.6</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万册</w:t>
            </w:r>
          </w:p>
        </w:tc>
        <w:tc>
          <w:tcPr>
            <w:tcW w:w="2300" w:type="dxa"/>
            <w:vAlign w:val="center"/>
          </w:tcPr>
          <w:p w14:paraId="397A79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打包清点，搬迁至指</w:t>
            </w:r>
            <w:r>
              <w:rPr>
                <w:rFonts w:hint="eastAsia" w:ascii="宋体" w:hAnsi="宋体" w:cs="宋体"/>
                <w:i w:val="0"/>
                <w:iCs w:val="0"/>
                <w:caps w:val="0"/>
                <w:color w:val="auto"/>
                <w:spacing w:val="0"/>
                <w:kern w:val="0"/>
                <w:sz w:val="18"/>
                <w:szCs w:val="18"/>
                <w:highlight w:val="none"/>
                <w:shd w:val="clear" w:color="auto" w:fill="FFFFFF"/>
                <w:vertAlign w:val="baseline"/>
                <w:lang w:val="en-US" w:eastAsia="zh-CN" w:bidi="ar"/>
              </w:rPr>
              <w:t>定</w:t>
            </w:r>
            <w:r>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t>位置后书籍重新上架</w:t>
            </w:r>
          </w:p>
        </w:tc>
        <w:tc>
          <w:tcPr>
            <w:tcW w:w="1476" w:type="dxa"/>
            <w:vAlign w:val="center"/>
          </w:tcPr>
          <w:p w14:paraId="5C5C572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750" w:type="dxa"/>
            <w:vMerge w:val="continue"/>
            <w:vAlign w:val="center"/>
          </w:tcPr>
          <w:p w14:paraId="79699BB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1049" w:type="dxa"/>
            <w:vMerge w:val="continue"/>
            <w:vAlign w:val="center"/>
          </w:tcPr>
          <w:p w14:paraId="557F1A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c>
          <w:tcPr>
            <w:tcW w:w="762" w:type="dxa"/>
            <w:vMerge w:val="continue"/>
            <w:vAlign w:val="center"/>
          </w:tcPr>
          <w:p w14:paraId="317B62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eastAsiaTheme="minorEastAsia"/>
                <w:i w:val="0"/>
                <w:iCs w:val="0"/>
                <w:caps w:val="0"/>
                <w:color w:val="auto"/>
                <w:spacing w:val="0"/>
                <w:kern w:val="0"/>
                <w:sz w:val="18"/>
                <w:szCs w:val="18"/>
                <w:highlight w:val="none"/>
                <w:shd w:val="clear" w:color="auto" w:fill="FFFFFF"/>
                <w:vertAlign w:val="baseline"/>
                <w:lang w:val="en-US" w:eastAsia="zh-CN" w:bidi="ar"/>
              </w:rPr>
            </w:pPr>
          </w:p>
        </w:tc>
      </w:tr>
    </w:tbl>
    <w:p w14:paraId="1CF8660D">
      <w:pPr>
        <w:spacing w:line="510" w:lineRule="exact"/>
        <w:rPr>
          <w:rFonts w:hint="eastAsia" w:asciiTheme="minorEastAsia" w:hAnsiTheme="minorEastAsia" w:eastAsiaTheme="minorEastAsia" w:cstheme="minorEastAsia"/>
          <w:sz w:val="24"/>
          <w:szCs w:val="24"/>
        </w:rPr>
      </w:pPr>
    </w:p>
    <w:p w14:paraId="4D60690D">
      <w:pPr>
        <w:spacing w:line="51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  搬运时间:</w:t>
      </w:r>
    </w:p>
    <w:p w14:paraId="71492C70">
      <w:pPr>
        <w:spacing w:line="510" w:lineRule="exact"/>
        <w:ind w:firstLine="480" w:firstLineChars="200"/>
        <w:rPr>
          <w:rFonts w:hint="eastAsia" w:asciiTheme="minorEastAsia" w:hAnsiTheme="minorEastAsia" w:eastAsiaTheme="minorEastAsia" w:cstheme="minorEastAsia"/>
          <w:sz w:val="24"/>
          <w:szCs w:val="24"/>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自合同签订约定生效之日起</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 xml:space="preserve"> </w:t>
      </w:r>
      <w:r>
        <w:rPr>
          <w:rFonts w:hint="eastAsia" w:ascii="宋体" w:hAnsi="宋体" w:cs="宋体"/>
          <w:i w:val="0"/>
          <w:iCs w:val="0"/>
          <w:caps w:val="0"/>
          <w:color w:val="auto"/>
          <w:spacing w:val="0"/>
          <w:kern w:val="0"/>
          <w:sz w:val="24"/>
          <w:szCs w:val="24"/>
          <w:highlight w:val="none"/>
          <w:u w:val="single"/>
          <w:shd w:val="clear" w:color="auto" w:fill="FFFFFF"/>
          <w:vertAlign w:val="baseline"/>
          <w:lang w:val="en-US" w:eastAsia="zh-CN" w:bidi="ar"/>
        </w:rPr>
        <w:t xml:space="preserve">    </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日内完成（含节假日）</w:t>
      </w:r>
      <w:r>
        <w:rPr>
          <w:rFonts w:hint="eastAsia" w:asciiTheme="minorEastAsia" w:hAnsiTheme="minorEastAsia" w:eastAsiaTheme="minorEastAsia" w:cstheme="minorEastAsia"/>
          <w:color w:val="0000FF"/>
          <w:sz w:val="24"/>
          <w:szCs w:val="24"/>
          <w:lang w:eastAsia="zh-CN"/>
        </w:rPr>
        <w:t>。</w:t>
      </w:r>
    </w:p>
    <w:p w14:paraId="68473F32">
      <w:pPr>
        <w:spacing w:line="51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eastAsia="zh-CN"/>
        </w:rPr>
        <w:t>三</w:t>
      </w:r>
      <w:r>
        <w:rPr>
          <w:rFonts w:hint="eastAsia" w:asciiTheme="minorEastAsia" w:hAnsiTheme="minorEastAsia" w:eastAsiaTheme="minorEastAsia" w:cstheme="minorEastAsia"/>
          <w:b/>
          <w:sz w:val="24"/>
          <w:szCs w:val="24"/>
        </w:rPr>
        <w:t>条  服务费用及付款方式：</w:t>
      </w:r>
    </w:p>
    <w:p w14:paraId="2501C2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双方确定，甲方向乙方支付的</w:t>
      </w:r>
      <w:r>
        <w:rPr>
          <w:rFonts w:hint="eastAsia" w:asciiTheme="minorEastAsia" w:hAnsiTheme="minorEastAsia" w:eastAsiaTheme="minorEastAsia" w:cstheme="minorEastAsia"/>
          <w:sz w:val="24"/>
          <w:szCs w:val="24"/>
          <w:lang w:eastAsia="zh-CN"/>
        </w:rPr>
        <w:t>搬迁</w:t>
      </w:r>
      <w:r>
        <w:rPr>
          <w:rFonts w:hint="eastAsia" w:asciiTheme="minorEastAsia" w:hAnsiTheme="minorEastAsia" w:eastAsiaTheme="minorEastAsia" w:cstheme="minorEastAsia"/>
          <w:sz w:val="24"/>
          <w:szCs w:val="24"/>
        </w:rPr>
        <w:t>服务费用合计为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元整</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元），其中病案搬迁</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元</w:t>
      </w:r>
      <w:r>
        <w:rPr>
          <w:rFonts w:hint="eastAsia" w:asciiTheme="minorEastAsia" w:hAnsiTheme="minorEastAsia" w:eastAsiaTheme="minorEastAsia" w:cstheme="minorEastAsia"/>
          <w:sz w:val="24"/>
          <w:szCs w:val="24"/>
          <w:lang w:val="en-US" w:eastAsia="zh-CN"/>
        </w:rPr>
        <w:t>、图书搬迁</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元</w:t>
      </w:r>
      <w:r>
        <w:rPr>
          <w:rFonts w:hint="eastAsia" w:asciiTheme="minorEastAsia" w:hAnsiTheme="minorEastAsia" w:eastAsiaTheme="minorEastAsia" w:cstheme="minorEastAsia"/>
          <w:sz w:val="24"/>
          <w:szCs w:val="24"/>
          <w:lang w:val="en-US" w:eastAsia="zh-CN"/>
        </w:rPr>
        <w:t>。合同金额</w:t>
      </w:r>
      <w:r>
        <w:rPr>
          <w:rFonts w:hint="eastAsia" w:asciiTheme="minorEastAsia" w:hAnsiTheme="minorEastAsia" w:eastAsiaTheme="minorEastAsia" w:cstheme="minorEastAsia"/>
          <w:color w:val="auto"/>
          <w:sz w:val="24"/>
          <w:szCs w:val="24"/>
          <w:lang w:eastAsia="zh-CN"/>
        </w:rPr>
        <w:t>包括</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但不限于人工、专用包装耗材、标签标识、运输、装卸、防护、楼层作业、清理、安全保密、应急、返工整改、验收配合、管理费、保险、税费等所有相关费用</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w:t>
      </w:r>
    </w:p>
    <w:p w14:paraId="3A670738">
      <w:pPr>
        <w:spacing w:line="51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待全部服务验收合格后，</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在收到</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开具的合同金额全额发票及验收单，且核对无误后60日内支付全部合同款项</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w:t>
      </w:r>
      <w:r>
        <w:rPr>
          <w:rFonts w:hint="eastAsia" w:asciiTheme="minorEastAsia" w:hAnsiTheme="minorEastAsia" w:eastAsiaTheme="minorEastAsia" w:cstheme="minorEastAsia"/>
          <w:color w:val="auto"/>
          <w:sz w:val="24"/>
          <w:szCs w:val="24"/>
        </w:rPr>
        <w:t>以</w:t>
      </w:r>
      <w:r>
        <w:rPr>
          <w:rFonts w:hint="eastAsia" w:asciiTheme="minorEastAsia" w:hAnsiTheme="minorEastAsia" w:eastAsiaTheme="minorEastAsia" w:cstheme="minorEastAsia"/>
          <w:color w:val="auto"/>
          <w:sz w:val="24"/>
          <w:szCs w:val="24"/>
          <w:lang w:val="en-US" w:eastAsia="zh-CN"/>
        </w:rPr>
        <w:t>银行转账方式一次性</w:t>
      </w:r>
      <w:r>
        <w:rPr>
          <w:rFonts w:hint="eastAsia" w:asciiTheme="minorEastAsia" w:hAnsiTheme="minorEastAsia" w:eastAsiaTheme="minorEastAsia" w:cstheme="minorEastAsia"/>
          <w:sz w:val="24"/>
          <w:szCs w:val="24"/>
        </w:rPr>
        <w:t>付款至乙方以下账户：</w:t>
      </w:r>
    </w:p>
    <w:p w14:paraId="778CA4EF">
      <w:pPr>
        <w:spacing w:line="510" w:lineRule="exact"/>
        <w:ind w:firstLine="580" w:firstLineChars="25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收款单位：</w:t>
      </w:r>
    </w:p>
    <w:p w14:paraId="162EEBFC">
      <w:pPr>
        <w:spacing w:line="510" w:lineRule="exact"/>
        <w:ind w:firstLine="580" w:firstLineChars="25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开户银行：</w:t>
      </w:r>
    </w:p>
    <w:p w14:paraId="1C9C8CCB">
      <w:pPr>
        <w:spacing w:line="510" w:lineRule="exact"/>
        <w:ind w:firstLine="580" w:firstLineChars="250"/>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帐    号：</w:t>
      </w:r>
    </w:p>
    <w:p w14:paraId="3FF78DB3">
      <w:pPr>
        <w:spacing w:line="510" w:lineRule="exact"/>
        <w:ind w:firstLine="600" w:firstLineChars="25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3.因甲方使用的是财政资金，按政府审批流程支付，若审批延迟则相应货款到账延迟，且不视为甲方违约。</w:t>
      </w:r>
    </w:p>
    <w:p w14:paraId="351E7438">
      <w:pPr>
        <w:spacing w:line="510" w:lineRule="exact"/>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w:t>
      </w:r>
      <w:r>
        <w:rPr>
          <w:rFonts w:hint="eastAsia" w:asciiTheme="minorEastAsia" w:hAnsiTheme="minorEastAsia" w:eastAsiaTheme="minorEastAsia" w:cstheme="minorEastAsia"/>
          <w:b/>
          <w:color w:val="auto"/>
          <w:sz w:val="24"/>
          <w:szCs w:val="24"/>
          <w:lang w:eastAsia="zh-CN"/>
        </w:rPr>
        <w:t>四</w:t>
      </w:r>
      <w:r>
        <w:rPr>
          <w:rFonts w:hint="eastAsia" w:asciiTheme="minorEastAsia" w:hAnsiTheme="minorEastAsia" w:eastAsiaTheme="minorEastAsia" w:cstheme="minorEastAsia"/>
          <w:b/>
          <w:color w:val="auto"/>
          <w:sz w:val="24"/>
          <w:szCs w:val="24"/>
        </w:rPr>
        <w:t>条  搬迁验收</w:t>
      </w:r>
      <w:r>
        <w:rPr>
          <w:rFonts w:hint="eastAsia" w:asciiTheme="minorEastAsia" w:hAnsiTheme="minorEastAsia" w:eastAsiaTheme="minorEastAsia" w:cstheme="minorEastAsia"/>
          <w:b/>
          <w:color w:val="auto"/>
          <w:sz w:val="24"/>
          <w:szCs w:val="24"/>
          <w:lang w:val="en-US" w:eastAsia="zh-CN"/>
        </w:rPr>
        <w:t>要求</w:t>
      </w:r>
      <w:r>
        <w:rPr>
          <w:rFonts w:hint="eastAsia" w:asciiTheme="minorEastAsia" w:hAnsiTheme="minorEastAsia" w:eastAsiaTheme="minorEastAsia" w:cstheme="minorEastAsia"/>
          <w:b/>
          <w:color w:val="auto"/>
          <w:sz w:val="24"/>
          <w:szCs w:val="24"/>
        </w:rPr>
        <w:t>：</w:t>
      </w:r>
    </w:p>
    <w:p w14:paraId="492744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1.乙方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按照</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要求完成病案及图书清点、打包、搬运、拆包、上架、现场清理。</w:t>
      </w:r>
    </w:p>
    <w:p w14:paraId="59C7DF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实物账物相符，无丢失、缺页、破损、水渍、霉变；严格按原编号、分类、架位规范上架，排列整齐、检索正常。</w:t>
      </w:r>
    </w:p>
    <w:p w14:paraId="48D03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3.</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涉密资料严格保密，全程无外泄；作业未损坏场地及原有设施，无安全事故。</w:t>
      </w:r>
    </w:p>
    <w:p w14:paraId="5A700B14">
      <w:pPr>
        <w:spacing w:line="510" w:lineRule="exact"/>
        <w:ind w:firstLine="480" w:firstLineChars="200"/>
        <w:rPr>
          <w:rFonts w:hint="eastAsia" w:asciiTheme="minorEastAsia" w:hAnsiTheme="minorEastAsia" w:eastAsiaTheme="minorEastAsia" w:cstheme="minorEastAsia"/>
          <w:b/>
          <w:color w:val="auto"/>
          <w:sz w:val="24"/>
          <w:szCs w:val="24"/>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4.</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验收程序：</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完成全部搬迁服务后3日内向</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提交书面验收申请，由</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组织申请科室验收，验收合格后</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及</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双方在验收单上签字确认；验收不合格的，</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须在</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规定时限内无偿整改、重新整理、补位修复，直至验收合格。整改期间产生的所有费用由</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自行承担。</w:t>
      </w:r>
    </w:p>
    <w:p w14:paraId="10257BF2">
      <w:pPr>
        <w:spacing w:line="510" w:lineRule="exact"/>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w:t>
      </w:r>
      <w:r>
        <w:rPr>
          <w:rFonts w:hint="eastAsia" w:asciiTheme="minorEastAsia" w:hAnsiTheme="minorEastAsia" w:eastAsiaTheme="minorEastAsia" w:cstheme="minorEastAsia"/>
          <w:b/>
          <w:color w:val="auto"/>
          <w:sz w:val="24"/>
          <w:szCs w:val="24"/>
          <w:lang w:eastAsia="zh-CN"/>
        </w:rPr>
        <w:t>五</w:t>
      </w:r>
      <w:r>
        <w:rPr>
          <w:rFonts w:hint="eastAsia" w:asciiTheme="minorEastAsia" w:hAnsiTheme="minorEastAsia" w:eastAsiaTheme="minorEastAsia" w:cstheme="minorEastAsia"/>
          <w:b/>
          <w:color w:val="auto"/>
          <w:sz w:val="24"/>
          <w:szCs w:val="24"/>
        </w:rPr>
        <w:t>条  甲方的权利义务：</w:t>
      </w:r>
    </w:p>
    <w:p w14:paraId="0ABF787C">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甲方提供乙方搬迁服务所需的特定装卸货场地。</w:t>
      </w:r>
    </w:p>
    <w:p w14:paraId="617A5BD2">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甲方有权对乙方搬迁服务全过程进行监督检查。如发现问题，甲方可直接要求纠正或通知乙方处理，乙方应立即予以纠正处理。</w:t>
      </w:r>
    </w:p>
    <w:p w14:paraId="3FE3EFC9">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甲方要指派相关科室特定人员现场跟进该科室的物品搬运工作并对搬运物品的数量、损坏情况进行核对确认。</w:t>
      </w:r>
    </w:p>
    <w:p w14:paraId="0512C37A">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甲方应按约定向乙方支付搬迁服务费。</w:t>
      </w:r>
    </w:p>
    <w:p w14:paraId="3FA8B919">
      <w:pPr>
        <w:spacing w:line="510" w:lineRule="exact"/>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w:t>
      </w:r>
      <w:r>
        <w:rPr>
          <w:rFonts w:hint="eastAsia" w:asciiTheme="minorEastAsia" w:hAnsiTheme="minorEastAsia" w:eastAsia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条  乙方的权利义务：</w:t>
      </w:r>
    </w:p>
    <w:p w14:paraId="02EE14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1.</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本次搬运需严格遵循病历及图书管理相关规定，搬运过程需做好防潮、防撞、防破损处理，轻拿轻放，严禁野蛮装卸，全程专人看管，杜绝物资散落、破损、丢失或信息泄露，全程由</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负责所有搬运相关工作及费用。</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br w:type="textWrapping"/>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 xml:space="preserve">    </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2.</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搬运至新库房后，需按院方指定的区域、顺序摆放整齐，配合申请科室完成清点核对。</w:t>
      </w:r>
    </w:p>
    <w:p w14:paraId="330BB9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3.乙方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须全程遵守医院院区管理要求及安全管理规定，搬运过程不影响医院诊疗秩序。</w:t>
      </w:r>
    </w:p>
    <w:p w14:paraId="6331E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4.乙方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在服务开始前需制定搬迁方案（含新搬迁地点摆放方案）提交给</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，并根据商定后的搬迁方案提供服务范围内所需打包材料、转运车辆等全部物资及搬运人员数量的安排，确保整个服务过程安全、保密、无损坏及丢失。具体工作：需按照</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要求将病案及图书清点打包并做好编号、数量清点等工作；使用密封车辆将清点打包好的病案箱（袋）及图书转运至新搬迁地点，抵达新搬迁地点后二次全数清点核对，核对无误后方可归类上架，并做好现场清理。</w:t>
      </w:r>
    </w:p>
    <w:p w14:paraId="3F4611C4">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确保现场作业安全规范，并采取合理措施避免对他人造成损害。如</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搬运人员发生工伤事故，或</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工作造成他人损害，</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应依法承担责任</w:t>
      </w:r>
      <w:r>
        <w:rPr>
          <w:rFonts w:hint="eastAsia" w:asciiTheme="minorEastAsia" w:hAnsi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rPr>
        <w:t>不承担任何责任。</w:t>
      </w:r>
    </w:p>
    <w:p w14:paraId="599809AE">
      <w:pPr>
        <w:spacing w:line="510" w:lineRule="exact"/>
        <w:ind w:firstLine="600"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应在搬迁服务中维护设施设备完好。如因</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或其人员原因造成设施设备等物品损坏的，</w:t>
      </w:r>
      <w:r>
        <w:rPr>
          <w:rFonts w:hint="eastAsia" w:asciiTheme="minorEastAsia" w:hAnsi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rPr>
        <w:t>应承担赔偿责任。</w:t>
      </w:r>
    </w:p>
    <w:p w14:paraId="474354B2">
      <w:pPr>
        <w:spacing w:line="510" w:lineRule="exact"/>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乙方自行承担乙方搬运人员的工资、劳保福利、各项保险。</w:t>
      </w:r>
    </w:p>
    <w:p w14:paraId="6EE9A342">
      <w:pPr>
        <w:spacing w:line="510" w:lineRule="exact"/>
        <w:ind w:firstLine="241" w:firstLineChars="1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w:t>
      </w:r>
      <w:r>
        <w:rPr>
          <w:rFonts w:hint="eastAsia" w:asciiTheme="minorEastAsia" w:hAnsiTheme="minorEastAsia" w:eastAsiaTheme="minorEastAsia" w:cstheme="minorEastAsia"/>
          <w:b/>
          <w:color w:val="auto"/>
          <w:sz w:val="24"/>
          <w:szCs w:val="24"/>
          <w:lang w:eastAsia="zh-CN"/>
        </w:rPr>
        <w:t>七</w:t>
      </w:r>
      <w:r>
        <w:rPr>
          <w:rFonts w:hint="eastAsia" w:asciiTheme="minorEastAsia" w:hAnsiTheme="minorEastAsia" w:eastAsiaTheme="minorEastAsia" w:cstheme="minorEastAsia"/>
          <w:b/>
          <w:color w:val="auto"/>
          <w:sz w:val="24"/>
          <w:szCs w:val="24"/>
        </w:rPr>
        <w:t>条  违约责任：</w:t>
      </w:r>
    </w:p>
    <w:p w14:paraId="671BD5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1.</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逾期完工，每日按合同总价0.5%计收违约金，累计不超总价20%；逾期超10日，</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可解除合同并追偿损失。</w:t>
      </w:r>
    </w:p>
    <w:p w14:paraId="79D3CE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2.</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物品丢失、错放、损坏，由</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限期整改、修复或按价全额赔偿；涉密资料泄露，</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乙方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承担</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全部法律责任及经济赔偿。</w:t>
      </w:r>
    </w:p>
    <w:p w14:paraId="35D597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3.</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损坏</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设施设备，照价赔偿。拒不整改、整改仍不合格的，</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有权扣除服务款项。</w:t>
      </w:r>
    </w:p>
    <w:p w14:paraId="1E8431FA">
      <w:pPr>
        <w:spacing w:line="510" w:lineRule="exact"/>
        <w:ind w:firstLine="480" w:firstLineChars="200"/>
        <w:rPr>
          <w:rFonts w:hint="eastAsia" w:asciiTheme="minorEastAsia" w:hAnsiTheme="minorEastAsia" w:eastAsiaTheme="minorEastAsia" w:cstheme="minorEastAsia"/>
          <w:color w:val="auto"/>
          <w:sz w:val="24"/>
          <w:szCs w:val="24"/>
        </w:rPr>
      </w:pPr>
      <w:bookmarkStart w:id="0" w:name="_GoBack"/>
      <w:bookmarkEnd w:id="0"/>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4.</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所有违约金、赔偿款，</w:t>
      </w: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
        </w:rPr>
        <w:t>甲方</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可从</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合同</w:t>
      </w:r>
      <w:r>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
        </w:rPr>
        <w:t>款中直接抵扣。</w:t>
      </w:r>
      <w:r>
        <w:rPr>
          <w:rFonts w:hint="eastAsia" w:asciiTheme="minorEastAsia" w:hAnsiTheme="minorEastAsia" w:eastAsiaTheme="minorEastAsia" w:cstheme="minorEastAsia"/>
          <w:color w:val="auto"/>
          <w:sz w:val="24"/>
          <w:szCs w:val="24"/>
        </w:rPr>
        <w:t>  </w:t>
      </w:r>
    </w:p>
    <w:p w14:paraId="761E8140">
      <w:pPr>
        <w:spacing w:line="510" w:lineRule="exact"/>
        <w:ind w:firstLine="241" w:firstLineChars="1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w:t>
      </w:r>
      <w:r>
        <w:rPr>
          <w:rFonts w:hint="eastAsia" w:asciiTheme="minorEastAsia" w:hAnsiTheme="minorEastAsia" w:eastAsiaTheme="minorEastAsia" w:cstheme="minorEastAsia"/>
          <w:b/>
          <w:color w:val="auto"/>
          <w:sz w:val="24"/>
          <w:szCs w:val="24"/>
          <w:lang w:eastAsia="zh-CN"/>
        </w:rPr>
        <w:t>八</w:t>
      </w:r>
      <w:r>
        <w:rPr>
          <w:rFonts w:hint="eastAsia" w:asciiTheme="minorEastAsia" w:hAnsiTheme="minorEastAsia" w:eastAsiaTheme="minorEastAsia" w:cstheme="minorEastAsia"/>
          <w:b/>
          <w:color w:val="auto"/>
          <w:sz w:val="24"/>
          <w:szCs w:val="24"/>
        </w:rPr>
        <w:t>条  其他条款：</w:t>
      </w:r>
    </w:p>
    <w:p w14:paraId="56AA4057">
      <w:pPr>
        <w:spacing w:line="51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lang w:eastAsia="zh-CN"/>
        </w:rPr>
        <w:t>叁</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rPr>
        <w:t>执</w:t>
      </w:r>
      <w:r>
        <w:rPr>
          <w:rFonts w:hint="eastAsia" w:asciiTheme="minorEastAsia" w:hAnsiTheme="minorEastAsia" w:eastAsiaTheme="minorEastAsia" w:cstheme="minorEastAsia"/>
          <w:color w:val="auto"/>
          <w:sz w:val="24"/>
          <w:szCs w:val="24"/>
          <w:lang w:eastAsia="zh-CN"/>
        </w:rPr>
        <w:t>贰</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乙方执壹份，</w:t>
      </w:r>
      <w:r>
        <w:rPr>
          <w:rFonts w:hint="eastAsia" w:asciiTheme="minorEastAsia" w:hAnsiTheme="minorEastAsia" w:eastAsiaTheme="minorEastAsia" w:cstheme="minorEastAsia"/>
          <w:color w:val="auto"/>
          <w:sz w:val="24"/>
          <w:szCs w:val="24"/>
        </w:rPr>
        <w:t>合同经双方签字</w:t>
      </w:r>
      <w:r>
        <w:rPr>
          <w:rFonts w:hint="eastAsia" w:asciiTheme="minorEastAsia" w:hAnsiTheme="minorEastAsia" w:eastAsiaTheme="minorEastAsia" w:cstheme="minorEastAsia"/>
          <w:color w:val="auto"/>
          <w:sz w:val="24"/>
          <w:szCs w:val="24"/>
          <w:lang w:val="en-US" w:eastAsia="zh-CN"/>
        </w:rPr>
        <w:t>并</w:t>
      </w:r>
      <w:r>
        <w:rPr>
          <w:rFonts w:hint="eastAsia" w:asciiTheme="minorEastAsia" w:hAnsiTheme="minorEastAsia" w:eastAsiaTheme="minorEastAsia" w:cstheme="minorEastAsia"/>
          <w:color w:val="auto"/>
          <w:sz w:val="24"/>
          <w:szCs w:val="24"/>
        </w:rPr>
        <w:t>盖章后生效。未尽事宜，双方可另行协商签订补充合同，补充合同与本合同具有同等效力。</w:t>
      </w:r>
    </w:p>
    <w:p w14:paraId="4EE4DC1E">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2、签约双方在履约中发生争执和分歧，双方应通过友好协商解决，若经协商不能达成协议时，则由中山市第二人民法院提起诉讼。受理期间，双方应继续执行合同其余部分。</w:t>
      </w:r>
    </w:p>
    <w:p w14:paraId="55843F0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以下签署页，无正文</w:t>
      </w:r>
      <w:r>
        <w:rPr>
          <w:rFonts w:hint="eastAsia" w:asciiTheme="minorEastAsia" w:hAnsiTheme="minorEastAsia" w:eastAsiaTheme="minorEastAsia" w:cstheme="minorEastAsia"/>
          <w:color w:val="auto"/>
          <w:sz w:val="24"/>
          <w:szCs w:val="24"/>
          <w:lang w:eastAsia="zh-CN"/>
        </w:rPr>
        <w:t>）</w:t>
      </w:r>
    </w:p>
    <w:p w14:paraId="17E265F6">
      <w:pPr>
        <w:spacing w:line="510" w:lineRule="exact"/>
        <w:rPr>
          <w:rFonts w:hint="eastAsia" w:asciiTheme="minorEastAsia" w:hAnsiTheme="minorEastAsia" w:eastAsiaTheme="minorEastAsia" w:cstheme="minorEastAsia"/>
          <w:sz w:val="24"/>
          <w:szCs w:val="24"/>
          <w:u w:val="none"/>
        </w:rPr>
      </w:pPr>
    </w:p>
    <w:p w14:paraId="5CD63163">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p>
    <w:p w14:paraId="116CDA68">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甲方（盖章）：中山市黄圃人民医院             乙方（盖章）：</w:t>
      </w:r>
    </w:p>
    <w:p w14:paraId="0E70E324">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法定代表人或授权委托人签字：                法定代表人或授权委托人签字：                          </w:t>
      </w:r>
    </w:p>
    <w:p w14:paraId="3EF993A5">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地址：中山市黄圃镇龙安街32号               地址：</w:t>
      </w:r>
    </w:p>
    <w:p w14:paraId="56CE8C2D">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联系方式：0760-23210186                     联系方式： </w:t>
      </w:r>
    </w:p>
    <w:p w14:paraId="612907E6">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签订日期：     年   月    日                签订日期：    年   月    日</w:t>
      </w:r>
    </w:p>
    <w:p w14:paraId="78260975">
      <w:pPr>
        <w:spacing w:line="51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w:t>
      </w:r>
    </w:p>
    <w:p w14:paraId="0C536612">
      <w:pPr>
        <w:rPr>
          <w:sz w:val="24"/>
          <w:szCs w:val="24"/>
        </w:rPr>
      </w:pPr>
    </w:p>
    <w:sectPr>
      <w:footerReference r:id="rId3" w:type="default"/>
      <w:pgSz w:w="11906" w:h="16838"/>
      <w:pgMar w:top="1440" w:right="1080" w:bottom="1440" w:left="10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ED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1EC64">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941EC64">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ODI2ZTUyNjMzZGFkNDZlYWE3NzYwNTc4MWY2YjYifQ=="/>
  </w:docVars>
  <w:rsids>
    <w:rsidRoot w:val="0451181A"/>
    <w:rsid w:val="006E360A"/>
    <w:rsid w:val="00A6111B"/>
    <w:rsid w:val="00BE1545"/>
    <w:rsid w:val="00C04A78"/>
    <w:rsid w:val="02F57ACB"/>
    <w:rsid w:val="038C6584"/>
    <w:rsid w:val="03CE7CF1"/>
    <w:rsid w:val="0451181A"/>
    <w:rsid w:val="053378F1"/>
    <w:rsid w:val="0559353F"/>
    <w:rsid w:val="067D5CB0"/>
    <w:rsid w:val="07C70010"/>
    <w:rsid w:val="0B741D08"/>
    <w:rsid w:val="0E751115"/>
    <w:rsid w:val="157434E9"/>
    <w:rsid w:val="16A91E5F"/>
    <w:rsid w:val="17BF72ED"/>
    <w:rsid w:val="191153DE"/>
    <w:rsid w:val="195F288E"/>
    <w:rsid w:val="1C541681"/>
    <w:rsid w:val="1E474CC1"/>
    <w:rsid w:val="1F533717"/>
    <w:rsid w:val="20D75C06"/>
    <w:rsid w:val="2288155B"/>
    <w:rsid w:val="2A451294"/>
    <w:rsid w:val="2E3B6D27"/>
    <w:rsid w:val="33183376"/>
    <w:rsid w:val="35CD7A1C"/>
    <w:rsid w:val="3DB17760"/>
    <w:rsid w:val="3DCE0AD8"/>
    <w:rsid w:val="3E4C0B65"/>
    <w:rsid w:val="3E751E90"/>
    <w:rsid w:val="3FFF2A05"/>
    <w:rsid w:val="41050C6E"/>
    <w:rsid w:val="41B8730F"/>
    <w:rsid w:val="48775E4A"/>
    <w:rsid w:val="4A820FA1"/>
    <w:rsid w:val="5B5A702F"/>
    <w:rsid w:val="5F4C48B9"/>
    <w:rsid w:val="633B5DEA"/>
    <w:rsid w:val="66515DBA"/>
    <w:rsid w:val="67450EC8"/>
    <w:rsid w:val="67A83400"/>
    <w:rsid w:val="6CBD1C5C"/>
    <w:rsid w:val="6E2C05BA"/>
    <w:rsid w:val="72E30868"/>
    <w:rsid w:val="74213C40"/>
    <w:rsid w:val="76C84CFD"/>
    <w:rsid w:val="798C3CB7"/>
    <w:rsid w:val="7C02498D"/>
    <w:rsid w:val="7C1C5D9D"/>
    <w:rsid w:val="7D821FA4"/>
    <w:rsid w:val="7F355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2" w:lineRule="atLeast"/>
    </w:pPr>
    <w:rPr>
      <w:kern w:val="0"/>
      <w:sz w:val="24"/>
      <w:szCs w:val="20"/>
    </w:rPr>
  </w:style>
  <w:style w:type="paragraph" w:styleId="3">
    <w:name w:val="toc 5"/>
    <w:basedOn w:val="1"/>
    <w:next w:val="1"/>
    <w:qFormat/>
    <w:uiPriority w:val="0"/>
    <w:pPr>
      <w:ind w:left="1680" w:leftChars="8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表格文字"/>
    <w:basedOn w:val="1"/>
    <w:next w:val="2"/>
    <w:qFormat/>
    <w:uiPriority w:val="0"/>
    <w:pPr>
      <w:spacing w:before="25" w:after="25"/>
      <w:jc w:val="left"/>
    </w:pPr>
    <w:rPr>
      <w:rFonts w:ascii="宋体"/>
      <w:bCs/>
      <w:spacing w:val="10"/>
      <w:kern w:val="0"/>
      <w:sz w:val="24"/>
      <w:szCs w:val="20"/>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2639</Words>
  <Characters>2737</Characters>
  <Lines>15</Lines>
  <Paragraphs>4</Paragraphs>
  <TotalTime>3</TotalTime>
  <ScaleCrop>false</ScaleCrop>
  <LinksUpToDate>false</LinksUpToDate>
  <CharactersWithSpaces>2851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2021-01-06T03:22:00Z</dcterms:created>
  <dc:creator>annie</dc:creator>
  <cp:lastModifiedBy>燕</cp:lastModifiedBy>
  <dcterms:modified xsi:type="dcterms:W3CDTF">2026-06-22T14:43:41Z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F81900769071455786B02BE750EEB6B6_13</vt:lpwstr>
  </property>
  <property fmtid="{D5CDD505-2E9C-101B-9397-08002B2CF9AE}" pid="4" name="KSOTemplateDocerSaveRecord">
    <vt:lpwstr>eyJoZGlkIjoiZjFmZWIzNDg2MmIzZjExOTIzMmViNTBmYTMwYTk0ZWYiLCJ1c2VySWQiOiI1MDEzNzQyOTUifQ==</vt:lpwstr>
  </property>
</Properties>
</file>