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95299">
      <w:pPr>
        <w:pStyle w:val="2"/>
        <w:pageBreakBefore w:val="0"/>
        <w:kinsoku/>
        <w:wordWrap/>
        <w:overflowPunct/>
        <w:topLinePunct w:val="0"/>
        <w:autoSpaceDE/>
        <w:autoSpaceDN/>
        <w:bidi w:val="0"/>
        <w:adjustRightInd/>
        <w:snapToGrid/>
        <w:spacing w:line="480" w:lineRule="exact"/>
        <w:jc w:val="left"/>
        <w:rPr>
          <w:rFonts w:hint="eastAsia" w:ascii="微软雅黑" w:hAnsi="微软雅黑" w:eastAsia="微软雅黑" w:cs="微软雅黑"/>
          <w:b w:val="0"/>
          <w:bCs/>
          <w:sz w:val="24"/>
          <w:szCs w:val="24"/>
          <w:lang w:eastAsia="zh-CN"/>
        </w:rPr>
      </w:pPr>
      <w:r>
        <w:rPr>
          <w:rFonts w:hint="eastAsia" w:ascii="微软雅黑" w:hAnsi="微软雅黑" w:eastAsia="微软雅黑" w:cs="微软雅黑"/>
          <w:b w:val="0"/>
          <w:bCs/>
          <w:sz w:val="24"/>
          <w:szCs w:val="24"/>
          <w:lang w:eastAsia="zh-CN"/>
        </w:rPr>
        <w:t>附件</w:t>
      </w:r>
      <w:r>
        <w:rPr>
          <w:rFonts w:hint="eastAsia" w:ascii="微软雅黑" w:hAnsi="微软雅黑" w:eastAsia="微软雅黑" w:cs="微软雅黑"/>
          <w:b w:val="0"/>
          <w:bCs/>
          <w:sz w:val="24"/>
          <w:szCs w:val="24"/>
          <w:lang w:val="en-US" w:eastAsia="zh-CN"/>
        </w:rPr>
        <w:t>1：</w:t>
      </w:r>
    </w:p>
    <w:p w14:paraId="02C34B2A">
      <w:pPr>
        <w:pStyle w:val="2"/>
        <w:pageBreakBefore w:val="0"/>
        <w:kinsoku/>
        <w:wordWrap/>
        <w:overflowPunct/>
        <w:topLinePunct w:val="0"/>
        <w:autoSpaceDE/>
        <w:autoSpaceDN/>
        <w:bidi w:val="0"/>
        <w:adjustRightInd/>
        <w:snapToGrid/>
        <w:spacing w:line="480" w:lineRule="exact"/>
        <w:jc w:val="center"/>
        <w:rPr>
          <w:rFonts w:hint="eastAsia" w:ascii="宋体" w:hAnsi="宋体" w:eastAsia="宋体" w:cs="宋体"/>
          <w:b/>
          <w:bCs/>
          <w:i w:val="0"/>
          <w:iCs w:val="0"/>
          <w:caps w:val="0"/>
          <w:color w:val="auto"/>
          <w:spacing w:val="0"/>
          <w:sz w:val="28"/>
          <w:szCs w:val="28"/>
          <w:highlight w:val="none"/>
          <w:shd w:val="clear" w:color="auto" w:fill="FFFFFF"/>
          <w:vertAlign w:val="baseline"/>
          <w:lang w:eastAsia="zh-CN"/>
        </w:rPr>
      </w:pPr>
      <w:r>
        <w:rPr>
          <w:rFonts w:hint="eastAsia" w:ascii="微软雅黑" w:hAnsi="微软雅黑" w:eastAsia="微软雅黑" w:cs="微软雅黑"/>
          <w:sz w:val="36"/>
          <w:szCs w:val="36"/>
          <w:lang w:eastAsia="zh-CN"/>
        </w:rPr>
        <w:t>用户</w:t>
      </w:r>
      <w:r>
        <w:rPr>
          <w:rFonts w:hint="eastAsia" w:ascii="微软雅黑" w:hAnsi="微软雅黑" w:eastAsia="微软雅黑" w:cs="微软雅黑"/>
          <w:sz w:val="36"/>
          <w:szCs w:val="36"/>
        </w:rPr>
        <w:t>需求</w:t>
      </w:r>
      <w:r>
        <w:rPr>
          <w:rFonts w:hint="eastAsia" w:ascii="微软雅黑" w:hAnsi="微软雅黑" w:eastAsia="微软雅黑" w:cs="微软雅黑"/>
          <w:sz w:val="36"/>
          <w:szCs w:val="36"/>
          <w:lang w:eastAsia="zh-CN"/>
        </w:rPr>
        <w:t>书</w:t>
      </w:r>
    </w:p>
    <w:p w14:paraId="440003DB">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right="0" w:rightChars="0" w:firstLine="482" w:firstLineChars="200"/>
        <w:jc w:val="both"/>
        <w:textAlignment w:val="baseline"/>
        <w:rPr>
          <w:rFonts w:hint="eastAsia" w:ascii="宋体" w:hAnsi="宋体" w:eastAsia="宋体" w:cs="宋体"/>
          <w:b/>
          <w:bCs/>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b/>
          <w:bCs/>
          <w:i w:val="0"/>
          <w:iCs w:val="0"/>
          <w:caps w:val="0"/>
          <w:color w:val="auto"/>
          <w:spacing w:val="0"/>
          <w:sz w:val="24"/>
          <w:szCs w:val="24"/>
          <w:highlight w:val="none"/>
          <w:shd w:val="clear" w:color="auto" w:fill="FFFFFF"/>
          <w:vertAlign w:val="baseline"/>
          <w:lang w:eastAsia="zh-CN"/>
        </w:rPr>
        <w:t>总则</w:t>
      </w:r>
    </w:p>
    <w:p w14:paraId="11201F9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1、成交供应商必须按国家、行业的标准及采购文件的要求对本项目提供相应的货物及服务。</w:t>
      </w:r>
    </w:p>
    <w:p w14:paraId="0C318B5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用户需求书》中凡有“★”标识的内容条款(如有)被视为实质性响应项目、指标；响应供应商必须对此做出回答并完全满足这些要求不可以出现任何负偏离，如果出现负偏离将被视为无效响应。凡有“▲”的内容（如有）为重点评审项目，供应商必须对该标识项目按照要求进行真实应答描述。</w:t>
      </w:r>
    </w:p>
    <w:p w14:paraId="09E0BEE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3、本项目由成交供应商负责采购文件对成交供应商要求的一切事宜及责任。响应报价中不得包含采购文件要求以外的内容，否则，在评审时不予核减；若响</w:t>
      </w:r>
      <w:bookmarkStart w:id="0" w:name="_GoBack"/>
      <w:bookmarkEnd w:id="0"/>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应报价有缺漏项的，缺漏项部分的价格视为已包含在响应报价中，成交后不作任何调整，采购人将不再支付任何费用。</w:t>
      </w:r>
    </w:p>
    <w:p w14:paraId="692D428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4、本项目不允许提交备选方案，不允许联合体响应、转包或分包。</w:t>
      </w:r>
    </w:p>
    <w:p w14:paraId="5CE9915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p>
    <w:p w14:paraId="72025D0C">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right="0" w:rightChars="0" w:firstLine="482" w:firstLineChars="200"/>
        <w:jc w:val="both"/>
        <w:textAlignment w:val="baseline"/>
        <w:rPr>
          <w:rFonts w:hint="eastAsia" w:ascii="宋体" w:hAnsi="宋体" w:eastAsia="宋体" w:cs="宋体"/>
          <w:b/>
          <w:color w:val="auto"/>
          <w:sz w:val="24"/>
          <w:szCs w:val="24"/>
          <w:highlight w:val="none"/>
          <w:lang w:eastAsia="zh-CN"/>
        </w:rPr>
      </w:pPr>
      <w:r>
        <w:rPr>
          <w:rFonts w:hint="eastAsia" w:ascii="宋体" w:hAnsi="宋体" w:eastAsia="宋体" w:cs="宋体"/>
          <w:b/>
          <w:bCs/>
          <w:i w:val="0"/>
          <w:iCs w:val="0"/>
          <w:caps w:val="0"/>
          <w:color w:val="auto"/>
          <w:spacing w:val="0"/>
          <w:sz w:val="24"/>
          <w:szCs w:val="24"/>
          <w:highlight w:val="none"/>
          <w:shd w:val="clear" w:color="auto" w:fill="FFFFFF"/>
          <w:vertAlign w:val="baseline"/>
          <w:lang w:eastAsia="zh-CN"/>
        </w:rPr>
        <w:t>一、</w:t>
      </w:r>
      <w:r>
        <w:rPr>
          <w:rFonts w:hint="eastAsia" w:ascii="宋体" w:hAnsi="宋体" w:eastAsia="宋体" w:cs="宋体"/>
          <w:b/>
          <w:bCs/>
          <w:i w:val="0"/>
          <w:iCs w:val="0"/>
          <w:caps w:val="0"/>
          <w:color w:val="auto"/>
          <w:spacing w:val="0"/>
          <w:sz w:val="24"/>
          <w:szCs w:val="24"/>
          <w:highlight w:val="none"/>
          <w:shd w:val="clear" w:color="auto" w:fill="FFFFFF"/>
          <w:vertAlign w:val="baseline"/>
        </w:rPr>
        <w:t>项目</w:t>
      </w:r>
      <w:r>
        <w:rPr>
          <w:rFonts w:hint="eastAsia" w:ascii="宋体" w:hAnsi="宋体" w:eastAsia="宋体" w:cs="宋体"/>
          <w:b/>
          <w:bCs/>
          <w:i w:val="0"/>
          <w:iCs w:val="0"/>
          <w:caps w:val="0"/>
          <w:color w:val="auto"/>
          <w:spacing w:val="0"/>
          <w:sz w:val="24"/>
          <w:szCs w:val="24"/>
          <w:highlight w:val="none"/>
          <w:shd w:val="clear" w:color="auto" w:fill="FFFFFF"/>
          <w:vertAlign w:val="baseline"/>
          <w:lang w:eastAsia="zh-CN"/>
        </w:rPr>
        <w:t>概</w:t>
      </w:r>
      <w:r>
        <w:rPr>
          <w:rFonts w:hint="eastAsia" w:ascii="宋体" w:hAnsi="宋体" w:eastAsia="宋体" w:cs="宋体"/>
          <w:b/>
          <w:bCs/>
          <w:i w:val="0"/>
          <w:iCs w:val="0"/>
          <w:caps w:val="0"/>
          <w:color w:val="auto"/>
          <w:spacing w:val="0"/>
          <w:sz w:val="24"/>
          <w:szCs w:val="24"/>
          <w:highlight w:val="none"/>
          <w:shd w:val="clear" w:color="auto" w:fill="FFFFFF"/>
          <w:vertAlign w:val="baseline"/>
        </w:rPr>
        <w:t>况</w:t>
      </w:r>
    </w:p>
    <w:p w14:paraId="0966A95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（一）项目名称：中山市黄圃人民医院病案及图书搬迁服务项目</w:t>
      </w:r>
    </w:p>
    <w:p w14:paraId="4537FC6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default"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（二）项目编号：PYCG-ZW-202606-18</w:t>
      </w:r>
    </w:p>
    <w:p w14:paraId="551C34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（三）项目概述：因采购人工作规划需要，拟委托一家具有相应资质的供应商提供病案及图书搬迁服务，搬迁服务清单详见附表。</w:t>
      </w:r>
    </w:p>
    <w:p w14:paraId="434B943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default"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（四）采购预算：53600元，其中病案搬迁预算40700元、图书搬迁预算12900元。</w:t>
      </w:r>
    </w:p>
    <w:p w14:paraId="638BCAA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（五）本项目不接受联合体响应,不允许转包或分包。</w:t>
      </w:r>
    </w:p>
    <w:p w14:paraId="6070FEA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p>
    <w:p w14:paraId="250FD3C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p>
    <w:p w14:paraId="2FC1A0E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p>
    <w:p w14:paraId="19F6C54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p>
    <w:p w14:paraId="7ED25B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p>
    <w:p w14:paraId="388622A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p>
    <w:p w14:paraId="2F73FDB3">
      <w:pPr>
        <w:pageBreakBefore w:val="0"/>
        <w:widowControl/>
        <w:kinsoku/>
        <w:wordWrap/>
        <w:overflowPunct/>
        <w:topLinePunct w:val="0"/>
        <w:autoSpaceDE/>
        <w:autoSpaceDN/>
        <w:bidi w:val="0"/>
        <w:adjustRightInd/>
        <w:snapToGrid/>
        <w:spacing w:line="480" w:lineRule="exact"/>
        <w:jc w:val="left"/>
        <w:rPr>
          <w:rFonts w:hint="default" w:ascii="宋体" w:hAnsi="宋体" w:cs="宋体" w:eastAsiaTheme="minorEastAsia"/>
          <w:b/>
          <w:bCs/>
          <w:kern w:val="0"/>
          <w:sz w:val="24"/>
          <w:szCs w:val="24"/>
          <w:lang w:val="en-US" w:eastAsia="zh-CN"/>
        </w:rPr>
      </w:pPr>
      <w:r>
        <w:rPr>
          <w:rFonts w:hint="eastAsia" w:ascii="宋体" w:hAnsi="宋体" w:cs="宋体"/>
          <w:b/>
          <w:bCs/>
          <w:kern w:val="0"/>
          <w:sz w:val="24"/>
          <w:szCs w:val="24"/>
          <w:lang w:val="en-US" w:eastAsia="zh-CN"/>
        </w:rPr>
        <w:t>二</w:t>
      </w:r>
      <w:r>
        <w:rPr>
          <w:rFonts w:hint="eastAsia" w:ascii="宋体" w:hAnsi="宋体" w:cs="宋体"/>
          <w:b/>
          <w:bCs/>
          <w:kern w:val="0"/>
          <w:sz w:val="24"/>
          <w:szCs w:val="24"/>
        </w:rPr>
        <w:t>、</w:t>
      </w:r>
      <w:r>
        <w:rPr>
          <w:rFonts w:hint="eastAsia" w:ascii="宋体" w:hAnsi="宋体" w:cs="宋体"/>
          <w:b/>
          <w:bCs/>
          <w:kern w:val="0"/>
          <w:sz w:val="24"/>
          <w:szCs w:val="24"/>
          <w:lang w:val="en-US" w:eastAsia="zh-CN"/>
        </w:rPr>
        <w:t>采购内容及要求</w:t>
      </w:r>
    </w:p>
    <w:p w14:paraId="03777B1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cs="宋体"/>
          <w:b/>
          <w:bCs/>
          <w:kern w:val="0"/>
          <w:sz w:val="24"/>
          <w:szCs w:val="24"/>
        </w:rPr>
      </w:pPr>
      <w:r>
        <w:rPr>
          <w:rFonts w:hint="eastAsia" w:ascii="宋体" w:hAnsi="宋体" w:cs="宋体"/>
          <w:b/>
          <w:bCs/>
          <w:kern w:val="0"/>
          <w:sz w:val="24"/>
          <w:szCs w:val="24"/>
          <w:lang w:eastAsia="zh-CN"/>
        </w:rPr>
        <w:t>（</w:t>
      </w:r>
      <w:r>
        <w:rPr>
          <w:rFonts w:hint="eastAsia" w:ascii="宋体" w:hAnsi="宋体" w:cs="宋体"/>
          <w:b/>
          <w:bCs/>
          <w:kern w:val="0"/>
          <w:sz w:val="24"/>
          <w:szCs w:val="24"/>
          <w:lang w:val="en-US" w:eastAsia="zh-CN"/>
        </w:rPr>
        <w:t>一</w:t>
      </w:r>
      <w:r>
        <w:rPr>
          <w:rFonts w:hint="eastAsia" w:ascii="宋体" w:hAnsi="宋体" w:cs="宋体"/>
          <w:b/>
          <w:bCs/>
          <w:kern w:val="0"/>
          <w:sz w:val="24"/>
          <w:szCs w:val="24"/>
          <w:lang w:eastAsia="zh-CN"/>
        </w:rPr>
        <w:t>）</w:t>
      </w:r>
      <w:r>
        <w:rPr>
          <w:rFonts w:hint="eastAsia" w:ascii="宋体" w:hAnsi="宋体" w:cs="宋体"/>
          <w:b/>
          <w:bCs/>
          <w:kern w:val="0"/>
          <w:sz w:val="24"/>
          <w:szCs w:val="24"/>
        </w:rPr>
        <w:t>项目清单、技术、服务要求</w:t>
      </w:r>
      <w:r>
        <w:rPr>
          <w:rFonts w:hint="eastAsia" w:ascii="宋体" w:hAnsi="宋体" w:cs="宋体"/>
          <w:b/>
          <w:bCs/>
          <w:kern w:val="0"/>
          <w:sz w:val="24"/>
          <w:szCs w:val="24"/>
          <w:lang w:eastAsia="zh-CN"/>
        </w:rPr>
        <w:t>（</w:t>
      </w:r>
      <w:r>
        <w:rPr>
          <w:rFonts w:hint="eastAsia" w:ascii="宋体" w:hAnsi="宋体" w:cs="宋体"/>
          <w:b/>
          <w:bCs/>
          <w:kern w:val="0"/>
          <w:sz w:val="24"/>
          <w:szCs w:val="24"/>
          <w:lang w:val="en-US" w:eastAsia="zh-CN"/>
        </w:rPr>
        <w:t>附表</w:t>
      </w:r>
      <w:r>
        <w:rPr>
          <w:rFonts w:hint="eastAsia" w:ascii="宋体" w:hAnsi="宋体" w:cs="宋体"/>
          <w:b/>
          <w:bCs/>
          <w:kern w:val="0"/>
          <w:sz w:val="24"/>
          <w:szCs w:val="24"/>
          <w:lang w:eastAsia="zh-CN"/>
        </w:rPr>
        <w:t>）</w:t>
      </w:r>
      <w:r>
        <w:rPr>
          <w:rFonts w:hint="eastAsia" w:ascii="宋体" w:hAnsi="宋体" w:cs="宋体"/>
          <w:b/>
          <w:bCs/>
          <w:kern w:val="0"/>
          <w:sz w:val="24"/>
          <w:szCs w:val="24"/>
        </w:rPr>
        <w:t>：</w:t>
      </w:r>
    </w:p>
    <w:tbl>
      <w:tblPr>
        <w:tblStyle w:val="9"/>
        <w:tblW w:w="10375" w:type="dxa"/>
        <w:tblInd w:w="-89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25"/>
        <w:gridCol w:w="1225"/>
        <w:gridCol w:w="1188"/>
        <w:gridCol w:w="2300"/>
        <w:gridCol w:w="1476"/>
        <w:gridCol w:w="1750"/>
        <w:gridCol w:w="1049"/>
        <w:gridCol w:w="762"/>
      </w:tblGrid>
      <w:tr w14:paraId="3F174F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6" w:hRule="atLeast"/>
        </w:trPr>
        <w:tc>
          <w:tcPr>
            <w:tcW w:w="10375" w:type="dxa"/>
            <w:gridSpan w:val="8"/>
            <w:vAlign w:val="center"/>
          </w:tcPr>
          <w:p w14:paraId="0C2061B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b/>
                <w:bCs/>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cs="宋体" w:eastAsiaTheme="minorEastAsia"/>
                <w:b/>
                <w:bCs/>
                <w:i w:val="0"/>
                <w:iCs w:val="0"/>
                <w:caps w:val="0"/>
                <w:color w:val="auto"/>
                <w:spacing w:val="0"/>
                <w:kern w:val="0"/>
                <w:sz w:val="24"/>
                <w:szCs w:val="24"/>
                <w:highlight w:val="none"/>
                <w:shd w:val="clear" w:color="auto" w:fill="FFFFFF"/>
                <w:vertAlign w:val="baseline"/>
                <w:lang w:val="en-US" w:eastAsia="zh-CN" w:bidi="ar"/>
              </w:rPr>
              <w:t>搬迁服务清单</w:t>
            </w:r>
          </w:p>
        </w:tc>
      </w:tr>
      <w:tr w14:paraId="0148BE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6" w:hRule="atLeast"/>
        </w:trPr>
        <w:tc>
          <w:tcPr>
            <w:tcW w:w="10375" w:type="dxa"/>
            <w:gridSpan w:val="8"/>
            <w:vAlign w:val="center"/>
          </w:tcPr>
          <w:p w14:paraId="0A55017E">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eastAsiaTheme="minorEastAsia"/>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21"/>
                <w:szCs w:val="21"/>
                <w:highlight w:val="none"/>
                <w:shd w:val="clear" w:color="auto" w:fill="FFFFFF"/>
                <w:vertAlign w:val="baseline"/>
                <w:lang w:val="en-US" w:eastAsia="zh-CN" w:bidi="ar"/>
              </w:rPr>
              <w:t>申请科室：病案统计室、科教科</w:t>
            </w:r>
          </w:p>
        </w:tc>
      </w:tr>
      <w:tr w14:paraId="2900C1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2" w:hRule="atLeast"/>
        </w:trPr>
        <w:tc>
          <w:tcPr>
            <w:tcW w:w="625" w:type="dxa"/>
            <w:vAlign w:val="center"/>
          </w:tcPr>
          <w:p w14:paraId="0A9CA7C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序号</w:t>
            </w:r>
          </w:p>
        </w:tc>
        <w:tc>
          <w:tcPr>
            <w:tcW w:w="1225" w:type="dxa"/>
            <w:vAlign w:val="center"/>
          </w:tcPr>
          <w:p w14:paraId="0F6BA46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名称</w:t>
            </w:r>
          </w:p>
        </w:tc>
        <w:tc>
          <w:tcPr>
            <w:tcW w:w="1188" w:type="dxa"/>
            <w:vAlign w:val="center"/>
          </w:tcPr>
          <w:p w14:paraId="7B11E99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数量</w:t>
            </w:r>
          </w:p>
        </w:tc>
        <w:tc>
          <w:tcPr>
            <w:tcW w:w="2300" w:type="dxa"/>
            <w:vAlign w:val="center"/>
          </w:tcPr>
          <w:p w14:paraId="1FFF6A5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要求</w:t>
            </w:r>
          </w:p>
        </w:tc>
        <w:tc>
          <w:tcPr>
            <w:tcW w:w="1476" w:type="dxa"/>
            <w:vAlign w:val="center"/>
          </w:tcPr>
          <w:p w14:paraId="6691667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尺寸</w:t>
            </w:r>
          </w:p>
        </w:tc>
        <w:tc>
          <w:tcPr>
            <w:tcW w:w="1750" w:type="dxa"/>
            <w:vAlign w:val="center"/>
          </w:tcPr>
          <w:p w14:paraId="4C5A4E6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照片</w:t>
            </w:r>
          </w:p>
        </w:tc>
        <w:tc>
          <w:tcPr>
            <w:tcW w:w="1049" w:type="dxa"/>
            <w:vAlign w:val="center"/>
          </w:tcPr>
          <w:p w14:paraId="0B6C030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cs="Times New Roman"/>
                <w:kern w:val="0"/>
                <w:sz w:val="18"/>
                <w:szCs w:val="18"/>
                <w:lang w:val="en-US" w:eastAsia="zh-CN"/>
              </w:rPr>
              <w:t>原存放地点</w:t>
            </w:r>
          </w:p>
        </w:tc>
        <w:tc>
          <w:tcPr>
            <w:tcW w:w="762" w:type="dxa"/>
            <w:vAlign w:val="center"/>
          </w:tcPr>
          <w:p w14:paraId="0923001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kern w:val="0"/>
                <w:sz w:val="18"/>
                <w:szCs w:val="18"/>
              </w:rPr>
              <w:t>搬迁目的地</w:t>
            </w:r>
          </w:p>
        </w:tc>
      </w:tr>
      <w:tr w14:paraId="718A81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23" w:hRule="atLeast"/>
        </w:trPr>
        <w:tc>
          <w:tcPr>
            <w:tcW w:w="625" w:type="dxa"/>
            <w:vAlign w:val="center"/>
          </w:tcPr>
          <w:p w14:paraId="1C12A58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1</w:t>
            </w:r>
          </w:p>
        </w:tc>
        <w:tc>
          <w:tcPr>
            <w:tcW w:w="1225" w:type="dxa"/>
            <w:vAlign w:val="center"/>
          </w:tcPr>
          <w:p w14:paraId="458B1BD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金属材料病案架</w:t>
            </w:r>
          </w:p>
        </w:tc>
        <w:tc>
          <w:tcPr>
            <w:tcW w:w="1188" w:type="dxa"/>
            <w:vAlign w:val="center"/>
          </w:tcPr>
          <w:p w14:paraId="4BCBC0B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38个</w:t>
            </w:r>
          </w:p>
        </w:tc>
        <w:tc>
          <w:tcPr>
            <w:tcW w:w="2300" w:type="dxa"/>
            <w:vAlign w:val="center"/>
          </w:tcPr>
          <w:p w14:paraId="1BCED09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不需要拆卸和安装</w:t>
            </w:r>
            <w:r>
              <w:rPr>
                <w:rFonts w:hint="eastAsia" w:ascii="宋体" w:hAnsi="宋体" w:cs="宋体"/>
                <w:i w:val="0"/>
                <w:iCs w:val="0"/>
                <w:caps w:val="0"/>
                <w:color w:val="auto"/>
                <w:spacing w:val="0"/>
                <w:kern w:val="0"/>
                <w:sz w:val="18"/>
                <w:szCs w:val="18"/>
                <w:highlight w:val="none"/>
                <w:shd w:val="clear" w:color="auto" w:fill="FFFFFF"/>
                <w:vertAlign w:val="baseline"/>
                <w:lang w:val="en-US" w:eastAsia="zh-CN" w:bidi="ar"/>
              </w:rPr>
              <w:t>。</w:t>
            </w:r>
          </w:p>
          <w:p w14:paraId="4FC88CE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p>
        </w:tc>
        <w:tc>
          <w:tcPr>
            <w:tcW w:w="1476" w:type="dxa"/>
            <w:vAlign w:val="center"/>
          </w:tcPr>
          <w:p w14:paraId="67704AF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200cm*40cm*210cm</w:t>
            </w:r>
            <w:r>
              <w:rPr>
                <w:rFonts w:hint="eastAsia" w:ascii="宋体" w:hAnsi="宋体" w:cs="宋体"/>
                <w:i w:val="0"/>
                <w:iCs w:val="0"/>
                <w:caps w:val="0"/>
                <w:color w:val="auto"/>
                <w:spacing w:val="0"/>
                <w:kern w:val="0"/>
                <w:sz w:val="18"/>
                <w:szCs w:val="18"/>
                <w:highlight w:val="none"/>
                <w:shd w:val="clear" w:color="auto" w:fill="FFFFFF"/>
                <w:vertAlign w:val="baseline"/>
                <w:lang w:val="en-US" w:eastAsia="zh-CN" w:bidi="ar"/>
              </w:rPr>
              <w:t>（</w:t>
            </w: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病案架净重约 200 kg/个</w:t>
            </w:r>
            <w:r>
              <w:rPr>
                <w:rFonts w:hint="eastAsia" w:ascii="宋体" w:hAnsi="宋体" w:cs="宋体"/>
                <w:i w:val="0"/>
                <w:iCs w:val="0"/>
                <w:caps w:val="0"/>
                <w:color w:val="auto"/>
                <w:spacing w:val="0"/>
                <w:kern w:val="0"/>
                <w:sz w:val="18"/>
                <w:szCs w:val="18"/>
                <w:highlight w:val="none"/>
                <w:shd w:val="clear" w:color="auto" w:fill="FFFFFF"/>
                <w:vertAlign w:val="baseline"/>
                <w:lang w:val="en-US" w:eastAsia="zh-CN" w:bidi="ar"/>
              </w:rPr>
              <w:t>）</w:t>
            </w:r>
          </w:p>
        </w:tc>
        <w:tc>
          <w:tcPr>
            <w:tcW w:w="1750" w:type="dxa"/>
            <w:vAlign w:val="center"/>
          </w:tcPr>
          <w:p w14:paraId="6BE603B6">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drawing>
                <wp:anchor distT="0" distB="0" distL="114300" distR="114300" simplePos="0" relativeHeight="251659264" behindDoc="0" locked="0" layoutInCell="1" allowOverlap="1">
                  <wp:simplePos x="0" y="0"/>
                  <wp:positionH relativeFrom="column">
                    <wp:posOffset>20320</wp:posOffset>
                  </wp:positionH>
                  <wp:positionV relativeFrom="paragraph">
                    <wp:posOffset>27305</wp:posOffset>
                  </wp:positionV>
                  <wp:extent cx="966470" cy="847725"/>
                  <wp:effectExtent l="0" t="0" r="8890" b="5715"/>
                  <wp:wrapNone/>
                  <wp:docPr id="3" name="图片 1" descr="病案架（金属材质）(38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病案架（金属材质）(38个)"/>
                          <pic:cNvPicPr>
                            <a:picLocks noChangeAspect="1"/>
                          </pic:cNvPicPr>
                        </pic:nvPicPr>
                        <pic:blipFill>
                          <a:blip r:embed="rId4"/>
                          <a:stretch>
                            <a:fillRect/>
                          </a:stretch>
                        </pic:blipFill>
                        <pic:spPr>
                          <a:xfrm>
                            <a:off x="0" y="0"/>
                            <a:ext cx="966470" cy="847725"/>
                          </a:xfrm>
                          <a:prstGeom prst="rect">
                            <a:avLst/>
                          </a:prstGeom>
                          <a:noFill/>
                          <a:ln>
                            <a:noFill/>
                          </a:ln>
                        </pic:spPr>
                      </pic:pic>
                    </a:graphicData>
                  </a:graphic>
                </wp:anchor>
              </w:drawing>
            </w:r>
          </w:p>
        </w:tc>
        <w:tc>
          <w:tcPr>
            <w:tcW w:w="1049" w:type="dxa"/>
            <w:vAlign w:val="center"/>
          </w:tcPr>
          <w:p w14:paraId="70CC14F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医院医技楼七楼　</w:t>
            </w:r>
          </w:p>
        </w:tc>
        <w:tc>
          <w:tcPr>
            <w:tcW w:w="762" w:type="dxa"/>
            <w:vMerge w:val="restart"/>
            <w:vAlign w:val="center"/>
          </w:tcPr>
          <w:p w14:paraId="60CAC9D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cs="宋体"/>
                <w:i w:val="0"/>
                <w:iCs w:val="0"/>
                <w:caps w:val="0"/>
                <w:color w:val="auto"/>
                <w:spacing w:val="0"/>
                <w:kern w:val="0"/>
                <w:sz w:val="21"/>
                <w:szCs w:val="21"/>
                <w:highlight w:val="none"/>
                <w:shd w:val="clear" w:color="auto" w:fill="FFFFFF"/>
                <w:vertAlign w:val="baseline"/>
                <w:lang w:val="en-US" w:eastAsia="zh-CN" w:bidi="ar"/>
              </w:rPr>
              <w:t>黄圃镇</w:t>
            </w:r>
            <w:r>
              <w:rPr>
                <w:rFonts w:hint="eastAsia" w:ascii="宋体" w:hAnsi="宋体" w:cs="宋体" w:eastAsiaTheme="minorEastAsia"/>
                <w:i w:val="0"/>
                <w:iCs w:val="0"/>
                <w:caps w:val="0"/>
                <w:color w:val="auto"/>
                <w:spacing w:val="0"/>
                <w:kern w:val="0"/>
                <w:sz w:val="21"/>
                <w:szCs w:val="21"/>
                <w:highlight w:val="none"/>
                <w:shd w:val="clear" w:color="auto" w:fill="FFFFFF"/>
                <w:vertAlign w:val="baseline"/>
                <w:lang w:val="en-US" w:eastAsia="zh-CN" w:bidi="ar"/>
              </w:rPr>
              <w:t>龙安街138号之一首层</w:t>
            </w:r>
            <w:r>
              <w:rPr>
                <w:rFonts w:hint="eastAsia" w:ascii="宋体" w:hAnsi="宋体" w:cs="宋体"/>
                <w:i w:val="0"/>
                <w:iCs w:val="0"/>
                <w:caps w:val="0"/>
                <w:color w:val="auto"/>
                <w:spacing w:val="0"/>
                <w:kern w:val="0"/>
                <w:sz w:val="21"/>
                <w:szCs w:val="21"/>
                <w:highlight w:val="none"/>
                <w:shd w:val="clear" w:color="auto" w:fill="FFFFFF"/>
                <w:vertAlign w:val="baseline"/>
                <w:lang w:val="en-US" w:eastAsia="zh-CN" w:bidi="ar"/>
              </w:rPr>
              <w:t>库房</w:t>
            </w:r>
          </w:p>
          <w:p w14:paraId="3C18F7B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p>
        </w:tc>
      </w:tr>
      <w:tr w14:paraId="3FAE4D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25" w:type="dxa"/>
            <w:vAlign w:val="center"/>
          </w:tcPr>
          <w:p w14:paraId="2DEB92D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2</w:t>
            </w:r>
          </w:p>
        </w:tc>
        <w:tc>
          <w:tcPr>
            <w:tcW w:w="1225" w:type="dxa"/>
            <w:vAlign w:val="center"/>
          </w:tcPr>
          <w:p w14:paraId="6149CBE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木质材料病案架</w:t>
            </w:r>
          </w:p>
        </w:tc>
        <w:tc>
          <w:tcPr>
            <w:tcW w:w="1188" w:type="dxa"/>
            <w:vAlign w:val="center"/>
          </w:tcPr>
          <w:p w14:paraId="2B2ADB4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67个</w:t>
            </w:r>
          </w:p>
        </w:tc>
        <w:tc>
          <w:tcPr>
            <w:tcW w:w="2300" w:type="dxa"/>
            <w:vAlign w:val="center"/>
          </w:tcPr>
          <w:p w14:paraId="31C72491">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不需要拆卸和安装。木质材料病案架因多次搬迁已造成不可修复，注意搬运时避免拖拉、碰撞</w:t>
            </w:r>
            <w:r>
              <w:rPr>
                <w:rFonts w:hint="eastAsia" w:ascii="宋体" w:hAnsi="宋体" w:cs="宋体"/>
                <w:i w:val="0"/>
                <w:iCs w:val="0"/>
                <w:caps w:val="0"/>
                <w:color w:val="auto"/>
                <w:spacing w:val="0"/>
                <w:kern w:val="0"/>
                <w:sz w:val="18"/>
                <w:szCs w:val="18"/>
                <w:highlight w:val="none"/>
                <w:shd w:val="clear" w:color="auto" w:fill="FFFFFF"/>
                <w:vertAlign w:val="baseline"/>
                <w:lang w:val="en-US" w:eastAsia="zh-CN" w:bidi="ar"/>
              </w:rPr>
              <w:t>。</w:t>
            </w:r>
          </w:p>
          <w:p w14:paraId="6F30585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p>
        </w:tc>
        <w:tc>
          <w:tcPr>
            <w:tcW w:w="1476" w:type="dxa"/>
            <w:vAlign w:val="center"/>
          </w:tcPr>
          <w:p w14:paraId="364999E6">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200cm*35cm*210cm</w:t>
            </w:r>
            <w:r>
              <w:rPr>
                <w:rFonts w:hint="eastAsia" w:ascii="宋体" w:hAnsi="宋体" w:cs="宋体"/>
                <w:i w:val="0"/>
                <w:iCs w:val="0"/>
                <w:caps w:val="0"/>
                <w:color w:val="auto"/>
                <w:spacing w:val="0"/>
                <w:kern w:val="0"/>
                <w:sz w:val="18"/>
                <w:szCs w:val="18"/>
                <w:highlight w:val="none"/>
                <w:shd w:val="clear" w:color="auto" w:fill="FFFFFF"/>
                <w:vertAlign w:val="baseline"/>
                <w:lang w:val="en-US" w:eastAsia="zh-CN" w:bidi="ar"/>
              </w:rPr>
              <w:t>（</w:t>
            </w: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病案架净重约 150 kg/个</w:t>
            </w:r>
            <w:r>
              <w:rPr>
                <w:rFonts w:hint="eastAsia" w:ascii="宋体" w:hAnsi="宋体" w:cs="宋体"/>
                <w:i w:val="0"/>
                <w:iCs w:val="0"/>
                <w:caps w:val="0"/>
                <w:color w:val="auto"/>
                <w:spacing w:val="0"/>
                <w:kern w:val="0"/>
                <w:sz w:val="18"/>
                <w:szCs w:val="18"/>
                <w:highlight w:val="none"/>
                <w:shd w:val="clear" w:color="auto" w:fill="FFFFFF"/>
                <w:vertAlign w:val="baseline"/>
                <w:lang w:val="en-US" w:eastAsia="zh-CN" w:bidi="ar"/>
              </w:rPr>
              <w:t>）</w:t>
            </w:r>
          </w:p>
        </w:tc>
        <w:tc>
          <w:tcPr>
            <w:tcW w:w="1750" w:type="dxa"/>
            <w:vAlign w:val="center"/>
          </w:tcPr>
          <w:p w14:paraId="1361012F">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drawing>
                <wp:anchor distT="0" distB="0" distL="114300" distR="114300" simplePos="0" relativeHeight="251660288" behindDoc="0" locked="0" layoutInCell="1" allowOverlap="1">
                  <wp:simplePos x="0" y="0"/>
                  <wp:positionH relativeFrom="column">
                    <wp:posOffset>24130</wp:posOffset>
                  </wp:positionH>
                  <wp:positionV relativeFrom="paragraph">
                    <wp:posOffset>81280</wp:posOffset>
                  </wp:positionV>
                  <wp:extent cx="920750" cy="1036955"/>
                  <wp:effectExtent l="0" t="0" r="0" b="0"/>
                  <wp:wrapNone/>
                  <wp:docPr id="2" name="图片 2" descr="病案架（木材材质）（67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病案架（木材材质）（67个）"/>
                          <pic:cNvPicPr>
                            <a:picLocks noChangeAspect="1"/>
                          </pic:cNvPicPr>
                        </pic:nvPicPr>
                        <pic:blipFill>
                          <a:blip r:embed="rId5"/>
                          <a:srcRect t="22238"/>
                          <a:stretch>
                            <a:fillRect/>
                          </a:stretch>
                        </pic:blipFill>
                        <pic:spPr>
                          <a:xfrm>
                            <a:off x="0" y="0"/>
                            <a:ext cx="920750" cy="1036955"/>
                          </a:xfrm>
                          <a:prstGeom prst="rect">
                            <a:avLst/>
                          </a:prstGeom>
                          <a:noFill/>
                          <a:ln>
                            <a:noFill/>
                          </a:ln>
                        </pic:spPr>
                      </pic:pic>
                    </a:graphicData>
                  </a:graphic>
                </wp:anchor>
              </w:drawing>
            </w:r>
          </w:p>
        </w:tc>
        <w:tc>
          <w:tcPr>
            <w:tcW w:w="1049" w:type="dxa"/>
            <w:vAlign w:val="center"/>
          </w:tcPr>
          <w:p w14:paraId="7E7E8B3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医院医技楼七楼</w:t>
            </w:r>
            <w:r>
              <w:rPr>
                <w:rFonts w:hint="eastAsia" w:ascii="宋体" w:hAnsi="宋体" w:cs="宋体"/>
                <w:i w:val="0"/>
                <w:iCs w:val="0"/>
                <w:caps w:val="0"/>
                <w:color w:val="auto"/>
                <w:spacing w:val="0"/>
                <w:kern w:val="0"/>
                <w:sz w:val="18"/>
                <w:szCs w:val="18"/>
                <w:highlight w:val="none"/>
                <w:shd w:val="clear" w:color="auto" w:fill="FFFFFF"/>
                <w:vertAlign w:val="baseline"/>
                <w:lang w:val="en-US" w:eastAsia="zh-CN" w:bidi="ar"/>
              </w:rPr>
              <w:t>51个、</w:t>
            </w: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第二办公区一楼旧会议室</w:t>
            </w:r>
            <w:r>
              <w:rPr>
                <w:rFonts w:hint="eastAsia" w:ascii="宋体" w:hAnsi="宋体" w:cs="宋体"/>
                <w:i w:val="0"/>
                <w:iCs w:val="0"/>
                <w:caps w:val="0"/>
                <w:color w:val="auto"/>
                <w:spacing w:val="0"/>
                <w:kern w:val="0"/>
                <w:sz w:val="18"/>
                <w:szCs w:val="18"/>
                <w:highlight w:val="none"/>
                <w:shd w:val="clear" w:color="auto" w:fill="FFFFFF"/>
                <w:vertAlign w:val="baseline"/>
                <w:lang w:val="en-US" w:eastAsia="zh-CN" w:bidi="ar"/>
              </w:rPr>
              <w:t>16个</w:t>
            </w:r>
          </w:p>
        </w:tc>
        <w:tc>
          <w:tcPr>
            <w:tcW w:w="762" w:type="dxa"/>
            <w:vMerge w:val="continue"/>
            <w:vAlign w:val="center"/>
          </w:tcPr>
          <w:p w14:paraId="0DF0458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p>
        </w:tc>
      </w:tr>
      <w:tr w14:paraId="1F1EE1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vAlign w:val="center"/>
          </w:tcPr>
          <w:p w14:paraId="6BC83C8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3</w:t>
            </w:r>
          </w:p>
        </w:tc>
        <w:tc>
          <w:tcPr>
            <w:tcW w:w="1225" w:type="dxa"/>
            <w:vAlign w:val="center"/>
          </w:tcPr>
          <w:p w14:paraId="27A7553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i w:val="0"/>
                <w:iCs w:val="0"/>
                <w:caps w:val="0"/>
                <w:color w:val="auto"/>
                <w:spacing w:val="0"/>
                <w:kern w:val="0"/>
                <w:sz w:val="18"/>
                <w:szCs w:val="18"/>
                <w:highlight w:val="none"/>
                <w:shd w:val="clear" w:color="auto" w:fill="FFFFFF"/>
                <w:vertAlign w:val="baseline"/>
                <w:lang w:val="en-US" w:eastAsia="zh-CN" w:bidi="ar"/>
              </w:rPr>
              <w:t>金属、木质材料</w:t>
            </w: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病案架上病案份数</w:t>
            </w:r>
          </w:p>
        </w:tc>
        <w:tc>
          <w:tcPr>
            <w:tcW w:w="1188" w:type="dxa"/>
            <w:vAlign w:val="center"/>
          </w:tcPr>
          <w:p w14:paraId="040D3F6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213600份</w:t>
            </w:r>
          </w:p>
        </w:tc>
        <w:tc>
          <w:tcPr>
            <w:tcW w:w="2300" w:type="dxa"/>
            <w:vAlign w:val="center"/>
          </w:tcPr>
          <w:p w14:paraId="3FBDDEF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供应商需要根据采购人要求打包并做好编码，搬迁后按照编码顺序上架（因病案架上的病案排列是按特定序号排列，连续性的；病案打包和病案上架务必专人专管，如病案归档错误，有可能导致永久性查找不到）。</w:t>
            </w:r>
          </w:p>
        </w:tc>
        <w:tc>
          <w:tcPr>
            <w:tcW w:w="1476" w:type="dxa"/>
            <w:vAlign w:val="center"/>
          </w:tcPr>
          <w:p w14:paraId="6D8C585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　</w:t>
            </w:r>
          </w:p>
        </w:tc>
        <w:tc>
          <w:tcPr>
            <w:tcW w:w="1750" w:type="dxa"/>
            <w:vAlign w:val="center"/>
          </w:tcPr>
          <w:p w14:paraId="62A43087">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　</w:t>
            </w:r>
          </w:p>
        </w:tc>
        <w:tc>
          <w:tcPr>
            <w:tcW w:w="1049" w:type="dxa"/>
            <w:vAlign w:val="center"/>
          </w:tcPr>
          <w:p w14:paraId="33879DA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　</w:t>
            </w:r>
          </w:p>
          <w:p w14:paraId="39CBA5D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21"/>
                <w:szCs w:val="21"/>
                <w:highlight w:val="none"/>
                <w:shd w:val="clear" w:color="auto" w:fill="FFFFFF"/>
                <w:vertAlign w:val="baseline"/>
                <w:lang w:val="en-US" w:eastAsia="zh-CN" w:bidi="ar"/>
              </w:rPr>
              <w:t>医院医技楼七楼、第二办公区一楼旧会议室</w:t>
            </w: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　</w:t>
            </w:r>
          </w:p>
        </w:tc>
        <w:tc>
          <w:tcPr>
            <w:tcW w:w="762" w:type="dxa"/>
            <w:vMerge w:val="continue"/>
            <w:vAlign w:val="center"/>
          </w:tcPr>
          <w:p w14:paraId="670F92F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p>
        </w:tc>
      </w:tr>
      <w:tr w14:paraId="5AA7C0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vAlign w:val="center"/>
          </w:tcPr>
          <w:p w14:paraId="684767D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4</w:t>
            </w:r>
          </w:p>
        </w:tc>
        <w:tc>
          <w:tcPr>
            <w:tcW w:w="1225" w:type="dxa"/>
            <w:vAlign w:val="center"/>
          </w:tcPr>
          <w:p w14:paraId="19B43A6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已打包病案</w:t>
            </w:r>
          </w:p>
        </w:tc>
        <w:tc>
          <w:tcPr>
            <w:tcW w:w="1188" w:type="dxa"/>
            <w:vAlign w:val="center"/>
          </w:tcPr>
          <w:p w14:paraId="4EDB054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140袋</w:t>
            </w:r>
          </w:p>
        </w:tc>
        <w:tc>
          <w:tcPr>
            <w:tcW w:w="2300" w:type="dxa"/>
            <w:vAlign w:val="center"/>
          </w:tcPr>
          <w:p w14:paraId="40445BC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采购人已按不同时段打包好病案，搬迁后按采购人的要求位置堆放（务必专人专管，保证病案原始资料以防丢失。）</w:t>
            </w:r>
          </w:p>
        </w:tc>
        <w:tc>
          <w:tcPr>
            <w:tcW w:w="1476" w:type="dxa"/>
            <w:vAlign w:val="center"/>
          </w:tcPr>
          <w:p w14:paraId="3560C50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　</w:t>
            </w:r>
          </w:p>
        </w:tc>
        <w:tc>
          <w:tcPr>
            <w:tcW w:w="1750" w:type="dxa"/>
            <w:vAlign w:val="center"/>
          </w:tcPr>
          <w:p w14:paraId="74EA7292">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　</w:t>
            </w:r>
          </w:p>
        </w:tc>
        <w:tc>
          <w:tcPr>
            <w:tcW w:w="1049" w:type="dxa"/>
            <w:vAlign w:val="center"/>
          </w:tcPr>
          <w:p w14:paraId="0ABB887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21"/>
                <w:szCs w:val="21"/>
                <w:highlight w:val="none"/>
                <w:shd w:val="clear" w:color="auto" w:fill="FFFFFF"/>
                <w:vertAlign w:val="baseline"/>
                <w:lang w:val="en-US" w:eastAsia="zh-CN" w:bidi="ar"/>
              </w:rPr>
              <w:t>医院医技楼七楼</w:t>
            </w: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　</w:t>
            </w:r>
          </w:p>
          <w:p w14:paraId="4447286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　</w:t>
            </w:r>
          </w:p>
        </w:tc>
        <w:tc>
          <w:tcPr>
            <w:tcW w:w="762" w:type="dxa"/>
            <w:vMerge w:val="continue"/>
            <w:vAlign w:val="center"/>
          </w:tcPr>
          <w:p w14:paraId="59B83B8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p>
        </w:tc>
      </w:tr>
      <w:tr w14:paraId="3ED72A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3" w:hRule="atLeast"/>
        </w:trPr>
        <w:tc>
          <w:tcPr>
            <w:tcW w:w="625" w:type="dxa"/>
            <w:vAlign w:val="center"/>
          </w:tcPr>
          <w:p w14:paraId="713B868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5</w:t>
            </w:r>
          </w:p>
        </w:tc>
        <w:tc>
          <w:tcPr>
            <w:tcW w:w="1225" w:type="dxa"/>
            <w:vAlign w:val="center"/>
          </w:tcPr>
          <w:p w14:paraId="1C56EDF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图书书架</w:t>
            </w:r>
          </w:p>
        </w:tc>
        <w:tc>
          <w:tcPr>
            <w:tcW w:w="1188" w:type="dxa"/>
            <w:vAlign w:val="center"/>
          </w:tcPr>
          <w:p w14:paraId="0F91B50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书架18个</w:t>
            </w:r>
            <w:r>
              <w:rPr>
                <w:rFonts w:hint="eastAsia" w:ascii="宋体" w:hAnsi="宋体" w:cs="宋体"/>
                <w:i w:val="0"/>
                <w:iCs w:val="0"/>
                <w:caps w:val="0"/>
                <w:color w:val="auto"/>
                <w:spacing w:val="0"/>
                <w:kern w:val="0"/>
                <w:sz w:val="18"/>
                <w:szCs w:val="18"/>
                <w:highlight w:val="none"/>
                <w:shd w:val="clear" w:color="auto" w:fill="FFFFFF"/>
                <w:vertAlign w:val="baseline"/>
                <w:lang w:val="en-US" w:eastAsia="zh-CN" w:bidi="ar"/>
              </w:rPr>
              <w:t>（三排书柜4个、二排书柜6个、杂志木柜8个）</w:t>
            </w:r>
          </w:p>
        </w:tc>
        <w:tc>
          <w:tcPr>
            <w:tcW w:w="2300" w:type="dxa"/>
            <w:vAlign w:val="center"/>
          </w:tcPr>
          <w:p w14:paraId="6010896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不需要拆卸和安装</w:t>
            </w:r>
          </w:p>
        </w:tc>
        <w:tc>
          <w:tcPr>
            <w:tcW w:w="1476" w:type="dxa"/>
            <w:vAlign w:val="center"/>
          </w:tcPr>
          <w:p w14:paraId="613D779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p>
        </w:tc>
        <w:tc>
          <w:tcPr>
            <w:tcW w:w="1750" w:type="dxa"/>
            <w:vMerge w:val="restart"/>
            <w:vAlign w:val="center"/>
          </w:tcPr>
          <w:p w14:paraId="72E5D07D">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drawing>
                <wp:anchor distT="0" distB="0" distL="114300" distR="114300" simplePos="0" relativeHeight="251661312" behindDoc="0" locked="0" layoutInCell="1" allowOverlap="1">
                  <wp:simplePos x="0" y="0"/>
                  <wp:positionH relativeFrom="column">
                    <wp:posOffset>-59055</wp:posOffset>
                  </wp:positionH>
                  <wp:positionV relativeFrom="paragraph">
                    <wp:posOffset>96520</wp:posOffset>
                  </wp:positionV>
                  <wp:extent cx="1080770" cy="1283335"/>
                  <wp:effectExtent l="0" t="0" r="1270" b="12065"/>
                  <wp:wrapNone/>
                  <wp:docPr id="1" name="图片 3" descr="pic(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pic(55)"/>
                          <pic:cNvPicPr>
                            <a:picLocks noChangeAspect="1"/>
                          </pic:cNvPicPr>
                        </pic:nvPicPr>
                        <pic:blipFill>
                          <a:blip r:embed="rId6"/>
                          <a:stretch>
                            <a:fillRect/>
                          </a:stretch>
                        </pic:blipFill>
                        <pic:spPr>
                          <a:xfrm>
                            <a:off x="0" y="0"/>
                            <a:ext cx="1080770" cy="1283335"/>
                          </a:xfrm>
                          <a:prstGeom prst="rect">
                            <a:avLst/>
                          </a:prstGeom>
                          <a:noFill/>
                          <a:ln>
                            <a:noFill/>
                          </a:ln>
                        </pic:spPr>
                      </pic:pic>
                    </a:graphicData>
                  </a:graphic>
                </wp:anchor>
              </w:drawing>
            </w:r>
          </w:p>
          <w:p w14:paraId="2AEA400D">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p>
        </w:tc>
        <w:tc>
          <w:tcPr>
            <w:tcW w:w="1049" w:type="dxa"/>
            <w:vMerge w:val="restart"/>
            <w:vAlign w:val="center"/>
          </w:tcPr>
          <w:p w14:paraId="35A35D5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i w:val="0"/>
                <w:iCs w:val="0"/>
                <w:caps w:val="0"/>
                <w:color w:val="auto"/>
                <w:spacing w:val="0"/>
                <w:kern w:val="0"/>
                <w:sz w:val="18"/>
                <w:szCs w:val="18"/>
                <w:highlight w:val="none"/>
                <w:shd w:val="clear" w:color="auto" w:fill="FFFFFF"/>
                <w:vertAlign w:val="baseline"/>
                <w:lang w:val="en-US" w:eastAsia="zh-CN" w:bidi="ar"/>
              </w:rPr>
              <w:t>医院</w:t>
            </w: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第二办公区一楼旧会议室　</w:t>
            </w:r>
          </w:p>
          <w:p w14:paraId="3E5B2F7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　</w:t>
            </w:r>
          </w:p>
        </w:tc>
        <w:tc>
          <w:tcPr>
            <w:tcW w:w="762" w:type="dxa"/>
            <w:vMerge w:val="restart"/>
            <w:vAlign w:val="center"/>
          </w:tcPr>
          <w:p w14:paraId="071E5CF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21"/>
                <w:szCs w:val="21"/>
                <w:highlight w:val="none"/>
                <w:shd w:val="clear" w:color="auto" w:fill="FFFFFF"/>
                <w:vertAlign w:val="baseline"/>
                <w:lang w:val="en-US" w:eastAsia="zh-CN" w:bidi="ar"/>
              </w:rPr>
              <w:t>医院5号楼一楼</w:t>
            </w:r>
          </w:p>
        </w:tc>
      </w:tr>
      <w:tr w14:paraId="353CEB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8" w:hRule="atLeast"/>
        </w:trPr>
        <w:tc>
          <w:tcPr>
            <w:tcW w:w="625" w:type="dxa"/>
            <w:vAlign w:val="center"/>
          </w:tcPr>
          <w:p w14:paraId="615825F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6</w:t>
            </w:r>
          </w:p>
        </w:tc>
        <w:tc>
          <w:tcPr>
            <w:tcW w:w="1225" w:type="dxa"/>
            <w:vAlign w:val="center"/>
          </w:tcPr>
          <w:p w14:paraId="6138DEF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书籍</w:t>
            </w:r>
          </w:p>
        </w:tc>
        <w:tc>
          <w:tcPr>
            <w:tcW w:w="1188" w:type="dxa"/>
            <w:vAlign w:val="center"/>
          </w:tcPr>
          <w:p w14:paraId="7F1D79FA">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专业书籍</w:t>
            </w:r>
            <w:r>
              <w:rPr>
                <w:rFonts w:hint="eastAsia" w:ascii="宋体" w:hAnsi="宋体" w:cs="宋体"/>
                <w:i w:val="0"/>
                <w:iCs w:val="0"/>
                <w:caps w:val="0"/>
                <w:color w:val="auto"/>
                <w:spacing w:val="0"/>
                <w:kern w:val="0"/>
                <w:sz w:val="18"/>
                <w:szCs w:val="18"/>
                <w:highlight w:val="none"/>
                <w:shd w:val="clear" w:color="auto" w:fill="FFFFFF"/>
                <w:vertAlign w:val="baseline"/>
                <w:lang w:val="en-US" w:eastAsia="zh-CN" w:bidi="ar"/>
              </w:rPr>
              <w:t>1.6</w:t>
            </w: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万册</w:t>
            </w:r>
          </w:p>
        </w:tc>
        <w:tc>
          <w:tcPr>
            <w:tcW w:w="2300" w:type="dxa"/>
            <w:vAlign w:val="center"/>
          </w:tcPr>
          <w:p w14:paraId="3A0D377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打包清点，搬迁至指</w:t>
            </w:r>
            <w:r>
              <w:rPr>
                <w:rFonts w:hint="eastAsia" w:ascii="宋体" w:hAnsi="宋体" w:cs="宋体"/>
                <w:i w:val="0"/>
                <w:iCs w:val="0"/>
                <w:caps w:val="0"/>
                <w:color w:val="auto"/>
                <w:spacing w:val="0"/>
                <w:kern w:val="0"/>
                <w:sz w:val="18"/>
                <w:szCs w:val="18"/>
                <w:highlight w:val="none"/>
                <w:shd w:val="clear" w:color="auto" w:fill="FFFFFF"/>
                <w:vertAlign w:val="baseline"/>
                <w:lang w:val="en-US" w:eastAsia="zh-CN" w:bidi="ar"/>
              </w:rPr>
              <w:t>定</w:t>
            </w: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位置后书籍重新上架</w:t>
            </w:r>
          </w:p>
        </w:tc>
        <w:tc>
          <w:tcPr>
            <w:tcW w:w="1476" w:type="dxa"/>
            <w:vAlign w:val="center"/>
          </w:tcPr>
          <w:p w14:paraId="47D116C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p>
        </w:tc>
        <w:tc>
          <w:tcPr>
            <w:tcW w:w="1750" w:type="dxa"/>
            <w:vMerge w:val="continue"/>
            <w:vAlign w:val="center"/>
          </w:tcPr>
          <w:p w14:paraId="3520F03D">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p>
        </w:tc>
        <w:tc>
          <w:tcPr>
            <w:tcW w:w="1049" w:type="dxa"/>
            <w:vMerge w:val="continue"/>
            <w:vAlign w:val="center"/>
          </w:tcPr>
          <w:p w14:paraId="44540BB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p>
        </w:tc>
        <w:tc>
          <w:tcPr>
            <w:tcW w:w="762" w:type="dxa"/>
            <w:vMerge w:val="continue"/>
            <w:vAlign w:val="center"/>
          </w:tcPr>
          <w:p w14:paraId="6546321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p>
        </w:tc>
      </w:tr>
    </w:tbl>
    <w:p w14:paraId="4CC29ACB">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注：</w:t>
      </w:r>
    </w:p>
    <w:p w14:paraId="6280B01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1、原存放地点及搬迁目的地距离：病案架及病案搬迁两地间隔约1公里，图书书架及书籍搬迁两地间隔约0.2公里。</w:t>
      </w:r>
    </w:p>
    <w:p w14:paraId="422781E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2、以上清单中数量为参考数量，可能存在不准确之处，供应商需自行现场勘察，对现场进行充分了解，对项目风险及项目成本进行充分考虑，全面核实搬迁内容的尺寸、规格、数量、现状、路线、服务要求等。</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br w:type="textWrapping"/>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 xml:space="preserve">  （二）其他要求：</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br w:type="textWrapping"/>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 xml:space="preserve">    1、工期：自合同签订约定生效之日起10日内完成（含节假日）。</w:t>
      </w:r>
    </w:p>
    <w:p w14:paraId="5A01696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2、本次搬运需严格遵循病历及图书管理相关规定，搬运过程需做好防潮、防撞、防破损处理，轻拿轻放，严禁野蛮装卸，全程专人看管，杜绝物资散落、破损、丢失或信息泄露，全程由成交供应商负责所有搬运相关工作及费用。</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br w:type="textWrapping"/>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 xml:space="preserve">    3、搬运至新库房后，需按采购人指定的区域、顺序摆放整齐，配合申请科室完成清点核对。</w:t>
      </w:r>
    </w:p>
    <w:p w14:paraId="6DF8439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4、供应商须全程遵守医院院区管理要求及安全管理规定，搬运过程不影响医院诊疗秩序。</w:t>
      </w:r>
    </w:p>
    <w:p w14:paraId="422EA83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5、供应商在服务开始前需制定搬迁方案（含新搬迁地点摆放方案）提交给采购人，并根据商定后的搬迁方案提供服务范围内所需打包材料、转运车辆等全部物资及搬运人员数量的安排，确保整个服务过程安全、保密、无损坏及丢失。具体工作：需按照采购人要求将病案及图书清点打包并做好编号、数量清点等工作；使用密封车辆将清点打包好的病案箱（袋）及图书转运至新搬迁地点，抵达新搬迁地点后二次全数清点核对，核对无误后方可归类上架，并做好现场清理。</w:t>
      </w:r>
    </w:p>
    <w:p w14:paraId="1CE34FFA">
      <w:pPr>
        <w:spacing w:line="510" w:lineRule="exact"/>
        <w:ind w:firstLine="600" w:firstLineChars="250"/>
        <w:rPr>
          <w:rFonts w:hint="eastAsia" w:asciiTheme="minorEastAsia" w:hAnsiTheme="minorEastAsia" w:eastAsiaTheme="minorEastAsia" w:cstheme="minorEastAsia"/>
          <w:color w:val="auto"/>
          <w:sz w:val="24"/>
          <w:szCs w:val="24"/>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6、</w:t>
      </w:r>
      <w:r>
        <w:rPr>
          <w:rFonts w:hint="eastAsia" w:asciiTheme="minorEastAsia" w:hAnsi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rPr>
        <w:t>有权对</w:t>
      </w:r>
      <w:r>
        <w:rPr>
          <w:rFonts w:hint="eastAsia" w:asciiTheme="minorEastAsia" w:hAnsiTheme="minorEastAsia" w:cstheme="minorEastAsia"/>
          <w:color w:val="auto"/>
          <w:sz w:val="24"/>
          <w:szCs w:val="24"/>
          <w:lang w:val="en-US" w:eastAsia="zh-CN"/>
        </w:rPr>
        <w:t>供应商</w:t>
      </w:r>
      <w:r>
        <w:rPr>
          <w:rFonts w:hint="eastAsia" w:asciiTheme="minorEastAsia" w:hAnsiTheme="minorEastAsia" w:eastAsiaTheme="minorEastAsia" w:cstheme="minorEastAsia"/>
          <w:color w:val="auto"/>
          <w:sz w:val="24"/>
          <w:szCs w:val="24"/>
        </w:rPr>
        <w:t>搬迁服务全过程进行监督检查。如发现问题，</w:t>
      </w:r>
      <w:r>
        <w:rPr>
          <w:rFonts w:hint="eastAsia" w:asciiTheme="minorEastAsia" w:hAnsi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rPr>
        <w:t>可直接要求纠正或通知</w:t>
      </w:r>
      <w:r>
        <w:rPr>
          <w:rFonts w:hint="eastAsia" w:asciiTheme="minorEastAsia" w:hAnsiTheme="minorEastAsia" w:cstheme="minorEastAsia"/>
          <w:color w:val="auto"/>
          <w:sz w:val="24"/>
          <w:szCs w:val="24"/>
          <w:lang w:val="en-US" w:eastAsia="zh-CN"/>
        </w:rPr>
        <w:t>供应商</w:t>
      </w:r>
      <w:r>
        <w:rPr>
          <w:rFonts w:hint="eastAsia" w:asciiTheme="minorEastAsia" w:hAnsiTheme="minorEastAsia" w:eastAsiaTheme="minorEastAsia" w:cstheme="minorEastAsia"/>
          <w:color w:val="auto"/>
          <w:sz w:val="24"/>
          <w:szCs w:val="24"/>
        </w:rPr>
        <w:t>处理，</w:t>
      </w:r>
      <w:r>
        <w:rPr>
          <w:rFonts w:hint="eastAsia" w:asciiTheme="minorEastAsia" w:hAnsiTheme="minorEastAsia" w:cstheme="minorEastAsia"/>
          <w:color w:val="auto"/>
          <w:sz w:val="24"/>
          <w:szCs w:val="24"/>
          <w:lang w:val="en-US" w:eastAsia="zh-CN"/>
        </w:rPr>
        <w:t>供应商</w:t>
      </w:r>
      <w:r>
        <w:rPr>
          <w:rFonts w:hint="eastAsia" w:asciiTheme="minorEastAsia" w:hAnsiTheme="minorEastAsia" w:eastAsiaTheme="minorEastAsia" w:cstheme="minorEastAsia"/>
          <w:color w:val="auto"/>
          <w:sz w:val="24"/>
          <w:szCs w:val="24"/>
        </w:rPr>
        <w:t>应立即予以纠正处理。</w:t>
      </w:r>
    </w:p>
    <w:p w14:paraId="422D9407">
      <w:pPr>
        <w:spacing w:line="510" w:lineRule="exact"/>
        <w:ind w:firstLine="600" w:firstLineChars="25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7、</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确保现场作业安全规范，并采取合理措施避免对他人造成损害。如</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搬运人员发生工伤事故，或</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工作造成他人损害，</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应依法承担责任</w:t>
      </w:r>
      <w:r>
        <w:rPr>
          <w:rFonts w:hint="eastAsia" w:asciiTheme="minorEastAsia" w:hAnsiTheme="minorEastAsia" w:cstheme="minorEastAsia"/>
          <w:color w:val="auto"/>
          <w:sz w:val="24"/>
          <w:szCs w:val="24"/>
          <w:lang w:eastAsia="zh-CN"/>
        </w:rPr>
        <w:t>，采购人</w:t>
      </w:r>
      <w:r>
        <w:rPr>
          <w:rFonts w:hint="eastAsia" w:asciiTheme="minorEastAsia" w:hAnsiTheme="minorEastAsia" w:eastAsiaTheme="minorEastAsia" w:cstheme="minorEastAsia"/>
          <w:color w:val="auto"/>
          <w:sz w:val="24"/>
          <w:szCs w:val="24"/>
        </w:rPr>
        <w:t>不承担任何责任。</w:t>
      </w:r>
    </w:p>
    <w:p w14:paraId="3613F229">
      <w:pPr>
        <w:spacing w:line="510" w:lineRule="exact"/>
        <w:ind w:firstLine="600" w:firstLineChars="25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8</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应在搬迁服务中维护设施设备完好。如因</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或其人员原因造成设施设备等物品损坏的，</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应承担赔偿责任。</w:t>
      </w:r>
    </w:p>
    <w:p w14:paraId="624241C3">
      <w:pPr>
        <w:spacing w:line="510" w:lineRule="exact"/>
        <w:ind w:firstLine="600" w:firstLineChars="25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9、供应商</w:t>
      </w:r>
      <w:r>
        <w:rPr>
          <w:rFonts w:hint="eastAsia" w:asciiTheme="minorEastAsia" w:hAnsiTheme="minorEastAsia" w:eastAsiaTheme="minorEastAsia" w:cstheme="minorEastAsia"/>
          <w:color w:val="auto"/>
          <w:sz w:val="24"/>
          <w:szCs w:val="24"/>
        </w:rPr>
        <w:t>自行承担搬运人员的工资、劳保福利、各项保险。</w:t>
      </w:r>
    </w:p>
    <w:p w14:paraId="52E54F8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三、报价要求</w:t>
      </w:r>
    </w:p>
    <w:p w14:paraId="086DB2F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（一）本项目采用总价包干方式报价，供应商按项目整体进行总价报价及分项报价（格式见附件4），报价超过项目预算金额的为无效响应。</w:t>
      </w:r>
    </w:p>
    <w:p w14:paraId="3BC515B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（二）报价包含但不限于人工、专用包装耗材、标签标识、运输、装卸、防护、楼层作业、清理、安全保密、应急、返工整改、验收配合、管理费、保险、税费等所有相关费用。</w:t>
      </w:r>
    </w:p>
    <w:p w14:paraId="38D269D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（三）供应商报价应充分考虑项目风险，合同服务期内，采购人不再向供应商支付任何额外费用，合同总价不作调整。</w:t>
      </w:r>
    </w:p>
    <w:p w14:paraId="3749427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四、付款方式</w:t>
      </w:r>
    </w:p>
    <w:p w14:paraId="2EF6114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（一）待全部服务验收合格后，采购人在收到成交供应商开具的合同金额全额发票及验收单，且核对无误后60日内支付全部合同款项，付款方式为银行转账。</w:t>
      </w:r>
    </w:p>
    <w:p w14:paraId="5AD3DC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（二）因采购人使用的是财政资金，款项支付需按政府财政审批流程办理，若审批流程延迟则相应货款到账延迟，该情况不视为采购人违约，供应商需予以理解并接受。</w:t>
      </w:r>
    </w:p>
    <w:p w14:paraId="688FA69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vertAlign w:val="baseline"/>
          <w:lang w:val="en-US" w:eastAsia="zh-CN" w:bidi="ar"/>
        </w:rPr>
        <w:t>五、验收要求</w:t>
      </w:r>
    </w:p>
    <w:p w14:paraId="18FBA7C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（一）供应商按照采购人要求完成病案及图书清点、打包、搬运、拆包、上架、现场清理。</w:t>
      </w:r>
    </w:p>
    <w:p w14:paraId="05214D1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（二）实物账物相符，无丢失、缺页、破损、水渍、霉变；严格按原编号、分类、架位规范上架，排列整齐、检索正常。</w:t>
      </w:r>
    </w:p>
    <w:p w14:paraId="69E155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（三）涉密资料严格保密，全程无外泄；作业未损坏场地及原有设施，无安全事故。</w:t>
      </w:r>
    </w:p>
    <w:p w14:paraId="55170EF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四）验收程序：供应商完成全部搬迁服务后3日内向采购人提交书面验收申请，由采购人组织申请科室验收，验收合格后供应商及采购人双方在验收单上签字确认；验收不合格的，供应商须在采购人规定时限内无偿整改、重新整理、补位修复，直至验收合格。整改期间产生的所有费用由供应商自行承担。</w:t>
      </w:r>
    </w:p>
    <w:p w14:paraId="0541E15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vertAlign w:val="baseline"/>
          <w:lang w:val="en-US" w:eastAsia="zh-CN" w:bidi="ar"/>
        </w:rPr>
        <w:t>六、违约责任</w:t>
      </w:r>
    </w:p>
    <w:p w14:paraId="119F013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（一）</w:t>
      </w:r>
      <w:r>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t>逾期完工，每日按合同总价0.5%计收违约金，累计不超总价20%；逾期超10日，</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采购人</w:t>
      </w:r>
      <w:r>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t>可解除合同并追偿损失。</w:t>
      </w:r>
    </w:p>
    <w:p w14:paraId="37E6120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（二）</w:t>
      </w:r>
      <w:r>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t>物品丢失、错放、损坏，由</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供应商</w:t>
      </w:r>
      <w:r>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t>限期整改、修复或按价全额赔偿；涉密资料泄露，</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供应商</w:t>
      </w:r>
      <w:r>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t>承担</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全部法律责任及经济赔偿。</w:t>
      </w:r>
    </w:p>
    <w:p w14:paraId="658F2CA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（三）</w:t>
      </w:r>
      <w:r>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t>损坏</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采购人</w:t>
      </w:r>
      <w:r>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t>设施设备，照价赔偿。拒不整改、整改仍不合格的，</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采购人</w:t>
      </w:r>
      <w:r>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t>有权扣除服务款项。</w:t>
      </w:r>
    </w:p>
    <w:p w14:paraId="57A2D2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（四）</w:t>
      </w:r>
      <w:r>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t>所有违约金、赔偿款，</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采购人</w:t>
      </w:r>
      <w:r>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t>可从</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合同</w:t>
      </w:r>
      <w:r>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t>款中直接抵扣。</w:t>
      </w:r>
    </w:p>
    <w:p w14:paraId="01B9EBF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p w14:paraId="13A52193">
      <w:pPr>
        <w:pageBreakBefore w:val="0"/>
        <w:kinsoku/>
        <w:wordWrap/>
        <w:overflowPunct/>
        <w:topLinePunct w:val="0"/>
        <w:autoSpaceDE/>
        <w:autoSpaceDN/>
        <w:bidi w:val="0"/>
        <w:adjustRightInd/>
        <w:snapToGrid/>
        <w:spacing w:line="480" w:lineRule="exact"/>
        <w:ind w:firstLine="640" w:firstLineChars="200"/>
        <w:rPr>
          <w:rFonts w:ascii="仿宋_GB2312" w:hAnsi="仿宋_GB2312" w:eastAsia="仿宋_GB2312" w:cs="仿宋_GB2312"/>
          <w:sz w:val="32"/>
          <w:szCs w:val="32"/>
        </w:rPr>
      </w:pPr>
    </w:p>
    <w:p w14:paraId="737DFD4A">
      <w:pPr>
        <w:pStyle w:val="2"/>
        <w:pageBreakBefore w:val="0"/>
        <w:kinsoku/>
        <w:wordWrap/>
        <w:overflowPunct/>
        <w:topLinePunct w:val="0"/>
        <w:autoSpaceDE/>
        <w:autoSpaceDN/>
        <w:bidi w:val="0"/>
        <w:adjustRightInd/>
        <w:snapToGrid/>
        <w:spacing w:line="480" w:lineRule="exact"/>
        <w:rPr>
          <w:rFonts w:ascii="微软雅黑" w:hAnsi="微软雅黑" w:eastAsia="微软雅黑" w:cs="微软雅黑"/>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B4D"/>
    <w:rsid w:val="0018099E"/>
    <w:rsid w:val="002A38CD"/>
    <w:rsid w:val="003A5CA9"/>
    <w:rsid w:val="00500DB4"/>
    <w:rsid w:val="00622E9D"/>
    <w:rsid w:val="00695B4D"/>
    <w:rsid w:val="00795DBB"/>
    <w:rsid w:val="00C8640D"/>
    <w:rsid w:val="00E6092B"/>
    <w:rsid w:val="00E85962"/>
    <w:rsid w:val="00F515F2"/>
    <w:rsid w:val="036D1000"/>
    <w:rsid w:val="03C60A60"/>
    <w:rsid w:val="073836D3"/>
    <w:rsid w:val="08DA2C94"/>
    <w:rsid w:val="0B7F7B23"/>
    <w:rsid w:val="0B8A683F"/>
    <w:rsid w:val="0BDE2A9B"/>
    <w:rsid w:val="0D044784"/>
    <w:rsid w:val="0D28783F"/>
    <w:rsid w:val="0D696CDD"/>
    <w:rsid w:val="0E4855CB"/>
    <w:rsid w:val="10437371"/>
    <w:rsid w:val="10B71B0D"/>
    <w:rsid w:val="11034D52"/>
    <w:rsid w:val="117A5014"/>
    <w:rsid w:val="11936764"/>
    <w:rsid w:val="121130A6"/>
    <w:rsid w:val="122D02D9"/>
    <w:rsid w:val="139D24F7"/>
    <w:rsid w:val="16D05C44"/>
    <w:rsid w:val="16D76A65"/>
    <w:rsid w:val="171176AF"/>
    <w:rsid w:val="180715CC"/>
    <w:rsid w:val="18A137CE"/>
    <w:rsid w:val="1A2A15A2"/>
    <w:rsid w:val="1AD31C39"/>
    <w:rsid w:val="1D660B43"/>
    <w:rsid w:val="1D796AC8"/>
    <w:rsid w:val="1E2E5632"/>
    <w:rsid w:val="213D52BE"/>
    <w:rsid w:val="225C3B3D"/>
    <w:rsid w:val="23D305B4"/>
    <w:rsid w:val="24104075"/>
    <w:rsid w:val="24D171E9"/>
    <w:rsid w:val="275B0AEE"/>
    <w:rsid w:val="28237D5C"/>
    <w:rsid w:val="28AF4836"/>
    <w:rsid w:val="30161F54"/>
    <w:rsid w:val="3081571E"/>
    <w:rsid w:val="31D07BEA"/>
    <w:rsid w:val="336418AD"/>
    <w:rsid w:val="342A4220"/>
    <w:rsid w:val="359F479A"/>
    <w:rsid w:val="38286CC9"/>
    <w:rsid w:val="38C84008"/>
    <w:rsid w:val="3A2563B5"/>
    <w:rsid w:val="3F611E5D"/>
    <w:rsid w:val="40DE086C"/>
    <w:rsid w:val="41526B64"/>
    <w:rsid w:val="42154762"/>
    <w:rsid w:val="421F6F6B"/>
    <w:rsid w:val="42334BE8"/>
    <w:rsid w:val="4427077C"/>
    <w:rsid w:val="45354D83"/>
    <w:rsid w:val="45462E84"/>
    <w:rsid w:val="465869CB"/>
    <w:rsid w:val="46AE02A8"/>
    <w:rsid w:val="477B715E"/>
    <w:rsid w:val="477E6905"/>
    <w:rsid w:val="48FE3116"/>
    <w:rsid w:val="49060960"/>
    <w:rsid w:val="497A30FC"/>
    <w:rsid w:val="500B71A4"/>
    <w:rsid w:val="52383B54"/>
    <w:rsid w:val="52CD6993"/>
    <w:rsid w:val="52E613BF"/>
    <w:rsid w:val="535A6478"/>
    <w:rsid w:val="552B0301"/>
    <w:rsid w:val="559D328A"/>
    <w:rsid w:val="57BC2B32"/>
    <w:rsid w:val="57CD065C"/>
    <w:rsid w:val="5980475F"/>
    <w:rsid w:val="5C797243"/>
    <w:rsid w:val="5DBF512A"/>
    <w:rsid w:val="5EDB41E5"/>
    <w:rsid w:val="609342D4"/>
    <w:rsid w:val="6129748A"/>
    <w:rsid w:val="615C7DE6"/>
    <w:rsid w:val="63A45974"/>
    <w:rsid w:val="64E33DF4"/>
    <w:rsid w:val="65A672FB"/>
    <w:rsid w:val="6822016D"/>
    <w:rsid w:val="68B179BF"/>
    <w:rsid w:val="68DA5FC5"/>
    <w:rsid w:val="69AA2CA6"/>
    <w:rsid w:val="6A572D96"/>
    <w:rsid w:val="6E4547DC"/>
    <w:rsid w:val="700952D8"/>
    <w:rsid w:val="70D94A29"/>
    <w:rsid w:val="711A294B"/>
    <w:rsid w:val="71D64AC4"/>
    <w:rsid w:val="72F305E9"/>
    <w:rsid w:val="75BB72A6"/>
    <w:rsid w:val="76366479"/>
    <w:rsid w:val="767F2D6E"/>
    <w:rsid w:val="768E5B1B"/>
    <w:rsid w:val="76D31F1A"/>
    <w:rsid w:val="79752E15"/>
    <w:rsid w:val="79D408BA"/>
    <w:rsid w:val="7A5073DE"/>
    <w:rsid w:val="7D80447E"/>
    <w:rsid w:val="7D823D52"/>
    <w:rsid w:val="7E5267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widowControl w:val="0"/>
      <w:jc w:val="both"/>
    </w:pPr>
    <w:rPr>
      <w:kern w:val="2"/>
      <w:sz w:val="2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页眉 Char"/>
    <w:basedOn w:val="10"/>
    <w:link w:val="6"/>
    <w:qFormat/>
    <w:uiPriority w:val="0"/>
    <w:rPr>
      <w:rFonts w:asciiTheme="minorHAnsi" w:hAnsiTheme="minorHAnsi" w:eastAsiaTheme="minorEastAsia" w:cstheme="minorBidi"/>
      <w:kern w:val="2"/>
      <w:sz w:val="18"/>
      <w:szCs w:val="18"/>
    </w:rPr>
  </w:style>
  <w:style w:type="character" w:customStyle="1" w:styleId="12">
    <w:name w:val="页脚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1973</Words>
  <Characters>2037</Characters>
  <Lines>9</Lines>
  <Paragraphs>2</Paragraphs>
  <TotalTime>0</TotalTime>
  <ScaleCrop>false</ScaleCrop>
  <LinksUpToDate>false</LinksUpToDate>
  <CharactersWithSpaces>2082</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user</cp:lastModifiedBy>
  <dcterms:modified xsi:type="dcterms:W3CDTF">2026-06-25T06:58:30Z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KSOTemplateDocerSaveRecord">
    <vt:lpwstr>eyJoZGlkIjoiZjFmZWIzNDg2MmIzZjExOTIzMmViNTBmYTMwYTk0ZWYiLCJ1c2VySWQiOiI1MDEzNzQyOTUifQ==</vt:lpwstr>
  </property>
  <property fmtid="{D5CDD505-2E9C-101B-9397-08002B2CF9AE}" pid="4" name="ICV">
    <vt:lpwstr>57A41C17E2CA4BC59171C443CA67B3CD_13</vt:lpwstr>
  </property>
</Properties>
</file>