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C5E01">
      <w:pPr>
        <w:pStyle w:val="27"/>
        <w:jc w:val="left"/>
        <w:rPr>
          <w:b/>
          <w:sz w:val="36"/>
        </w:rPr>
      </w:pPr>
      <w:r>
        <w:rPr>
          <w:rFonts w:hint="eastAsia"/>
          <w:b w:val="0"/>
          <w:bCs/>
          <w:sz w:val="24"/>
          <w:szCs w:val="24"/>
          <w:lang w:val="en-US" w:eastAsia="zh-CN"/>
        </w:rPr>
        <w:t>附件3：</w:t>
      </w:r>
    </w:p>
    <w:p w14:paraId="1B8197FA">
      <w:pPr>
        <w:pStyle w:val="27"/>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sz w:val="36"/>
          <w:lang w:val="en-US" w:eastAsia="zh-CN"/>
        </w:rPr>
      </w:pPr>
      <w:r>
        <w:rPr>
          <w:b/>
          <w:sz w:val="36"/>
        </w:rPr>
        <w:t>评审</w:t>
      </w:r>
      <w:r>
        <w:rPr>
          <w:rFonts w:hint="eastAsia"/>
          <w:b/>
          <w:sz w:val="36"/>
          <w:lang w:val="en-US" w:eastAsia="zh-CN"/>
        </w:rPr>
        <w:t>方案</w:t>
      </w:r>
    </w:p>
    <w:p w14:paraId="72C89AB3">
      <w:pPr>
        <w:pStyle w:val="27"/>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sz w:val="36"/>
          <w:lang w:val="en-US" w:eastAsia="zh-CN"/>
        </w:rPr>
      </w:pPr>
    </w:p>
    <w:p w14:paraId="0C6D572D">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b w:val="0"/>
          <w:bCs w:val="0"/>
          <w:szCs w:val="21"/>
          <w:highlight w:val="none"/>
          <w:lang w:val="en-US" w:eastAsia="zh-CN"/>
        </w:rPr>
      </w:pPr>
      <w:r>
        <w:rPr>
          <w:rFonts w:hint="eastAsia" w:ascii="宋体" w:hAnsi="宋体"/>
          <w:b/>
          <w:bCs/>
          <w:szCs w:val="21"/>
          <w:highlight w:val="none"/>
          <w:lang w:val="en-US" w:eastAsia="zh-CN"/>
        </w:rPr>
        <w:t>1、评审步骤：</w:t>
      </w:r>
      <w:r>
        <w:rPr>
          <w:rFonts w:hint="eastAsia" w:ascii="宋体" w:hAnsi="宋体"/>
          <w:b w:val="0"/>
          <w:bCs w:val="0"/>
          <w:szCs w:val="21"/>
          <w:highlight w:val="none"/>
          <w:lang w:val="en-US" w:eastAsia="zh-CN"/>
        </w:rPr>
        <w:t>评审小组对响应文件的评审分为初审（资格性和符合性审查，详见响应文件模版参考内容）和详细评审，初审通过才进入详细评审环节。</w:t>
      </w:r>
    </w:p>
    <w:p w14:paraId="411AC18D">
      <w:p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2、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14:paraId="77EF0414">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3、评审总得分＝商务技术得分+响应报价得分</w:t>
      </w:r>
      <w:r>
        <w:rPr>
          <w:rFonts w:hint="eastAsia" w:ascii="宋体" w:hAnsi="宋体"/>
          <w:b w:val="0"/>
          <w:bCs w:val="0"/>
          <w:szCs w:val="21"/>
          <w:highlight w:val="none"/>
          <w:lang w:val="en-US" w:eastAsia="zh-CN"/>
        </w:rPr>
        <w:t>　　</w:t>
      </w:r>
    </w:p>
    <w:p w14:paraId="28105140">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4、</w:t>
      </w:r>
      <w:r>
        <w:rPr>
          <w:rFonts w:hint="eastAsia" w:ascii="宋体" w:hAnsi="宋体"/>
          <w:b w:val="0"/>
          <w:bCs w:val="0"/>
          <w:szCs w:val="21"/>
          <w:highlight w:val="none"/>
          <w:lang w:val="en-US" w:eastAsia="zh-CN"/>
        </w:rPr>
        <w:t>评审小组按评审得分由高到低进行排序，排名第一的推荐为拟成交供应商，排名第二的供应商为第二成交候选人，排名第三的供应商为第三成交候选人。出现综合总得分并列时，评审报价低的供应商名次靠前；若综合得分和评审报价都相同，按商务技术得分高的供应商名次靠前；若综合得分、评审报价和商务技术得分都相同，由全体评审专家投票确定名次。</w:t>
      </w:r>
    </w:p>
    <w:p w14:paraId="7F8E1F59">
      <w:pPr>
        <w:spacing w:line="360" w:lineRule="auto"/>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5、响应文件的澄清</w:t>
      </w:r>
    </w:p>
    <w:p w14:paraId="7FD34D69">
      <w:p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评审期间，对响应文件中含义不明确、同类问题表述不一致或者有明显文字和计算错误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14:paraId="42076669">
      <w:pPr>
        <w:numPr>
          <w:ilvl w:val="0"/>
          <w:numId w:val="1"/>
        </w:num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评审专家按照总得分由高到低的顺序推荐中选人名单。排名第一的推荐为拟成交供应商。如果推荐的成交供应商向采购人来书面函退出或违反采购文件规定或不能履行合同的，则采购人视为该成交供应商放弃成交资格。则采购人在法律法规允许的情况下可按中选人排名顺序依次确定递补中选人资格，或重新组织采购。</w:t>
      </w:r>
    </w:p>
    <w:p w14:paraId="48DA7164">
      <w:pPr>
        <w:pStyle w:val="2"/>
        <w:widowControl w:val="0"/>
        <w:numPr>
          <w:ilvl w:val="0"/>
          <w:numId w:val="0"/>
        </w:numPr>
        <w:spacing w:before="135"/>
        <w:jc w:val="both"/>
        <w:rPr>
          <w:rFonts w:hint="eastAsia"/>
          <w:lang w:val="en-US" w:eastAsia="zh-CN"/>
        </w:rPr>
      </w:pPr>
    </w:p>
    <w:p w14:paraId="1177B273">
      <w:pPr>
        <w:pStyle w:val="27"/>
        <w:jc w:val="center"/>
        <w:rPr>
          <w:rFonts w:hint="eastAsia"/>
          <w:b/>
          <w:sz w:val="36"/>
          <w:lang w:val="en-US" w:eastAsia="zh-CN"/>
        </w:rPr>
      </w:pPr>
    </w:p>
    <w:p w14:paraId="579C6AEF">
      <w:pPr>
        <w:pStyle w:val="27"/>
        <w:jc w:val="center"/>
        <w:rPr>
          <w:rFonts w:hint="eastAsia"/>
          <w:b/>
          <w:sz w:val="36"/>
          <w:lang w:val="en-US" w:eastAsia="zh-CN"/>
        </w:rPr>
      </w:pPr>
    </w:p>
    <w:p w14:paraId="637C9CFA">
      <w:pPr>
        <w:pStyle w:val="27"/>
        <w:jc w:val="center"/>
        <w:rPr>
          <w:rFonts w:hint="eastAsia" w:ascii="宋体" w:hAnsi="宋体" w:cs="宋体"/>
          <w:b/>
          <w:bCs/>
          <w:sz w:val="24"/>
          <w:szCs w:val="24"/>
          <w:lang w:val="en-US" w:eastAsia="zh-CN"/>
        </w:rPr>
      </w:pPr>
    </w:p>
    <w:p w14:paraId="23BBC4D9">
      <w:pPr>
        <w:pStyle w:val="27"/>
        <w:jc w:val="center"/>
        <w:rPr>
          <w:rFonts w:hint="eastAsia" w:ascii="宋体" w:hAnsi="宋体" w:cs="宋体"/>
          <w:b/>
          <w:bCs/>
          <w:sz w:val="24"/>
          <w:szCs w:val="24"/>
          <w:lang w:val="en-US" w:eastAsia="zh-CN"/>
        </w:rPr>
      </w:pPr>
    </w:p>
    <w:p w14:paraId="13451995">
      <w:pPr>
        <w:pStyle w:val="27"/>
        <w:jc w:val="center"/>
        <w:rPr>
          <w:rFonts w:hint="eastAsia" w:ascii="宋体" w:hAnsi="宋体" w:cs="宋体"/>
          <w:b/>
          <w:bCs/>
          <w:sz w:val="24"/>
          <w:szCs w:val="24"/>
          <w:lang w:val="en-US" w:eastAsia="zh-CN"/>
        </w:rPr>
      </w:pPr>
    </w:p>
    <w:p w14:paraId="71F1FF14">
      <w:pPr>
        <w:pStyle w:val="27"/>
        <w:jc w:val="center"/>
        <w:rPr>
          <w:rFonts w:hint="eastAsia" w:ascii="宋体" w:hAnsi="宋体" w:cs="宋体"/>
          <w:b/>
          <w:bCs/>
          <w:sz w:val="24"/>
          <w:szCs w:val="24"/>
          <w:lang w:val="en-US" w:eastAsia="zh-CN"/>
        </w:rPr>
      </w:pPr>
    </w:p>
    <w:p w14:paraId="69A8DA70">
      <w:pPr>
        <w:pStyle w:val="27"/>
        <w:jc w:val="center"/>
        <w:rPr>
          <w:rFonts w:hint="eastAsia" w:ascii="宋体" w:hAnsi="宋体" w:cs="宋体"/>
          <w:b/>
          <w:bCs/>
          <w:sz w:val="24"/>
          <w:szCs w:val="24"/>
          <w:lang w:val="en-US" w:eastAsia="zh-CN"/>
        </w:rPr>
      </w:pPr>
    </w:p>
    <w:p w14:paraId="298FB410">
      <w:pPr>
        <w:pStyle w:val="27"/>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附表：中山市黄圃人民医院儿科、中医科等科室电器采购项目评分表</w:t>
      </w:r>
      <w:bookmarkStart w:id="0" w:name="_GoBack"/>
      <w:bookmarkEnd w:id="0"/>
    </w:p>
    <w:p w14:paraId="09680F64">
      <w:pPr>
        <w:pStyle w:val="27"/>
        <w:jc w:val="center"/>
        <w:rPr>
          <w:rFonts w:hint="eastAsia" w:ascii="宋体" w:hAnsi="宋体" w:cs="宋体"/>
          <w:b/>
          <w:bCs/>
          <w:sz w:val="24"/>
          <w:szCs w:val="24"/>
          <w:lang w:val="en-US" w:eastAsia="zh-CN"/>
        </w:rPr>
      </w:pPr>
    </w:p>
    <w:tbl>
      <w:tblPr>
        <w:tblStyle w:val="13"/>
        <w:tblW w:w="82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3"/>
        <w:gridCol w:w="1850"/>
        <w:gridCol w:w="5206"/>
      </w:tblGrid>
      <w:tr w14:paraId="21B3D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1233" w:type="dxa"/>
          </w:tcPr>
          <w:p w14:paraId="0F70E40D">
            <w:pPr>
              <w:pStyle w:val="27"/>
              <w:jc w:val="center"/>
              <w:rPr>
                <w:sz w:val="20"/>
                <w:szCs w:val="20"/>
              </w:rPr>
            </w:pPr>
            <w:r>
              <w:rPr>
                <w:sz w:val="20"/>
                <w:szCs w:val="20"/>
              </w:rPr>
              <w:t>评审因素</w:t>
            </w:r>
          </w:p>
        </w:tc>
        <w:tc>
          <w:tcPr>
            <w:tcW w:w="7056" w:type="dxa"/>
            <w:gridSpan w:val="2"/>
          </w:tcPr>
          <w:p w14:paraId="1A9E0C52">
            <w:pPr>
              <w:pStyle w:val="27"/>
              <w:jc w:val="center"/>
              <w:rPr>
                <w:sz w:val="20"/>
                <w:szCs w:val="20"/>
              </w:rPr>
            </w:pPr>
            <w:r>
              <w:rPr>
                <w:sz w:val="20"/>
                <w:szCs w:val="20"/>
              </w:rPr>
              <w:t>评审标准</w:t>
            </w:r>
          </w:p>
        </w:tc>
      </w:tr>
      <w:tr w14:paraId="350B0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6" w:hRule="atLeast"/>
        </w:trPr>
        <w:tc>
          <w:tcPr>
            <w:tcW w:w="1233" w:type="dxa"/>
          </w:tcPr>
          <w:p w14:paraId="0F02DC6D">
            <w:pPr>
              <w:pStyle w:val="27"/>
              <w:jc w:val="center"/>
              <w:rPr>
                <w:sz w:val="20"/>
                <w:szCs w:val="20"/>
              </w:rPr>
            </w:pPr>
            <w:r>
              <w:rPr>
                <w:sz w:val="20"/>
                <w:szCs w:val="20"/>
              </w:rPr>
              <w:t>分值构成</w:t>
            </w:r>
          </w:p>
        </w:tc>
        <w:tc>
          <w:tcPr>
            <w:tcW w:w="7056" w:type="dxa"/>
            <w:gridSpan w:val="2"/>
          </w:tcPr>
          <w:p w14:paraId="28D0BD64">
            <w:pPr>
              <w:pStyle w:val="27"/>
              <w:rPr>
                <w:sz w:val="20"/>
                <w:szCs w:val="20"/>
              </w:rPr>
            </w:pPr>
            <w:r>
              <w:rPr>
                <w:sz w:val="20"/>
                <w:szCs w:val="20"/>
              </w:rPr>
              <w:t>商务</w:t>
            </w:r>
            <w:r>
              <w:rPr>
                <w:rFonts w:hint="eastAsia"/>
                <w:sz w:val="20"/>
                <w:szCs w:val="20"/>
                <w:lang w:eastAsia="zh-CN"/>
              </w:rPr>
              <w:t>技术</w:t>
            </w:r>
            <w:r>
              <w:rPr>
                <w:sz w:val="20"/>
                <w:szCs w:val="20"/>
              </w:rPr>
              <w:t>部分</w:t>
            </w:r>
            <w:r>
              <w:rPr>
                <w:rFonts w:hint="eastAsia"/>
                <w:sz w:val="20"/>
                <w:szCs w:val="20"/>
                <w:lang w:val="en-US" w:eastAsia="zh-CN"/>
              </w:rPr>
              <w:t>70</w:t>
            </w:r>
            <w:r>
              <w:rPr>
                <w:sz w:val="20"/>
                <w:szCs w:val="20"/>
              </w:rPr>
              <w:t>.0分</w:t>
            </w:r>
          </w:p>
          <w:p w14:paraId="4035ECEF">
            <w:pPr>
              <w:pStyle w:val="27"/>
              <w:rPr>
                <w:sz w:val="20"/>
                <w:szCs w:val="20"/>
              </w:rPr>
            </w:pPr>
            <w:r>
              <w:rPr>
                <w:sz w:val="20"/>
                <w:szCs w:val="20"/>
              </w:rPr>
              <w:t>报价得分</w:t>
            </w:r>
            <w:r>
              <w:rPr>
                <w:rFonts w:hint="eastAsia"/>
                <w:sz w:val="20"/>
                <w:szCs w:val="20"/>
                <w:lang w:val="en-US" w:eastAsia="zh-CN"/>
              </w:rPr>
              <w:t>3</w:t>
            </w:r>
            <w:r>
              <w:rPr>
                <w:sz w:val="20"/>
                <w:szCs w:val="20"/>
              </w:rPr>
              <w:t>0.0分</w:t>
            </w:r>
          </w:p>
        </w:tc>
      </w:tr>
      <w:tr w14:paraId="71EC9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62" w:hRule="atLeast"/>
        </w:trPr>
        <w:tc>
          <w:tcPr>
            <w:tcW w:w="1233" w:type="dxa"/>
            <w:vMerge w:val="restart"/>
          </w:tcPr>
          <w:p w14:paraId="2F5BCEBD">
            <w:pPr>
              <w:pStyle w:val="27"/>
              <w:rPr>
                <w:sz w:val="20"/>
                <w:szCs w:val="20"/>
              </w:rPr>
            </w:pPr>
          </w:p>
          <w:p w14:paraId="421B0572">
            <w:pPr>
              <w:pStyle w:val="27"/>
              <w:rPr>
                <w:sz w:val="20"/>
                <w:szCs w:val="20"/>
              </w:rPr>
            </w:pPr>
          </w:p>
          <w:p w14:paraId="5B61F254">
            <w:pPr>
              <w:pStyle w:val="27"/>
              <w:rPr>
                <w:sz w:val="20"/>
                <w:szCs w:val="20"/>
              </w:rPr>
            </w:pPr>
          </w:p>
          <w:p w14:paraId="584B6B6F">
            <w:pPr>
              <w:pStyle w:val="27"/>
              <w:rPr>
                <w:sz w:val="20"/>
                <w:szCs w:val="20"/>
              </w:rPr>
            </w:pPr>
          </w:p>
          <w:p w14:paraId="3885A479">
            <w:pPr>
              <w:pStyle w:val="27"/>
              <w:rPr>
                <w:sz w:val="20"/>
                <w:szCs w:val="20"/>
              </w:rPr>
            </w:pPr>
          </w:p>
          <w:p w14:paraId="671806FB">
            <w:pPr>
              <w:pStyle w:val="27"/>
              <w:rPr>
                <w:sz w:val="20"/>
                <w:szCs w:val="20"/>
              </w:rPr>
            </w:pPr>
          </w:p>
          <w:p w14:paraId="1694A5A1">
            <w:pPr>
              <w:pStyle w:val="27"/>
              <w:rPr>
                <w:sz w:val="20"/>
                <w:szCs w:val="20"/>
              </w:rPr>
            </w:pPr>
          </w:p>
          <w:p w14:paraId="42FC6607">
            <w:pPr>
              <w:pStyle w:val="27"/>
              <w:rPr>
                <w:sz w:val="20"/>
                <w:szCs w:val="20"/>
              </w:rPr>
            </w:pPr>
          </w:p>
          <w:p w14:paraId="1D024978">
            <w:pPr>
              <w:pStyle w:val="27"/>
              <w:rPr>
                <w:sz w:val="20"/>
                <w:szCs w:val="20"/>
              </w:rPr>
            </w:pPr>
          </w:p>
          <w:p w14:paraId="2F522550">
            <w:pPr>
              <w:pStyle w:val="27"/>
              <w:rPr>
                <w:sz w:val="20"/>
                <w:szCs w:val="20"/>
              </w:rPr>
            </w:pPr>
            <w:r>
              <w:rPr>
                <w:sz w:val="20"/>
                <w:szCs w:val="20"/>
              </w:rPr>
              <w:t>商务</w:t>
            </w:r>
            <w:r>
              <w:rPr>
                <w:rFonts w:hint="eastAsia"/>
                <w:sz w:val="20"/>
                <w:szCs w:val="20"/>
                <w:lang w:eastAsia="zh-CN"/>
              </w:rPr>
              <w:t>技术</w:t>
            </w:r>
            <w:r>
              <w:rPr>
                <w:sz w:val="20"/>
                <w:szCs w:val="20"/>
              </w:rPr>
              <w:t>部分</w:t>
            </w:r>
          </w:p>
        </w:tc>
        <w:tc>
          <w:tcPr>
            <w:tcW w:w="1850" w:type="dxa"/>
          </w:tcPr>
          <w:p w14:paraId="22F29C39">
            <w:pPr>
              <w:pStyle w:val="27"/>
              <w:rPr>
                <w:rFonts w:hint="eastAsia"/>
                <w:sz w:val="20"/>
                <w:szCs w:val="20"/>
              </w:rPr>
            </w:pPr>
            <w:r>
              <w:rPr>
                <w:rFonts w:hint="eastAsia"/>
                <w:sz w:val="20"/>
                <w:szCs w:val="20"/>
                <w:lang w:val="en-US" w:eastAsia="zh-CN"/>
              </w:rPr>
              <w:t>产品</w:t>
            </w:r>
            <w:r>
              <w:rPr>
                <w:rFonts w:hint="eastAsia"/>
                <w:sz w:val="20"/>
                <w:szCs w:val="20"/>
                <w:lang w:eastAsia="zh-CN"/>
              </w:rPr>
              <w:t>质量保证措施</w:t>
            </w:r>
          </w:p>
          <w:p w14:paraId="276DA2E7">
            <w:pPr>
              <w:pStyle w:val="27"/>
              <w:rPr>
                <w:sz w:val="20"/>
                <w:szCs w:val="20"/>
              </w:rPr>
            </w:pPr>
            <w:r>
              <w:rPr>
                <w:rFonts w:hint="eastAsia"/>
                <w:sz w:val="20"/>
                <w:szCs w:val="20"/>
              </w:rPr>
              <w:t>(</w:t>
            </w:r>
            <w:r>
              <w:rPr>
                <w:rFonts w:hint="eastAsia"/>
                <w:sz w:val="20"/>
                <w:szCs w:val="20"/>
                <w:lang w:val="en-US" w:eastAsia="zh-CN"/>
              </w:rPr>
              <w:t>20</w:t>
            </w:r>
            <w:r>
              <w:rPr>
                <w:sz w:val="20"/>
                <w:szCs w:val="20"/>
              </w:rPr>
              <w:t>.0分</w:t>
            </w:r>
            <w:r>
              <w:rPr>
                <w:rFonts w:hint="eastAsia"/>
                <w:sz w:val="20"/>
                <w:szCs w:val="20"/>
              </w:rPr>
              <w:t>)</w:t>
            </w:r>
          </w:p>
        </w:tc>
        <w:tc>
          <w:tcPr>
            <w:tcW w:w="5206" w:type="dxa"/>
          </w:tcPr>
          <w:p w14:paraId="06FE8C67">
            <w:pPr>
              <w:pStyle w:val="27"/>
              <w:jc w:val="left"/>
              <w:rPr>
                <w:rFonts w:hint="eastAsia"/>
                <w:sz w:val="20"/>
                <w:szCs w:val="20"/>
              </w:rPr>
            </w:pPr>
            <w:r>
              <w:rPr>
                <w:rFonts w:hint="eastAsia"/>
                <w:sz w:val="20"/>
                <w:szCs w:val="20"/>
              </w:rPr>
              <w:t>根据供应商所提供的</w:t>
            </w:r>
            <w:r>
              <w:rPr>
                <w:rFonts w:hint="eastAsia"/>
                <w:sz w:val="20"/>
                <w:szCs w:val="20"/>
                <w:lang w:val="en-US" w:eastAsia="zh-CN"/>
              </w:rPr>
              <w:t>产品</w:t>
            </w:r>
            <w:r>
              <w:rPr>
                <w:rFonts w:hint="eastAsia"/>
                <w:sz w:val="20"/>
                <w:szCs w:val="20"/>
                <w:lang w:eastAsia="zh-CN"/>
              </w:rPr>
              <w:t>质量保证措施</w:t>
            </w:r>
            <w:r>
              <w:rPr>
                <w:rFonts w:hint="eastAsia"/>
                <w:sz w:val="20"/>
                <w:szCs w:val="20"/>
              </w:rPr>
              <w:t>进行评审:</w:t>
            </w:r>
          </w:p>
          <w:p w14:paraId="6A228406">
            <w:pPr>
              <w:pStyle w:val="27"/>
              <w:jc w:val="left"/>
              <w:rPr>
                <w:rFonts w:hint="eastAsia"/>
                <w:sz w:val="20"/>
                <w:szCs w:val="20"/>
              </w:rPr>
            </w:pPr>
            <w:r>
              <w:rPr>
                <w:rFonts w:hint="eastAsia"/>
                <w:sz w:val="20"/>
                <w:szCs w:val="20"/>
                <w:lang w:val="en-US" w:eastAsia="zh-CN"/>
              </w:rPr>
              <w:t>1.产品</w:t>
            </w:r>
            <w:r>
              <w:rPr>
                <w:rFonts w:hint="eastAsia"/>
                <w:sz w:val="20"/>
                <w:szCs w:val="20"/>
                <w:lang w:eastAsia="zh-CN"/>
              </w:rPr>
              <w:t>质量保证措施</w:t>
            </w:r>
            <w:r>
              <w:rPr>
                <w:rFonts w:hint="eastAsia"/>
                <w:sz w:val="20"/>
                <w:szCs w:val="20"/>
              </w:rPr>
              <w:t>优于采购需求的，得</w:t>
            </w:r>
            <w:r>
              <w:rPr>
                <w:rFonts w:hint="eastAsia"/>
                <w:sz w:val="20"/>
                <w:szCs w:val="20"/>
                <w:lang w:val="en-US" w:eastAsia="zh-CN"/>
              </w:rPr>
              <w:t>20</w:t>
            </w:r>
            <w:r>
              <w:rPr>
                <w:rFonts w:hint="eastAsia"/>
                <w:sz w:val="20"/>
                <w:szCs w:val="20"/>
              </w:rPr>
              <w:t>分;</w:t>
            </w:r>
          </w:p>
          <w:p w14:paraId="0830A5C4">
            <w:pPr>
              <w:pStyle w:val="27"/>
              <w:jc w:val="left"/>
              <w:rPr>
                <w:rFonts w:hint="eastAsia"/>
                <w:sz w:val="20"/>
                <w:szCs w:val="20"/>
              </w:rPr>
            </w:pPr>
            <w:r>
              <w:rPr>
                <w:rFonts w:hint="eastAsia"/>
                <w:sz w:val="20"/>
                <w:szCs w:val="20"/>
                <w:lang w:val="en-US" w:eastAsia="zh-CN"/>
              </w:rPr>
              <w:t>2.产品</w:t>
            </w:r>
            <w:r>
              <w:rPr>
                <w:rFonts w:hint="eastAsia"/>
                <w:sz w:val="20"/>
                <w:szCs w:val="20"/>
                <w:lang w:eastAsia="zh-CN"/>
              </w:rPr>
              <w:t>质量保证措施</w:t>
            </w:r>
            <w:r>
              <w:rPr>
                <w:rFonts w:hint="eastAsia"/>
                <w:sz w:val="20"/>
                <w:szCs w:val="20"/>
              </w:rPr>
              <w:t>能完全满足采购需求的，得</w:t>
            </w:r>
            <w:r>
              <w:rPr>
                <w:rFonts w:hint="eastAsia"/>
                <w:sz w:val="20"/>
                <w:szCs w:val="20"/>
                <w:lang w:val="en-US" w:eastAsia="zh-CN"/>
              </w:rPr>
              <w:t>15</w:t>
            </w:r>
            <w:r>
              <w:rPr>
                <w:rFonts w:hint="eastAsia"/>
                <w:sz w:val="20"/>
                <w:szCs w:val="20"/>
              </w:rPr>
              <w:t>分;</w:t>
            </w:r>
          </w:p>
          <w:p w14:paraId="4A2010B1">
            <w:pPr>
              <w:pStyle w:val="27"/>
              <w:jc w:val="left"/>
              <w:rPr>
                <w:rFonts w:hint="eastAsia"/>
                <w:sz w:val="20"/>
                <w:szCs w:val="20"/>
              </w:rPr>
            </w:pPr>
            <w:r>
              <w:rPr>
                <w:rFonts w:hint="eastAsia"/>
                <w:sz w:val="20"/>
                <w:szCs w:val="20"/>
                <w:lang w:val="en-US" w:eastAsia="zh-CN"/>
              </w:rPr>
              <w:t>3.产品</w:t>
            </w:r>
            <w:r>
              <w:rPr>
                <w:rFonts w:hint="eastAsia"/>
                <w:sz w:val="20"/>
                <w:szCs w:val="20"/>
                <w:lang w:eastAsia="zh-CN"/>
              </w:rPr>
              <w:t>质量保证措施基本</w:t>
            </w:r>
            <w:r>
              <w:rPr>
                <w:rFonts w:hint="eastAsia"/>
                <w:sz w:val="20"/>
                <w:szCs w:val="20"/>
              </w:rPr>
              <w:t>能满足采购需求的，得</w:t>
            </w:r>
            <w:r>
              <w:rPr>
                <w:rFonts w:hint="eastAsia"/>
                <w:sz w:val="20"/>
                <w:szCs w:val="20"/>
                <w:lang w:val="en-US" w:eastAsia="zh-CN"/>
              </w:rPr>
              <w:t>10</w:t>
            </w:r>
            <w:r>
              <w:rPr>
                <w:rFonts w:hint="eastAsia"/>
                <w:sz w:val="20"/>
                <w:szCs w:val="20"/>
              </w:rPr>
              <w:t>分;</w:t>
            </w:r>
          </w:p>
          <w:p w14:paraId="1F9736C9">
            <w:pPr>
              <w:pStyle w:val="27"/>
              <w:jc w:val="left"/>
              <w:rPr>
                <w:rFonts w:hint="eastAsia"/>
                <w:sz w:val="20"/>
                <w:szCs w:val="20"/>
              </w:rPr>
            </w:pPr>
            <w:r>
              <w:rPr>
                <w:rFonts w:hint="eastAsia"/>
                <w:sz w:val="20"/>
                <w:szCs w:val="20"/>
                <w:lang w:val="en-US" w:eastAsia="zh-CN"/>
              </w:rPr>
              <w:t>4.产品</w:t>
            </w:r>
            <w:r>
              <w:rPr>
                <w:rFonts w:hint="eastAsia"/>
                <w:sz w:val="20"/>
                <w:szCs w:val="20"/>
                <w:lang w:eastAsia="zh-CN"/>
              </w:rPr>
              <w:t>质量保证措施</w:t>
            </w:r>
            <w:r>
              <w:rPr>
                <w:rFonts w:hint="eastAsia"/>
                <w:sz w:val="20"/>
                <w:szCs w:val="20"/>
              </w:rPr>
              <w:t>部分满足采购需求的，得</w:t>
            </w:r>
            <w:r>
              <w:rPr>
                <w:rFonts w:hint="eastAsia"/>
                <w:sz w:val="20"/>
                <w:szCs w:val="20"/>
                <w:lang w:val="en-US" w:eastAsia="zh-CN"/>
              </w:rPr>
              <w:t>5</w:t>
            </w:r>
            <w:r>
              <w:rPr>
                <w:rFonts w:hint="eastAsia"/>
                <w:sz w:val="20"/>
                <w:szCs w:val="20"/>
              </w:rPr>
              <w:t>分;</w:t>
            </w:r>
          </w:p>
          <w:p w14:paraId="05D91CAD">
            <w:pPr>
              <w:pStyle w:val="27"/>
              <w:jc w:val="left"/>
              <w:rPr>
                <w:sz w:val="20"/>
                <w:szCs w:val="20"/>
              </w:rPr>
            </w:pPr>
            <w:r>
              <w:rPr>
                <w:rFonts w:hint="eastAsia"/>
                <w:sz w:val="20"/>
                <w:szCs w:val="20"/>
                <w:lang w:val="en-US" w:eastAsia="zh-CN"/>
              </w:rPr>
              <w:t>5.未提供产品</w:t>
            </w:r>
            <w:r>
              <w:rPr>
                <w:rFonts w:hint="eastAsia"/>
                <w:sz w:val="20"/>
                <w:szCs w:val="20"/>
                <w:lang w:eastAsia="zh-CN"/>
              </w:rPr>
              <w:t>质量保证措施</w:t>
            </w:r>
            <w:r>
              <w:rPr>
                <w:rFonts w:hint="eastAsia"/>
                <w:sz w:val="20"/>
                <w:szCs w:val="20"/>
              </w:rPr>
              <w:t>的，得</w:t>
            </w:r>
            <w:r>
              <w:rPr>
                <w:rFonts w:hint="eastAsia"/>
                <w:sz w:val="20"/>
                <w:szCs w:val="20"/>
                <w:lang w:val="en-US" w:eastAsia="zh-CN"/>
              </w:rPr>
              <w:t>0</w:t>
            </w:r>
            <w:r>
              <w:rPr>
                <w:rFonts w:hint="eastAsia"/>
                <w:sz w:val="20"/>
                <w:szCs w:val="20"/>
              </w:rPr>
              <w:t>分。</w:t>
            </w:r>
          </w:p>
        </w:tc>
      </w:tr>
      <w:tr w14:paraId="38E10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29" w:hRule="atLeast"/>
        </w:trPr>
        <w:tc>
          <w:tcPr>
            <w:tcW w:w="1233" w:type="dxa"/>
            <w:vMerge w:val="continue"/>
          </w:tcPr>
          <w:p w14:paraId="5D153960">
            <w:pPr>
              <w:pStyle w:val="27"/>
              <w:rPr>
                <w:sz w:val="20"/>
                <w:szCs w:val="20"/>
              </w:rPr>
            </w:pPr>
          </w:p>
        </w:tc>
        <w:tc>
          <w:tcPr>
            <w:tcW w:w="1850" w:type="dxa"/>
          </w:tcPr>
          <w:p w14:paraId="1E2C4503">
            <w:pPr>
              <w:pStyle w:val="27"/>
              <w:rPr>
                <w:rFonts w:hint="eastAsia"/>
                <w:sz w:val="20"/>
                <w:szCs w:val="20"/>
                <w:lang w:eastAsia="zh-CN"/>
              </w:rPr>
            </w:pPr>
            <w:r>
              <w:rPr>
                <w:rFonts w:hint="eastAsia"/>
                <w:sz w:val="20"/>
                <w:szCs w:val="20"/>
                <w:lang w:eastAsia="zh-CN"/>
              </w:rPr>
              <w:t>售后服务方案</w:t>
            </w:r>
          </w:p>
          <w:p w14:paraId="784E2730">
            <w:pPr>
              <w:pStyle w:val="27"/>
              <w:rPr>
                <w:rFonts w:hint="eastAsia"/>
                <w:sz w:val="20"/>
                <w:szCs w:val="20"/>
              </w:rPr>
            </w:pPr>
            <w:r>
              <w:rPr>
                <w:rFonts w:hint="eastAsia"/>
                <w:sz w:val="20"/>
                <w:szCs w:val="20"/>
              </w:rPr>
              <w:t>(</w:t>
            </w:r>
            <w:r>
              <w:rPr>
                <w:rFonts w:hint="eastAsia"/>
                <w:sz w:val="20"/>
                <w:szCs w:val="20"/>
                <w:lang w:val="en-US" w:eastAsia="zh-CN"/>
              </w:rPr>
              <w:t>25</w:t>
            </w:r>
            <w:r>
              <w:rPr>
                <w:sz w:val="20"/>
                <w:szCs w:val="20"/>
              </w:rPr>
              <w:t>.0分</w:t>
            </w:r>
            <w:r>
              <w:rPr>
                <w:rFonts w:hint="eastAsia"/>
                <w:sz w:val="20"/>
                <w:szCs w:val="20"/>
              </w:rPr>
              <w:t>)</w:t>
            </w:r>
          </w:p>
        </w:tc>
        <w:tc>
          <w:tcPr>
            <w:tcW w:w="5206" w:type="dxa"/>
          </w:tcPr>
          <w:p w14:paraId="1013AE3B">
            <w:pPr>
              <w:pStyle w:val="27"/>
              <w:jc w:val="left"/>
              <w:rPr>
                <w:rFonts w:hint="eastAsia"/>
                <w:sz w:val="20"/>
                <w:szCs w:val="20"/>
              </w:rPr>
            </w:pPr>
            <w:r>
              <w:rPr>
                <w:rFonts w:hint="eastAsia"/>
                <w:sz w:val="20"/>
                <w:szCs w:val="20"/>
              </w:rPr>
              <w:t>根据供应商所提供的</w:t>
            </w:r>
            <w:r>
              <w:rPr>
                <w:rFonts w:hint="eastAsia"/>
                <w:sz w:val="20"/>
                <w:szCs w:val="20"/>
                <w:lang w:eastAsia="zh-CN"/>
              </w:rPr>
              <w:t>售后服务方案</w:t>
            </w:r>
            <w:r>
              <w:rPr>
                <w:rFonts w:hint="eastAsia"/>
                <w:sz w:val="20"/>
                <w:szCs w:val="20"/>
              </w:rPr>
              <w:t>进行评审:</w:t>
            </w:r>
          </w:p>
          <w:p w14:paraId="13FAA63C">
            <w:pPr>
              <w:pStyle w:val="27"/>
              <w:jc w:val="left"/>
              <w:rPr>
                <w:rFonts w:hint="eastAsia"/>
                <w:sz w:val="20"/>
                <w:szCs w:val="20"/>
              </w:rPr>
            </w:pPr>
            <w:r>
              <w:rPr>
                <w:rFonts w:hint="eastAsia"/>
                <w:sz w:val="20"/>
                <w:szCs w:val="20"/>
                <w:lang w:val="en-US" w:eastAsia="zh-CN"/>
              </w:rPr>
              <w:t>1.</w:t>
            </w:r>
            <w:r>
              <w:rPr>
                <w:rFonts w:hint="eastAsia"/>
                <w:sz w:val="20"/>
                <w:szCs w:val="20"/>
                <w:lang w:eastAsia="zh-CN"/>
              </w:rPr>
              <w:t>售后服务方案</w:t>
            </w:r>
            <w:r>
              <w:rPr>
                <w:rFonts w:hint="eastAsia"/>
                <w:sz w:val="20"/>
                <w:szCs w:val="20"/>
              </w:rPr>
              <w:t>优于采购需求的，得</w:t>
            </w:r>
            <w:r>
              <w:rPr>
                <w:rFonts w:hint="eastAsia"/>
                <w:sz w:val="20"/>
                <w:szCs w:val="20"/>
                <w:lang w:val="en-US" w:eastAsia="zh-CN"/>
              </w:rPr>
              <w:t>25</w:t>
            </w:r>
            <w:r>
              <w:rPr>
                <w:rFonts w:hint="eastAsia"/>
                <w:sz w:val="20"/>
                <w:szCs w:val="20"/>
              </w:rPr>
              <w:t>分;</w:t>
            </w:r>
          </w:p>
          <w:p w14:paraId="3F1D6690">
            <w:pPr>
              <w:pStyle w:val="27"/>
              <w:jc w:val="left"/>
              <w:rPr>
                <w:rFonts w:hint="eastAsia"/>
                <w:sz w:val="20"/>
                <w:szCs w:val="20"/>
              </w:rPr>
            </w:pPr>
            <w:r>
              <w:rPr>
                <w:rFonts w:hint="eastAsia"/>
                <w:sz w:val="20"/>
                <w:szCs w:val="20"/>
                <w:lang w:val="en-US" w:eastAsia="zh-CN"/>
              </w:rPr>
              <w:t>2.</w:t>
            </w:r>
            <w:r>
              <w:rPr>
                <w:rFonts w:hint="eastAsia"/>
                <w:sz w:val="20"/>
                <w:szCs w:val="20"/>
                <w:lang w:eastAsia="zh-CN"/>
              </w:rPr>
              <w:t>售后服务方案</w:t>
            </w:r>
            <w:r>
              <w:rPr>
                <w:rFonts w:hint="eastAsia"/>
                <w:sz w:val="20"/>
                <w:szCs w:val="20"/>
              </w:rPr>
              <w:t>能完全满足采购需求的，得</w:t>
            </w:r>
            <w:r>
              <w:rPr>
                <w:rFonts w:hint="eastAsia"/>
                <w:sz w:val="20"/>
                <w:szCs w:val="20"/>
                <w:lang w:val="en-US" w:eastAsia="zh-CN"/>
              </w:rPr>
              <w:t>19</w:t>
            </w:r>
            <w:r>
              <w:rPr>
                <w:rFonts w:hint="eastAsia"/>
                <w:sz w:val="20"/>
                <w:szCs w:val="20"/>
              </w:rPr>
              <w:t>分;</w:t>
            </w:r>
          </w:p>
          <w:p w14:paraId="3CCEE589">
            <w:pPr>
              <w:pStyle w:val="27"/>
              <w:jc w:val="left"/>
              <w:rPr>
                <w:rFonts w:hint="eastAsia"/>
                <w:sz w:val="20"/>
                <w:szCs w:val="20"/>
              </w:rPr>
            </w:pPr>
            <w:r>
              <w:rPr>
                <w:rFonts w:hint="eastAsia"/>
                <w:sz w:val="20"/>
                <w:szCs w:val="20"/>
                <w:lang w:val="en-US" w:eastAsia="zh-CN"/>
              </w:rPr>
              <w:t>3.</w:t>
            </w:r>
            <w:r>
              <w:rPr>
                <w:rFonts w:hint="eastAsia"/>
                <w:sz w:val="20"/>
                <w:szCs w:val="20"/>
                <w:lang w:eastAsia="zh-CN"/>
              </w:rPr>
              <w:t>售后服务方案基本</w:t>
            </w:r>
            <w:r>
              <w:rPr>
                <w:rFonts w:hint="eastAsia"/>
                <w:sz w:val="20"/>
                <w:szCs w:val="20"/>
              </w:rPr>
              <w:t>能满足采购需求的，得</w:t>
            </w:r>
            <w:r>
              <w:rPr>
                <w:rFonts w:hint="eastAsia"/>
                <w:sz w:val="20"/>
                <w:szCs w:val="20"/>
                <w:lang w:val="en-US" w:eastAsia="zh-CN"/>
              </w:rPr>
              <w:t>13</w:t>
            </w:r>
            <w:r>
              <w:rPr>
                <w:rFonts w:hint="eastAsia"/>
                <w:sz w:val="20"/>
                <w:szCs w:val="20"/>
              </w:rPr>
              <w:t>分;</w:t>
            </w:r>
          </w:p>
          <w:p w14:paraId="0B4AFE05">
            <w:pPr>
              <w:pStyle w:val="27"/>
              <w:jc w:val="left"/>
              <w:rPr>
                <w:rFonts w:hint="eastAsia"/>
                <w:sz w:val="20"/>
                <w:szCs w:val="20"/>
              </w:rPr>
            </w:pPr>
            <w:r>
              <w:rPr>
                <w:rFonts w:hint="eastAsia"/>
                <w:sz w:val="20"/>
                <w:szCs w:val="20"/>
                <w:lang w:val="en-US" w:eastAsia="zh-CN"/>
              </w:rPr>
              <w:t>4.</w:t>
            </w:r>
            <w:r>
              <w:rPr>
                <w:rFonts w:hint="eastAsia"/>
                <w:sz w:val="20"/>
                <w:szCs w:val="20"/>
                <w:lang w:eastAsia="zh-CN"/>
              </w:rPr>
              <w:t>售后服务方案</w:t>
            </w:r>
            <w:r>
              <w:rPr>
                <w:rFonts w:hint="eastAsia"/>
                <w:sz w:val="20"/>
                <w:szCs w:val="20"/>
              </w:rPr>
              <w:t>部分满足采购需求的，得</w:t>
            </w:r>
            <w:r>
              <w:rPr>
                <w:rFonts w:hint="eastAsia"/>
                <w:sz w:val="20"/>
                <w:szCs w:val="20"/>
                <w:lang w:val="en-US" w:eastAsia="zh-CN"/>
              </w:rPr>
              <w:t>7</w:t>
            </w:r>
            <w:r>
              <w:rPr>
                <w:rFonts w:hint="eastAsia"/>
                <w:sz w:val="20"/>
                <w:szCs w:val="20"/>
              </w:rPr>
              <w:t>分;</w:t>
            </w:r>
          </w:p>
          <w:p w14:paraId="05C88067">
            <w:pPr>
              <w:pStyle w:val="27"/>
              <w:jc w:val="left"/>
              <w:rPr>
                <w:rFonts w:hint="eastAsia"/>
                <w:sz w:val="20"/>
                <w:szCs w:val="20"/>
              </w:rPr>
            </w:pPr>
            <w:r>
              <w:rPr>
                <w:rFonts w:hint="eastAsia"/>
                <w:sz w:val="20"/>
                <w:szCs w:val="20"/>
                <w:lang w:val="en-US" w:eastAsia="zh-CN"/>
              </w:rPr>
              <w:t>5.未提供</w:t>
            </w:r>
            <w:r>
              <w:rPr>
                <w:rFonts w:hint="eastAsia"/>
                <w:sz w:val="20"/>
                <w:szCs w:val="20"/>
                <w:lang w:eastAsia="zh-CN"/>
              </w:rPr>
              <w:t>售后服务方案</w:t>
            </w:r>
            <w:r>
              <w:rPr>
                <w:rFonts w:hint="eastAsia"/>
                <w:sz w:val="20"/>
                <w:szCs w:val="20"/>
              </w:rPr>
              <w:t>的，得</w:t>
            </w:r>
            <w:r>
              <w:rPr>
                <w:rFonts w:hint="eastAsia"/>
                <w:sz w:val="20"/>
                <w:szCs w:val="20"/>
                <w:lang w:val="en-US" w:eastAsia="zh-CN"/>
              </w:rPr>
              <w:t>0</w:t>
            </w:r>
            <w:r>
              <w:rPr>
                <w:rFonts w:hint="eastAsia"/>
                <w:sz w:val="20"/>
                <w:szCs w:val="20"/>
              </w:rPr>
              <w:t>分。</w:t>
            </w:r>
          </w:p>
        </w:tc>
      </w:tr>
      <w:tr w14:paraId="71945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1" w:hRule="atLeast"/>
        </w:trPr>
        <w:tc>
          <w:tcPr>
            <w:tcW w:w="1233" w:type="dxa"/>
            <w:vMerge w:val="continue"/>
          </w:tcPr>
          <w:p w14:paraId="76071C71">
            <w:pPr>
              <w:pStyle w:val="27"/>
              <w:rPr>
                <w:sz w:val="20"/>
                <w:szCs w:val="20"/>
              </w:rPr>
            </w:pPr>
          </w:p>
        </w:tc>
        <w:tc>
          <w:tcPr>
            <w:tcW w:w="1850" w:type="dxa"/>
          </w:tcPr>
          <w:p w14:paraId="74BA2C91">
            <w:pPr>
              <w:pStyle w:val="27"/>
              <w:rPr>
                <w:sz w:val="20"/>
                <w:szCs w:val="20"/>
              </w:rPr>
            </w:pPr>
            <w:r>
              <w:rPr>
                <w:rFonts w:hint="eastAsia"/>
                <w:sz w:val="20"/>
                <w:szCs w:val="20"/>
              </w:rPr>
              <w:t>实施计划方案</w:t>
            </w:r>
            <w:r>
              <w:rPr>
                <w:sz w:val="20"/>
                <w:szCs w:val="20"/>
              </w:rPr>
              <w:t xml:space="preserve"> (</w:t>
            </w:r>
            <w:r>
              <w:rPr>
                <w:rFonts w:hint="eastAsia"/>
                <w:sz w:val="20"/>
                <w:szCs w:val="20"/>
                <w:lang w:val="en-US" w:eastAsia="zh-CN"/>
              </w:rPr>
              <w:t>15</w:t>
            </w:r>
            <w:r>
              <w:rPr>
                <w:sz w:val="20"/>
                <w:szCs w:val="20"/>
              </w:rPr>
              <w:t>.0分)</w:t>
            </w:r>
          </w:p>
        </w:tc>
        <w:tc>
          <w:tcPr>
            <w:tcW w:w="5206" w:type="dxa"/>
          </w:tcPr>
          <w:p w14:paraId="3E491602">
            <w:pPr>
              <w:pStyle w:val="27"/>
              <w:jc w:val="left"/>
              <w:rPr>
                <w:rFonts w:hint="eastAsia"/>
                <w:sz w:val="20"/>
                <w:szCs w:val="20"/>
              </w:rPr>
            </w:pPr>
            <w:r>
              <w:rPr>
                <w:rFonts w:hint="eastAsia"/>
                <w:sz w:val="20"/>
                <w:szCs w:val="20"/>
              </w:rPr>
              <w:t>根据供应商所提供的实施计划方案进行评审:</w:t>
            </w:r>
          </w:p>
          <w:p w14:paraId="63FDFCBB">
            <w:pPr>
              <w:pStyle w:val="27"/>
              <w:jc w:val="left"/>
              <w:rPr>
                <w:rFonts w:hint="eastAsia"/>
                <w:sz w:val="20"/>
                <w:szCs w:val="20"/>
              </w:rPr>
            </w:pPr>
            <w:r>
              <w:rPr>
                <w:rFonts w:hint="eastAsia"/>
                <w:sz w:val="20"/>
                <w:szCs w:val="20"/>
                <w:lang w:val="en-US" w:eastAsia="zh-CN"/>
              </w:rPr>
              <w:t>1.</w:t>
            </w:r>
            <w:r>
              <w:rPr>
                <w:rFonts w:hint="eastAsia"/>
                <w:sz w:val="20"/>
                <w:szCs w:val="20"/>
              </w:rPr>
              <w:t>生产工期、配送安装方案非常合理的，得</w:t>
            </w:r>
            <w:r>
              <w:rPr>
                <w:rFonts w:hint="eastAsia"/>
                <w:sz w:val="20"/>
                <w:szCs w:val="20"/>
                <w:lang w:val="en-US" w:eastAsia="zh-CN"/>
              </w:rPr>
              <w:t>15</w:t>
            </w:r>
            <w:r>
              <w:rPr>
                <w:rFonts w:hint="eastAsia"/>
                <w:sz w:val="20"/>
                <w:szCs w:val="20"/>
              </w:rPr>
              <w:t>分;</w:t>
            </w:r>
          </w:p>
          <w:p w14:paraId="4DF35525">
            <w:pPr>
              <w:pStyle w:val="27"/>
              <w:jc w:val="left"/>
              <w:rPr>
                <w:rFonts w:hint="eastAsia"/>
                <w:sz w:val="20"/>
                <w:szCs w:val="20"/>
              </w:rPr>
            </w:pPr>
            <w:r>
              <w:rPr>
                <w:rFonts w:hint="eastAsia"/>
                <w:sz w:val="20"/>
                <w:szCs w:val="20"/>
                <w:lang w:val="en-US" w:eastAsia="zh-CN"/>
              </w:rPr>
              <w:t>2.</w:t>
            </w:r>
            <w:r>
              <w:rPr>
                <w:rFonts w:hint="eastAsia"/>
                <w:sz w:val="20"/>
                <w:szCs w:val="20"/>
              </w:rPr>
              <w:t>生产工期、配送安装方案较合理的，得</w:t>
            </w:r>
            <w:r>
              <w:rPr>
                <w:rFonts w:hint="eastAsia"/>
                <w:sz w:val="20"/>
                <w:szCs w:val="20"/>
                <w:lang w:val="en-US" w:eastAsia="zh-CN"/>
              </w:rPr>
              <w:t>11</w:t>
            </w:r>
            <w:r>
              <w:rPr>
                <w:rFonts w:hint="eastAsia"/>
                <w:sz w:val="20"/>
                <w:szCs w:val="20"/>
              </w:rPr>
              <w:t>分;</w:t>
            </w:r>
          </w:p>
          <w:p w14:paraId="3F8EE3E7">
            <w:pPr>
              <w:pStyle w:val="27"/>
              <w:jc w:val="left"/>
              <w:rPr>
                <w:rFonts w:hint="eastAsia"/>
                <w:sz w:val="20"/>
                <w:szCs w:val="20"/>
              </w:rPr>
            </w:pPr>
            <w:r>
              <w:rPr>
                <w:rFonts w:hint="eastAsia"/>
                <w:sz w:val="20"/>
                <w:szCs w:val="20"/>
                <w:lang w:val="en-US" w:eastAsia="zh-CN"/>
              </w:rPr>
              <w:t>3.</w:t>
            </w:r>
            <w:r>
              <w:rPr>
                <w:rFonts w:hint="eastAsia"/>
                <w:sz w:val="20"/>
                <w:szCs w:val="20"/>
              </w:rPr>
              <w:t>生产工期、配送安装方案一般的，得</w:t>
            </w:r>
            <w:r>
              <w:rPr>
                <w:rFonts w:hint="eastAsia"/>
                <w:sz w:val="20"/>
                <w:szCs w:val="20"/>
                <w:lang w:val="en-US" w:eastAsia="zh-CN"/>
              </w:rPr>
              <w:t>7</w:t>
            </w:r>
            <w:r>
              <w:rPr>
                <w:rFonts w:hint="eastAsia"/>
                <w:sz w:val="20"/>
                <w:szCs w:val="20"/>
              </w:rPr>
              <w:t>分;</w:t>
            </w:r>
          </w:p>
          <w:p w14:paraId="1ECA5C0F">
            <w:pPr>
              <w:pStyle w:val="27"/>
              <w:jc w:val="left"/>
              <w:rPr>
                <w:rFonts w:hint="eastAsia"/>
                <w:sz w:val="20"/>
                <w:szCs w:val="20"/>
              </w:rPr>
            </w:pPr>
            <w:r>
              <w:rPr>
                <w:rFonts w:hint="eastAsia"/>
                <w:sz w:val="20"/>
                <w:szCs w:val="20"/>
                <w:lang w:val="en-US" w:eastAsia="zh-CN"/>
              </w:rPr>
              <w:t>4.</w:t>
            </w:r>
            <w:r>
              <w:rPr>
                <w:rFonts w:hint="eastAsia"/>
                <w:sz w:val="20"/>
                <w:szCs w:val="20"/>
              </w:rPr>
              <w:t>生产工期、配送安装方案可行性差的，得</w:t>
            </w:r>
            <w:r>
              <w:rPr>
                <w:rFonts w:hint="eastAsia"/>
                <w:sz w:val="20"/>
                <w:szCs w:val="20"/>
                <w:lang w:val="en-US" w:eastAsia="zh-CN"/>
              </w:rPr>
              <w:t>3</w:t>
            </w:r>
            <w:r>
              <w:rPr>
                <w:rFonts w:hint="eastAsia"/>
                <w:sz w:val="20"/>
                <w:szCs w:val="20"/>
              </w:rPr>
              <w:t>分;</w:t>
            </w:r>
          </w:p>
          <w:p w14:paraId="00640997">
            <w:pPr>
              <w:pStyle w:val="27"/>
              <w:jc w:val="left"/>
              <w:rPr>
                <w:sz w:val="20"/>
                <w:szCs w:val="20"/>
              </w:rPr>
            </w:pPr>
            <w:r>
              <w:rPr>
                <w:rFonts w:hint="eastAsia"/>
                <w:sz w:val="20"/>
                <w:szCs w:val="20"/>
                <w:lang w:val="en-US" w:eastAsia="zh-CN"/>
              </w:rPr>
              <w:t>5.</w:t>
            </w:r>
            <w:r>
              <w:rPr>
                <w:rFonts w:hint="eastAsia"/>
                <w:sz w:val="20"/>
                <w:szCs w:val="20"/>
                <w:lang w:eastAsia="zh-CN"/>
              </w:rPr>
              <w:t>未</w:t>
            </w:r>
            <w:r>
              <w:rPr>
                <w:rFonts w:hint="eastAsia"/>
                <w:sz w:val="20"/>
                <w:szCs w:val="20"/>
              </w:rPr>
              <w:t>提供实施计划方案的不得分。</w:t>
            </w:r>
          </w:p>
        </w:tc>
      </w:tr>
      <w:tr w14:paraId="4D441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4" w:hRule="atLeast"/>
        </w:trPr>
        <w:tc>
          <w:tcPr>
            <w:tcW w:w="1233" w:type="dxa"/>
            <w:vMerge w:val="continue"/>
          </w:tcPr>
          <w:p w14:paraId="01BC62CA">
            <w:pPr>
              <w:rPr>
                <w:rFonts w:hint="eastAsia" w:asciiTheme="minorHAnsi" w:hAnsiTheme="minorHAnsi" w:eastAsiaTheme="minorEastAsia" w:cstheme="minorBidi"/>
                <w:kern w:val="0"/>
                <w:sz w:val="20"/>
                <w:szCs w:val="20"/>
                <w:lang w:val="en-US" w:eastAsia="zh-Hans"/>
              </w:rPr>
            </w:pPr>
          </w:p>
        </w:tc>
        <w:tc>
          <w:tcPr>
            <w:tcW w:w="1850" w:type="dxa"/>
          </w:tcPr>
          <w:p w14:paraId="03EADF00">
            <w:pPr>
              <w:pStyle w:val="27"/>
              <w:jc w:val="left"/>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业绩 (1</w:t>
            </w:r>
            <w:r>
              <w:rPr>
                <w:rFonts w:hint="eastAsia" w:asciiTheme="minorHAnsi" w:hAnsiTheme="minorHAnsi" w:eastAsiaTheme="minorEastAsia" w:cstheme="minorBidi"/>
                <w:kern w:val="0"/>
                <w:sz w:val="20"/>
                <w:szCs w:val="20"/>
                <w:lang w:val="en-US" w:eastAsia="zh-CN"/>
              </w:rPr>
              <w:t>0</w:t>
            </w:r>
            <w:r>
              <w:rPr>
                <w:rFonts w:hint="eastAsia" w:asciiTheme="minorHAnsi" w:hAnsiTheme="minorHAnsi" w:eastAsiaTheme="minorEastAsia" w:cstheme="minorBidi"/>
                <w:kern w:val="0"/>
                <w:sz w:val="20"/>
                <w:szCs w:val="20"/>
                <w:lang w:val="en-US" w:eastAsia="zh-Hans"/>
              </w:rPr>
              <w:t>.0分)</w:t>
            </w:r>
          </w:p>
        </w:tc>
        <w:tc>
          <w:tcPr>
            <w:tcW w:w="5206" w:type="dxa"/>
          </w:tcPr>
          <w:p w14:paraId="76EEAB1B">
            <w:pPr>
              <w:pStyle w:val="27"/>
              <w:jc w:val="left"/>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根据响应供应商自20</w:t>
            </w:r>
            <w:r>
              <w:rPr>
                <w:rFonts w:hint="eastAsia" w:asciiTheme="minorHAnsi" w:hAnsiTheme="minorHAnsi" w:eastAsiaTheme="minorEastAsia" w:cstheme="minorBidi"/>
                <w:kern w:val="0"/>
                <w:sz w:val="20"/>
                <w:szCs w:val="20"/>
                <w:lang w:val="en-US" w:eastAsia="zh-CN"/>
              </w:rPr>
              <w:t>23</w:t>
            </w:r>
            <w:r>
              <w:rPr>
                <w:rFonts w:hint="eastAsia" w:asciiTheme="minorHAnsi" w:hAnsiTheme="minorHAnsi" w:eastAsiaTheme="minorEastAsia" w:cstheme="minorBidi"/>
                <w:kern w:val="0"/>
                <w:sz w:val="20"/>
                <w:szCs w:val="20"/>
                <w:lang w:val="en-US" w:eastAsia="zh-Hans"/>
              </w:rPr>
              <w:t>年1月1日以来承接过的同类项目业绩情况进行评审：每提供1个得</w:t>
            </w:r>
            <w:r>
              <w:rPr>
                <w:rFonts w:hint="eastAsia" w:asciiTheme="minorHAnsi" w:hAnsiTheme="minorHAnsi" w:eastAsiaTheme="minorEastAsia" w:cstheme="minorBidi"/>
                <w:kern w:val="0"/>
                <w:sz w:val="20"/>
                <w:szCs w:val="20"/>
                <w:lang w:val="en-US" w:eastAsia="zh-CN"/>
              </w:rPr>
              <w:t>2</w:t>
            </w:r>
            <w:r>
              <w:rPr>
                <w:rFonts w:hint="eastAsia" w:asciiTheme="minorHAnsi" w:hAnsiTheme="minorHAnsi" w:eastAsiaTheme="minorEastAsia" w:cstheme="minorBidi"/>
                <w:kern w:val="0"/>
                <w:sz w:val="20"/>
                <w:szCs w:val="20"/>
                <w:lang w:val="en-US" w:eastAsia="zh-Hans"/>
              </w:rPr>
              <w:t>分，最高</w:t>
            </w:r>
            <w:r>
              <w:rPr>
                <w:rFonts w:hint="eastAsia" w:asciiTheme="minorHAnsi" w:hAnsiTheme="minorHAnsi" w:eastAsiaTheme="minorEastAsia" w:cstheme="minorBidi"/>
                <w:kern w:val="0"/>
                <w:sz w:val="20"/>
                <w:szCs w:val="20"/>
                <w:lang w:val="en-US" w:eastAsia="zh-CN"/>
              </w:rPr>
              <w:t>10</w:t>
            </w:r>
            <w:r>
              <w:rPr>
                <w:rFonts w:hint="eastAsia" w:asciiTheme="minorHAnsi" w:hAnsiTheme="minorHAnsi" w:eastAsiaTheme="minorEastAsia" w:cstheme="minorBidi"/>
                <w:kern w:val="0"/>
                <w:sz w:val="20"/>
                <w:szCs w:val="20"/>
                <w:lang w:val="en-US" w:eastAsia="zh-Hans"/>
              </w:rPr>
              <w:t>分。</w:t>
            </w:r>
          </w:p>
          <w:p w14:paraId="1FCFF718">
            <w:pPr>
              <w:pStyle w:val="27"/>
              <w:jc w:val="left"/>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注：以合同签订日</w:t>
            </w:r>
            <w:r>
              <w:rPr>
                <w:rFonts w:hint="eastAsia" w:asciiTheme="minorHAnsi" w:hAnsiTheme="minorHAnsi" w:eastAsiaTheme="minorEastAsia" w:cstheme="minorBidi"/>
                <w:kern w:val="0"/>
                <w:sz w:val="20"/>
                <w:szCs w:val="20"/>
                <w:lang w:val="en-US" w:eastAsia="zh-CN"/>
              </w:rPr>
              <w:t>期</w:t>
            </w:r>
            <w:r>
              <w:rPr>
                <w:rFonts w:hint="eastAsia" w:asciiTheme="minorHAnsi" w:hAnsiTheme="minorHAnsi" w:eastAsiaTheme="minorEastAsia" w:cstheme="minorBidi"/>
                <w:kern w:val="0"/>
                <w:sz w:val="20"/>
                <w:szCs w:val="20"/>
                <w:lang w:val="en-US" w:eastAsia="zh-Hans"/>
              </w:rPr>
              <w:t>为准，须提供项目合同关键页（包括但不限于首页、项目内容、合同金额、签字盖章）复印件，无或未提供不得分。</w:t>
            </w:r>
          </w:p>
        </w:tc>
      </w:tr>
      <w:tr w14:paraId="4BC2F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8" w:hRule="atLeast"/>
        </w:trPr>
        <w:tc>
          <w:tcPr>
            <w:tcW w:w="1233" w:type="dxa"/>
          </w:tcPr>
          <w:p w14:paraId="26759AB7">
            <w:pPr>
              <w:pStyle w:val="27"/>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价格部分</w:t>
            </w:r>
          </w:p>
        </w:tc>
        <w:tc>
          <w:tcPr>
            <w:tcW w:w="1850" w:type="dxa"/>
          </w:tcPr>
          <w:p w14:paraId="43C4BA4B">
            <w:pPr>
              <w:pStyle w:val="27"/>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报价得分 (</w:t>
            </w:r>
            <w:r>
              <w:rPr>
                <w:rFonts w:hint="eastAsia" w:asciiTheme="minorHAnsi" w:hAnsiTheme="minorHAnsi" w:eastAsiaTheme="minorEastAsia" w:cstheme="minorBidi"/>
                <w:kern w:val="0"/>
                <w:sz w:val="20"/>
                <w:szCs w:val="20"/>
                <w:lang w:val="en-US" w:eastAsia="zh-CN"/>
              </w:rPr>
              <w:t>3</w:t>
            </w:r>
            <w:r>
              <w:rPr>
                <w:rFonts w:hint="eastAsia" w:asciiTheme="minorHAnsi" w:hAnsiTheme="minorHAnsi" w:eastAsiaTheme="minorEastAsia" w:cstheme="minorBidi"/>
                <w:kern w:val="0"/>
                <w:sz w:val="20"/>
                <w:szCs w:val="20"/>
                <w:lang w:val="en-US" w:eastAsia="zh-Hans"/>
              </w:rPr>
              <w:t>0.0分)</w:t>
            </w:r>
          </w:p>
        </w:tc>
        <w:tc>
          <w:tcPr>
            <w:tcW w:w="5206" w:type="dxa"/>
          </w:tcPr>
          <w:p w14:paraId="604D8124">
            <w:pPr>
              <w:pStyle w:val="27"/>
              <w:jc w:val="left"/>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报价得分＝（评</w:t>
            </w:r>
            <w:r>
              <w:rPr>
                <w:rFonts w:hint="eastAsia" w:asciiTheme="minorHAnsi" w:hAnsiTheme="minorHAnsi" w:eastAsiaTheme="minorEastAsia" w:cstheme="minorBidi"/>
                <w:kern w:val="0"/>
                <w:sz w:val="20"/>
                <w:szCs w:val="20"/>
                <w:lang w:val="en-US" w:eastAsia="zh-CN"/>
              </w:rPr>
              <w:t>审</w:t>
            </w:r>
            <w:r>
              <w:rPr>
                <w:rFonts w:hint="eastAsia" w:asciiTheme="minorHAnsi" w:hAnsiTheme="minorHAnsi" w:eastAsiaTheme="minorEastAsia" w:cstheme="minorBidi"/>
                <w:kern w:val="0"/>
                <w:sz w:val="20"/>
                <w:szCs w:val="20"/>
                <w:lang w:val="en-US" w:eastAsia="zh-Hans"/>
              </w:rPr>
              <w:t>基准价/</w:t>
            </w:r>
            <w:r>
              <w:rPr>
                <w:rFonts w:hint="eastAsia" w:asciiTheme="minorHAnsi" w:hAnsiTheme="minorHAnsi" w:eastAsiaTheme="minorEastAsia" w:cstheme="minorBidi"/>
                <w:kern w:val="0"/>
                <w:sz w:val="20"/>
                <w:szCs w:val="20"/>
                <w:lang w:val="en-US" w:eastAsia="zh-CN"/>
              </w:rPr>
              <w:t>响应</w:t>
            </w:r>
            <w:r>
              <w:rPr>
                <w:rFonts w:hint="eastAsia" w:asciiTheme="minorHAnsi" w:hAnsiTheme="minorHAnsi" w:eastAsiaTheme="minorEastAsia" w:cstheme="minorBidi"/>
                <w:kern w:val="0"/>
                <w:sz w:val="20"/>
                <w:szCs w:val="20"/>
                <w:lang w:val="en-US" w:eastAsia="zh-Hans"/>
              </w:rPr>
              <w:t>报价）×价格分值（注：满足</w:t>
            </w:r>
            <w:r>
              <w:rPr>
                <w:rFonts w:hint="eastAsia" w:asciiTheme="minorHAnsi" w:hAnsiTheme="minorHAnsi" w:eastAsiaTheme="minorEastAsia" w:cstheme="minorBidi"/>
                <w:kern w:val="0"/>
                <w:sz w:val="20"/>
                <w:szCs w:val="20"/>
                <w:lang w:val="en-US" w:eastAsia="zh-CN"/>
              </w:rPr>
              <w:t>采购</w:t>
            </w:r>
            <w:r>
              <w:rPr>
                <w:rFonts w:hint="eastAsia" w:asciiTheme="minorHAnsi" w:hAnsiTheme="minorHAnsi" w:eastAsiaTheme="minorEastAsia" w:cstheme="minorBidi"/>
                <w:kern w:val="0"/>
                <w:sz w:val="20"/>
                <w:szCs w:val="20"/>
                <w:lang w:val="en-US" w:eastAsia="zh-Hans"/>
              </w:rPr>
              <w:t>文件要求且</w:t>
            </w:r>
            <w:r>
              <w:rPr>
                <w:rFonts w:hint="eastAsia" w:asciiTheme="minorHAnsi" w:hAnsiTheme="minorHAnsi" w:eastAsiaTheme="minorEastAsia" w:cstheme="minorBidi"/>
                <w:kern w:val="0"/>
                <w:sz w:val="20"/>
                <w:szCs w:val="20"/>
                <w:lang w:val="en-US" w:eastAsia="zh-CN"/>
              </w:rPr>
              <w:t>响应</w:t>
            </w:r>
            <w:r>
              <w:rPr>
                <w:rFonts w:hint="eastAsia" w:asciiTheme="minorHAnsi" w:hAnsiTheme="minorHAnsi" w:eastAsiaTheme="minorEastAsia" w:cstheme="minorBidi"/>
                <w:kern w:val="0"/>
                <w:sz w:val="20"/>
                <w:szCs w:val="20"/>
                <w:lang w:val="en-US" w:eastAsia="zh-Hans"/>
              </w:rPr>
              <w:t>价格最低的报价为评</w:t>
            </w:r>
            <w:r>
              <w:rPr>
                <w:rFonts w:hint="eastAsia" w:asciiTheme="minorHAnsi" w:hAnsiTheme="minorHAnsi" w:eastAsiaTheme="minorEastAsia" w:cstheme="minorBidi"/>
                <w:kern w:val="0"/>
                <w:sz w:val="20"/>
                <w:szCs w:val="20"/>
                <w:lang w:val="en-US" w:eastAsia="zh-CN"/>
              </w:rPr>
              <w:t>审</w:t>
            </w:r>
            <w:r>
              <w:rPr>
                <w:rFonts w:hint="eastAsia" w:asciiTheme="minorHAnsi" w:hAnsiTheme="minorHAnsi" w:eastAsiaTheme="minorEastAsia" w:cstheme="minorBidi"/>
                <w:kern w:val="0"/>
                <w:sz w:val="20"/>
                <w:szCs w:val="20"/>
                <w:lang w:val="en-US" w:eastAsia="zh-Hans"/>
              </w:rPr>
              <w:t>基准价。）最低报价不是</w:t>
            </w:r>
            <w:r>
              <w:rPr>
                <w:rFonts w:hint="eastAsia" w:asciiTheme="minorHAnsi" w:hAnsiTheme="minorHAnsi" w:eastAsiaTheme="minorEastAsia" w:cstheme="minorBidi"/>
                <w:kern w:val="0"/>
                <w:sz w:val="20"/>
                <w:szCs w:val="20"/>
                <w:lang w:val="en-US" w:eastAsia="zh-CN"/>
              </w:rPr>
              <w:t>成交</w:t>
            </w:r>
            <w:r>
              <w:rPr>
                <w:rFonts w:hint="eastAsia" w:asciiTheme="minorHAnsi" w:hAnsiTheme="minorHAnsi" w:eastAsiaTheme="minorEastAsia" w:cstheme="minorBidi"/>
                <w:kern w:val="0"/>
                <w:sz w:val="20"/>
                <w:szCs w:val="20"/>
                <w:lang w:val="en-US" w:eastAsia="zh-Hans"/>
              </w:rPr>
              <w:t>的唯一依据。</w:t>
            </w:r>
          </w:p>
        </w:tc>
      </w:tr>
    </w:tbl>
    <w:p w14:paraId="4CCC6AB9">
      <w:pPr>
        <w:pStyle w:val="27"/>
        <w:rPr>
          <w:rFonts w:hint="eastAsia"/>
          <w:b/>
          <w:bCs/>
          <w:sz w:val="32"/>
          <w:szCs w:val="32"/>
          <w:lang w:val="en-US" w:eastAsia="zh-CN"/>
        </w:rPr>
      </w:pPr>
      <w:r>
        <w:rPr>
          <w:sz w:val="20"/>
          <w:szCs w:val="20"/>
        </w:rPr>
        <w:t xml:space="preserve">  </w:t>
      </w:r>
    </w:p>
    <w:p w14:paraId="5EE9750F">
      <w:pPr>
        <w:pStyle w:val="2"/>
        <w:spacing w:before="249" w:line="219" w:lineRule="auto"/>
        <w:jc w:val="center"/>
        <w:rPr>
          <w:rFonts w:hint="eastAsia"/>
          <w:b/>
          <w:bCs/>
          <w:sz w:val="32"/>
          <w:szCs w:val="32"/>
          <w:lang w:val="en-US" w:eastAsia="zh-CN"/>
        </w:rPr>
      </w:pPr>
    </w:p>
    <w:p w14:paraId="60316A23">
      <w:pPr>
        <w:pStyle w:val="2"/>
        <w:numPr>
          <w:ilvl w:val="0"/>
          <w:numId w:val="0"/>
        </w:numPr>
        <w:spacing w:before="91" w:line="219" w:lineRule="auto"/>
        <w:ind w:right="34" w:rightChars="0"/>
        <w:jc w:val="both"/>
        <w:rPr>
          <w:rFonts w:hint="eastAsia" w:ascii="仿宋" w:hAnsi="仿宋" w:eastAsia="仿宋" w:cs="仿宋"/>
          <w:sz w:val="28"/>
          <w:szCs w:val="28"/>
          <w:lang w:val="en-US" w:eastAsia="zh-CN"/>
        </w:rPr>
      </w:pPr>
    </w:p>
    <w:sectPr>
      <w:pgSz w:w="11906" w:h="16838"/>
      <w:pgMar w:top="1497" w:right="1973" w:bottom="2064" w:left="1860" w:header="0"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DC27C"/>
    <w:multiLevelType w:val="singleLevel"/>
    <w:tmpl w:val="FBADC27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MTliZDVjZjg4ODM0YzUwM2RhMTI4ZGUxOTliYzkifQ=="/>
  </w:docVars>
  <w:rsids>
    <w:rsidRoot w:val="007F2FE9"/>
    <w:rsid w:val="0009541C"/>
    <w:rsid w:val="000B0DD9"/>
    <w:rsid w:val="000B53B4"/>
    <w:rsid w:val="000F7855"/>
    <w:rsid w:val="001236F8"/>
    <w:rsid w:val="001450D0"/>
    <w:rsid w:val="00153090"/>
    <w:rsid w:val="0018450A"/>
    <w:rsid w:val="001B059A"/>
    <w:rsid w:val="00201BEF"/>
    <w:rsid w:val="0023100F"/>
    <w:rsid w:val="002F4500"/>
    <w:rsid w:val="0031590B"/>
    <w:rsid w:val="003272E4"/>
    <w:rsid w:val="0035165F"/>
    <w:rsid w:val="00381584"/>
    <w:rsid w:val="004601A8"/>
    <w:rsid w:val="004672C3"/>
    <w:rsid w:val="004A520A"/>
    <w:rsid w:val="004C7AB0"/>
    <w:rsid w:val="004E621E"/>
    <w:rsid w:val="00570B70"/>
    <w:rsid w:val="005B1F0D"/>
    <w:rsid w:val="005D53BF"/>
    <w:rsid w:val="005E1036"/>
    <w:rsid w:val="00627E6B"/>
    <w:rsid w:val="006B6603"/>
    <w:rsid w:val="006D659B"/>
    <w:rsid w:val="0072571A"/>
    <w:rsid w:val="00777F0E"/>
    <w:rsid w:val="007B7DC1"/>
    <w:rsid w:val="007C2FEA"/>
    <w:rsid w:val="007F2FE9"/>
    <w:rsid w:val="008116D8"/>
    <w:rsid w:val="00831D41"/>
    <w:rsid w:val="0083410A"/>
    <w:rsid w:val="008702EB"/>
    <w:rsid w:val="00A2416E"/>
    <w:rsid w:val="00A2631D"/>
    <w:rsid w:val="00A41BFD"/>
    <w:rsid w:val="00A83194"/>
    <w:rsid w:val="00A91CD3"/>
    <w:rsid w:val="00A964C6"/>
    <w:rsid w:val="00AA145E"/>
    <w:rsid w:val="00AB28D1"/>
    <w:rsid w:val="00AE4B6C"/>
    <w:rsid w:val="00B168AA"/>
    <w:rsid w:val="00B457CC"/>
    <w:rsid w:val="00B902FB"/>
    <w:rsid w:val="00BF7E7A"/>
    <w:rsid w:val="00C43480"/>
    <w:rsid w:val="00C50C9B"/>
    <w:rsid w:val="00CA7B75"/>
    <w:rsid w:val="00CD0CF1"/>
    <w:rsid w:val="00CE001C"/>
    <w:rsid w:val="00D229E4"/>
    <w:rsid w:val="00DA2C22"/>
    <w:rsid w:val="00DE34F9"/>
    <w:rsid w:val="00DE4BD5"/>
    <w:rsid w:val="00E26DF3"/>
    <w:rsid w:val="00E96F78"/>
    <w:rsid w:val="00ED1BC2"/>
    <w:rsid w:val="00ED6E57"/>
    <w:rsid w:val="00F137EA"/>
    <w:rsid w:val="00F44958"/>
    <w:rsid w:val="00F65B53"/>
    <w:rsid w:val="00F86E61"/>
    <w:rsid w:val="00FA0091"/>
    <w:rsid w:val="00FB17BF"/>
    <w:rsid w:val="0167795A"/>
    <w:rsid w:val="0492125F"/>
    <w:rsid w:val="0696261C"/>
    <w:rsid w:val="079923C4"/>
    <w:rsid w:val="080C0DE8"/>
    <w:rsid w:val="08193505"/>
    <w:rsid w:val="0A7669ED"/>
    <w:rsid w:val="0DBF259D"/>
    <w:rsid w:val="0E1A3B33"/>
    <w:rsid w:val="0FB1562A"/>
    <w:rsid w:val="129C7DA2"/>
    <w:rsid w:val="12E84200"/>
    <w:rsid w:val="13390EFF"/>
    <w:rsid w:val="174A7237"/>
    <w:rsid w:val="17C36FE9"/>
    <w:rsid w:val="194B0F90"/>
    <w:rsid w:val="1D894DCB"/>
    <w:rsid w:val="1E206F43"/>
    <w:rsid w:val="1F0B5598"/>
    <w:rsid w:val="1F312340"/>
    <w:rsid w:val="21D136EA"/>
    <w:rsid w:val="234F7993"/>
    <w:rsid w:val="238E4215"/>
    <w:rsid w:val="23B4085A"/>
    <w:rsid w:val="25664C67"/>
    <w:rsid w:val="269E2F1C"/>
    <w:rsid w:val="26A56238"/>
    <w:rsid w:val="281D3922"/>
    <w:rsid w:val="28C8445F"/>
    <w:rsid w:val="2A2F2642"/>
    <w:rsid w:val="2CD23AFF"/>
    <w:rsid w:val="2F856825"/>
    <w:rsid w:val="31093571"/>
    <w:rsid w:val="31853836"/>
    <w:rsid w:val="337C0BEE"/>
    <w:rsid w:val="35092088"/>
    <w:rsid w:val="39654940"/>
    <w:rsid w:val="39762E5F"/>
    <w:rsid w:val="3AAF61AE"/>
    <w:rsid w:val="3E7E7642"/>
    <w:rsid w:val="3F373C95"/>
    <w:rsid w:val="4157061F"/>
    <w:rsid w:val="41D359D5"/>
    <w:rsid w:val="448F3F57"/>
    <w:rsid w:val="462A4554"/>
    <w:rsid w:val="46A71700"/>
    <w:rsid w:val="478A43A5"/>
    <w:rsid w:val="49902920"/>
    <w:rsid w:val="4A677BA8"/>
    <w:rsid w:val="4AAB17C9"/>
    <w:rsid w:val="4BEB208F"/>
    <w:rsid w:val="4CD9638C"/>
    <w:rsid w:val="4CF94B16"/>
    <w:rsid w:val="4F8A3B1C"/>
    <w:rsid w:val="52FF20F1"/>
    <w:rsid w:val="539B6A74"/>
    <w:rsid w:val="545A4256"/>
    <w:rsid w:val="55BB0D24"/>
    <w:rsid w:val="58357B78"/>
    <w:rsid w:val="586756F7"/>
    <w:rsid w:val="58AF0D87"/>
    <w:rsid w:val="5B2D07A3"/>
    <w:rsid w:val="5B4D3256"/>
    <w:rsid w:val="60160C30"/>
    <w:rsid w:val="60363DC9"/>
    <w:rsid w:val="61161505"/>
    <w:rsid w:val="61364F63"/>
    <w:rsid w:val="619D5782"/>
    <w:rsid w:val="64762067"/>
    <w:rsid w:val="662477B7"/>
    <w:rsid w:val="6695438B"/>
    <w:rsid w:val="6ADC2AED"/>
    <w:rsid w:val="6DB427D1"/>
    <w:rsid w:val="70221C74"/>
    <w:rsid w:val="764466D8"/>
    <w:rsid w:val="767825EE"/>
    <w:rsid w:val="78A45D4B"/>
    <w:rsid w:val="794E5888"/>
    <w:rsid w:val="7AEF104D"/>
    <w:rsid w:val="7F201A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line="460" w:lineRule="exact"/>
    </w:pPr>
    <w:rPr>
      <w:rFonts w:ascii="宋体" w:hAnsi="宋体"/>
      <w:sz w:val="24"/>
    </w:rPr>
  </w:style>
  <w:style w:type="paragraph" w:styleId="3">
    <w:name w:val="annotation text"/>
    <w:basedOn w:val="1"/>
    <w:link w:val="19"/>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toc 5"/>
    <w:basedOn w:val="1"/>
    <w:next w:val="1"/>
    <w:qFormat/>
    <w:uiPriority w:val="0"/>
    <w:pPr>
      <w:ind w:left="840"/>
      <w:jc w:val="left"/>
    </w:pPr>
    <w:rPr>
      <w:szCs w:val="21"/>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2"/>
    <w:qFormat/>
    <w:uiPriority w:val="0"/>
    <w:rPr>
      <w:b/>
      <w:bCs/>
    </w:rPr>
  </w:style>
  <w:style w:type="paragraph" w:styleId="11">
    <w:name w:val="Body Text First Indent"/>
    <w:basedOn w:val="2"/>
    <w:link w:val="18"/>
    <w:qFormat/>
    <w:uiPriority w:val="0"/>
    <w:pPr>
      <w:spacing w:after="120" w:line="240" w:lineRule="auto"/>
      <w:ind w:firstLine="420" w:firstLineChars="100"/>
    </w:pPr>
    <w:rPr>
      <w:rFonts w:ascii="Times New Roman" w:hAnsi="Times New Roman"/>
      <w:sz w:val="21"/>
    </w:rPr>
  </w:style>
  <w:style w:type="paragraph" w:styleId="12">
    <w:name w:val="Body Text First Indent 2"/>
    <w:basedOn w:val="4"/>
    <w:unhideWhenUsed/>
    <w:qFormat/>
    <w:uiPriority w:val="99"/>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正文文本 Char"/>
    <w:basedOn w:val="15"/>
    <w:link w:val="2"/>
    <w:qFormat/>
    <w:uiPriority w:val="0"/>
    <w:rPr>
      <w:rFonts w:ascii="宋体" w:hAnsi="宋体" w:eastAsia="宋体" w:cs="Times New Roman"/>
      <w:kern w:val="2"/>
      <w:sz w:val="24"/>
      <w:szCs w:val="24"/>
    </w:rPr>
  </w:style>
  <w:style w:type="character" w:customStyle="1" w:styleId="18">
    <w:name w:val="正文首行缩进 Char"/>
    <w:basedOn w:val="17"/>
    <w:link w:val="11"/>
    <w:qFormat/>
    <w:uiPriority w:val="0"/>
  </w:style>
  <w:style w:type="character" w:customStyle="1" w:styleId="19">
    <w:name w:val="批注文字 Char"/>
    <w:basedOn w:val="15"/>
    <w:link w:val="3"/>
    <w:qFormat/>
    <w:uiPriority w:val="0"/>
    <w:rPr>
      <w:rFonts w:ascii="Times New Roman" w:hAnsi="Times New Roman" w:eastAsia="宋体" w:cs="Times New Roman"/>
      <w:kern w:val="2"/>
      <w:sz w:val="21"/>
      <w:szCs w:val="24"/>
    </w:rPr>
  </w:style>
  <w:style w:type="character" w:customStyle="1" w:styleId="20">
    <w:name w:val="批注框文本 Char"/>
    <w:basedOn w:val="15"/>
    <w:link w:val="6"/>
    <w:qFormat/>
    <w:uiPriority w:val="0"/>
    <w:rPr>
      <w:rFonts w:ascii="Times New Roman" w:hAnsi="Times New Roman" w:eastAsia="宋体" w:cs="Times New Roman"/>
      <w:kern w:val="2"/>
      <w:sz w:val="18"/>
      <w:szCs w:val="18"/>
    </w:rPr>
  </w:style>
  <w:style w:type="character" w:customStyle="1" w:styleId="21">
    <w:name w:val="页眉 Char"/>
    <w:basedOn w:val="15"/>
    <w:link w:val="8"/>
    <w:qFormat/>
    <w:uiPriority w:val="99"/>
    <w:rPr>
      <w:rFonts w:ascii="Times New Roman" w:hAnsi="Times New Roman" w:eastAsia="宋体" w:cs="Times New Roman"/>
      <w:kern w:val="2"/>
      <w:sz w:val="18"/>
      <w:szCs w:val="18"/>
    </w:rPr>
  </w:style>
  <w:style w:type="character" w:customStyle="1" w:styleId="22">
    <w:name w:val="批注主题 Char"/>
    <w:basedOn w:val="19"/>
    <w:link w:val="10"/>
    <w:qFormat/>
    <w:uiPriority w:val="0"/>
    <w:rPr>
      <w:b/>
      <w:bCs/>
    </w:rPr>
  </w:style>
  <w:style w:type="paragraph" w:styleId="23">
    <w:name w:val="List Paragraph"/>
    <w:basedOn w:val="1"/>
    <w:qFormat/>
    <w:uiPriority w:val="99"/>
    <w:pPr>
      <w:ind w:firstLine="420" w:firstLineChars="200"/>
    </w:pPr>
  </w:style>
  <w:style w:type="paragraph" w:customStyle="1" w:styleId="24">
    <w:name w:val="Table Paragraph"/>
    <w:basedOn w:val="1"/>
    <w:qFormat/>
    <w:uiPriority w:val="1"/>
    <w:pPr>
      <w:widowControl/>
      <w:jc w:val="left"/>
    </w:pPr>
    <w:rPr>
      <w:rFonts w:ascii="宋体" w:hAnsi="宋体" w:cs="宋体"/>
      <w:kern w:val="0"/>
      <w:szCs w:val="20"/>
      <w:lang w:val="zh-CN" w:bidi="zh-CN"/>
    </w:rPr>
  </w:style>
  <w:style w:type="paragraph" w:customStyle="1" w:styleId="25">
    <w:name w:val="Char Char15 Char Char"/>
    <w:basedOn w:val="1"/>
    <w:qFormat/>
    <w:uiPriority w:val="0"/>
    <w:rPr>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881</Words>
  <Characters>992</Characters>
  <Lines>12</Lines>
  <Paragraphs>3</Paragraphs>
  <TotalTime>0</TotalTime>
  <ScaleCrop>false</ScaleCrop>
  <LinksUpToDate>false</LinksUpToDate>
  <CharactersWithSpaces>1021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2022-12-15T08:05:00Z</dcterms:created>
  <dc:creator>chis</dc:creator>
  <cp:lastModifiedBy>user</cp:lastModifiedBy>
  <cp:lastPrinted>2022-12-30T01:27:00Z</cp:lastPrinted>
  <dcterms:modified xsi:type="dcterms:W3CDTF">2026-06-24T10:04:59Z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3449E2B8AEAE4E148A643CF974FAA6F3_13</vt:lpwstr>
  </property>
  <property fmtid="{D5CDD505-2E9C-101B-9397-08002B2CF9AE}" pid="4" name="KSOTemplateDocerSaveRecord">
    <vt:lpwstr>eyJoZGlkIjoiMzU4MDllYWZlNDhmODA1MTMxN2U3ZTg0MjZiYTBmNDkiLCJ1c2VySWQiOiIxNzkxNjM1MTQ5In0=</vt:lpwstr>
  </property>
</Properties>
</file>