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4A60D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5F413F36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val="en-US" w:eastAsia="zh-CN"/>
        </w:rPr>
        <w:t>儿童雾化器和简易雾化吸入器和简易雾化吸入器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547B1B97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2751D18F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27100C75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3130BB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762587E2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428F85AB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284E89EA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2C8163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D5EE1C6"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23C6B8A4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305C1905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705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7A52CFA1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484A3BB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D59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07513E71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482AF7F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bookmarkStart w:id="1" w:name="_GoBack"/>
            <w:bookmarkEnd w:id="1"/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儿童雾化器和简易雾化吸入器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51A3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5996806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63E9D50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46AFF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04BA3F51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2F3EA371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D6E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EAAC81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73979EA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D85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19AB071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506089C2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33AB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87EB1A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452DF6B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2CC7C0F9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3F27CCD1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0409A7E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0B6ECE2C">
      <w:pPr>
        <w:pStyle w:val="2"/>
        <w:rPr>
          <w:rFonts w:hint="eastAsia"/>
          <w:color w:val="auto"/>
          <w:highlight w:val="none"/>
        </w:rPr>
      </w:pPr>
    </w:p>
    <w:p w14:paraId="6C0F3315">
      <w:pPr>
        <w:pStyle w:val="2"/>
        <w:rPr>
          <w:rFonts w:hint="eastAsia"/>
          <w:color w:val="auto"/>
          <w:highlight w:val="none"/>
        </w:rPr>
      </w:pPr>
    </w:p>
    <w:p w14:paraId="58CEEF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243CDD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7FF22F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10C8E7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090E3F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626C6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578CAF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ED9D6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2C7E2F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3E491A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34BC19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0B6C4D79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1B1FA4E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71D1FEF6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553FF129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FC72335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9A3633F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3BA705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5D5E86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D850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3094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36824B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67F5709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0C3AE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7E95B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D9E4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B620C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F562C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68154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0C43F5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D8BA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5A5D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50C97F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A17440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8A37CF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976DA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9A1CAD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00D4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A1C9C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378F5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5976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D67509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8E3F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5F0C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FD0A2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0D43A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E076F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238C4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4A8AE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C7CF6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1B4E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B1AC59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7CFE0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C152D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5774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7D7B76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2669D1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5E97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7760CE9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B5CB07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22E904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0E28B7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CEA005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513D10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F5EEA5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BDEDC8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138A4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E00568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2954FA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C55704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3CB8D9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4B73354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0CA906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411E2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609F04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1F01AC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5BF57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EAADDE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C1E2A1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BCE4F8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202A8C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9F1DE0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5DDD93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A369F8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181620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A4EFAA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EDFB48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CA013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1028C0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D898B0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224164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D28AD4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C2B7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CA408">
      <w:pPr>
        <w:rPr>
          <w:rFonts w:hint="eastAsia"/>
          <w:color w:val="auto"/>
          <w:highlight w:val="none"/>
          <w:lang w:eastAsia="zh-CN"/>
        </w:rPr>
      </w:pPr>
    </w:p>
    <w:p w14:paraId="41C3E6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347D51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392AFA2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519DB4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4C6C4B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027410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65F66B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37C590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40A42B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0B044E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40238E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7AA4DF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5AAC71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03DAC3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328869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41D12F43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3E1804CF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8717B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67F54465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51C66FBC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68E12E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94A5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6C106DEF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3C68FA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78213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78475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儿童雾化器和简易雾化吸入器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83747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3920A2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2B01D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0C45BF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297635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1F6798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A1A6D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7F7313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210703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5792FC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24BD68B0">
      <w:pPr>
        <w:pStyle w:val="2"/>
        <w:rPr>
          <w:rFonts w:hint="eastAsia"/>
          <w:color w:val="auto"/>
          <w:highlight w:val="none"/>
        </w:rPr>
      </w:pPr>
    </w:p>
    <w:p w14:paraId="215BE3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516999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0D77F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5FE7D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53F85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2B86B1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1BFD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7FB8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D4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7AE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A4C3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2D01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932C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2B29F98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4F5DF1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303AE04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7A382E4C">
      <w:pPr>
        <w:rPr>
          <w:rFonts w:hint="eastAsia"/>
          <w:color w:val="auto"/>
          <w:highlight w:val="none"/>
          <w:lang w:val="en-US" w:eastAsia="zh-CN"/>
        </w:rPr>
      </w:pPr>
    </w:p>
    <w:p w14:paraId="64B9E4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7DED3DF4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6BFFEB83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16389C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2642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A2AB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81BE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BBCD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6E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3873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CD9E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1D1C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D49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C620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02B5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8D5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809D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A541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BFEE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4A31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38A8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5BCD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C9F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CA55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3219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1BB3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5F2ADD47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080188DD">
      <w:pPr>
        <w:rPr>
          <w:rFonts w:hint="eastAsia"/>
          <w:color w:val="auto"/>
          <w:highlight w:val="none"/>
          <w:lang w:val="en-US" w:eastAsia="zh-CN"/>
        </w:rPr>
      </w:pPr>
    </w:p>
    <w:p w14:paraId="6A78CB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F5B7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CBBE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6348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DB5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48AA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0686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F07F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276B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97B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2B8F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C3AC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9AEC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21A7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D835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74C7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DB4C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A72D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C05A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978C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1AD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83E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E9A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FB0C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C175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9302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8F72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9EEB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8F78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E65265C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2FDC6D09">
      <w:pPr>
        <w:rPr>
          <w:rFonts w:hint="default"/>
          <w:color w:val="auto"/>
          <w:highlight w:val="none"/>
          <w:lang w:val="en-US" w:eastAsia="zh-CN"/>
        </w:rPr>
      </w:pPr>
    </w:p>
    <w:p w14:paraId="612272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E259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5657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B854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BEDC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E28E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F87C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1F04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5E60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3A13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9FA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AC4F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3AA1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DD42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F23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3219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C795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898C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4C72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E2EF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4DA0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15F6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1678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EF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0E27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6C55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64A2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0559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B3B5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615A0AB3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73358B22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5466727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2BF6E0B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36C27B97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2F9CE78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159DCA1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7E0B23E5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76D1A5F6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23611CBF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405EF9FB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46D1056E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6407C6FC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77E1A14A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629C4521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1CFA6EB2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43856BED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E5F636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E25AB8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9C8703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8409F8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5F636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E25AB8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9C8703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8409F8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CC1153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2BC202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EB13D8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4D27630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C1153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2BC202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EB13D8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4D27630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44DE46D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5F1649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F6A799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A404B1B">
      <w:pPr>
        <w:pStyle w:val="18"/>
        <w:rPr>
          <w:b/>
          <w:color w:val="auto"/>
          <w:sz w:val="24"/>
          <w:szCs w:val="24"/>
          <w:highlight w:val="none"/>
        </w:rPr>
      </w:pPr>
    </w:p>
    <w:p w14:paraId="79F419D3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7ACAFB29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6F76262C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2B3A716F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2493DB5C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6A4677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儿童雾化器和简易雾化吸入器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115EF02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692C0E6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07EB5E57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076154C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71AD973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5ABC0FAB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220AFF75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0A022419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6F1B966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986E98F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06474BB7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163D15CB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329FC8DC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394888F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8E7BD8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7BAE99D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96B115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2F04A2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1C84A76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8E7BD8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7BAE99D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96B115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2F04A2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1C84A76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67D007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7E7875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56FF42D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7BA808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6B569ED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67D007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7E7875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56FF42D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7BA808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6B569ED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86346B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D9159C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C479F6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06AA28EF">
      <w:pPr>
        <w:rPr>
          <w:color w:val="auto"/>
          <w:sz w:val="24"/>
          <w:szCs w:val="24"/>
          <w:highlight w:val="none"/>
        </w:rPr>
      </w:pPr>
    </w:p>
    <w:p w14:paraId="5B3094C6">
      <w:pPr>
        <w:pStyle w:val="2"/>
        <w:rPr>
          <w:color w:val="auto"/>
          <w:sz w:val="24"/>
          <w:szCs w:val="24"/>
          <w:highlight w:val="none"/>
        </w:rPr>
      </w:pPr>
    </w:p>
    <w:p w14:paraId="77737697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4B98C3FD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11F6ACBB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2A94A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1C54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AC7C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65DC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399B4D0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CE47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5DEC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B1DB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B826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D5B1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4E67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C7BD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AF2D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64E3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567B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3DF5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D907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1CC4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FED8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A88F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AC51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AAC7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47D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DD87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766A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D81B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3F0C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9591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6536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A60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1C2A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2928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B94E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217D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99C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7EC3C90C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D4FDA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63EE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3D3B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431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A68A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D472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DE32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D13E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9495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AA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102C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EF53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7334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198F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F161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498C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7F54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1ED5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EC5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A46F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DC53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6DFA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F0AC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9ABC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8586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B702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BAF45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C2CD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3CEA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0011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39C219D0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儿童雾化器和简易雾化吸入器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60103C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2D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B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C2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D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B1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65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FE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0C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F3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57080C7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823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3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6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04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9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4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B8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16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1D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7518D3A7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4FBD0647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D5F6C2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55DA3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3EB52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1EE2E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553446B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36AF96D3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4D683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6CF8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56CF8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784E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44731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844731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09138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731244A1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0F28096B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A717E"/>
    <w:rsid w:val="1AEC327F"/>
    <w:rsid w:val="1B380F4A"/>
    <w:rsid w:val="1BF4617F"/>
    <w:rsid w:val="1C146C65"/>
    <w:rsid w:val="1C19367C"/>
    <w:rsid w:val="1D3365B7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8A93702"/>
    <w:rsid w:val="2965658E"/>
    <w:rsid w:val="2A104A01"/>
    <w:rsid w:val="2A90694C"/>
    <w:rsid w:val="2B2E33AF"/>
    <w:rsid w:val="2C0A4D8F"/>
    <w:rsid w:val="2E046733"/>
    <w:rsid w:val="2E0E7305"/>
    <w:rsid w:val="2E506434"/>
    <w:rsid w:val="2E87674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00214BD"/>
    <w:rsid w:val="42B43F89"/>
    <w:rsid w:val="42E45EE2"/>
    <w:rsid w:val="435E482F"/>
    <w:rsid w:val="438939DC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7951422"/>
    <w:rsid w:val="581B3CFC"/>
    <w:rsid w:val="590B5B1F"/>
    <w:rsid w:val="59537A44"/>
    <w:rsid w:val="59C0545D"/>
    <w:rsid w:val="5AB8781F"/>
    <w:rsid w:val="5B372BFB"/>
    <w:rsid w:val="5C193FB6"/>
    <w:rsid w:val="5C4609F8"/>
    <w:rsid w:val="5D795B2E"/>
    <w:rsid w:val="5DBA7B13"/>
    <w:rsid w:val="5E26116B"/>
    <w:rsid w:val="5F1D2BD5"/>
    <w:rsid w:val="5F4A2CD8"/>
    <w:rsid w:val="60684107"/>
    <w:rsid w:val="608943D1"/>
    <w:rsid w:val="628030DA"/>
    <w:rsid w:val="63E31474"/>
    <w:rsid w:val="647B7FFD"/>
    <w:rsid w:val="66255D3C"/>
    <w:rsid w:val="669D2FCC"/>
    <w:rsid w:val="66BA401C"/>
    <w:rsid w:val="66CB667B"/>
    <w:rsid w:val="68C31716"/>
    <w:rsid w:val="68F5308A"/>
    <w:rsid w:val="69121D60"/>
    <w:rsid w:val="69256789"/>
    <w:rsid w:val="69BE2739"/>
    <w:rsid w:val="6A2D50F9"/>
    <w:rsid w:val="6C5A21EE"/>
    <w:rsid w:val="6D650503"/>
    <w:rsid w:val="6D795BFC"/>
    <w:rsid w:val="6DC570E4"/>
    <w:rsid w:val="6DEE08AA"/>
    <w:rsid w:val="6DF407B1"/>
    <w:rsid w:val="6F223B3C"/>
    <w:rsid w:val="6F9506A3"/>
    <w:rsid w:val="6FA128E1"/>
    <w:rsid w:val="701935B4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2026-06-18T00:02:44Z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