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hint="eastAsia" w:ascii="仿宋" w:hAnsi="仿宋" w:eastAsia="仿宋"/>
          <w:b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sz w:val="21"/>
          <w:szCs w:val="21"/>
          <w:lang w:eastAsia="zh-CN"/>
        </w:rPr>
        <w:t>附件</w:t>
      </w:r>
      <w:r>
        <w:rPr>
          <w:rFonts w:hint="eastAsia" w:ascii="仿宋" w:hAnsi="仿宋" w:eastAsia="仿宋"/>
          <w:b/>
          <w:sz w:val="21"/>
          <w:szCs w:val="21"/>
          <w:lang w:val="en-US" w:eastAsia="zh-CN"/>
        </w:rPr>
        <w:t>4：</w:t>
      </w:r>
    </w:p>
    <w:p>
      <w:pPr>
        <w:spacing w:line="480" w:lineRule="auto"/>
        <w:jc w:val="center"/>
        <w:rPr>
          <w:rFonts w:hint="eastAsia" w:ascii="仿宋" w:hAnsi="仿宋" w:eastAsia="仿宋"/>
          <w:b/>
          <w:sz w:val="52"/>
          <w:szCs w:val="52"/>
        </w:rPr>
      </w:pPr>
    </w:p>
    <w:p>
      <w:pPr>
        <w:spacing w:line="480" w:lineRule="auto"/>
        <w:jc w:val="center"/>
        <w:rPr>
          <w:rFonts w:hint="eastAsia" w:ascii="仿宋" w:hAnsi="仿宋" w:eastAsia="仿宋"/>
          <w:b/>
          <w:sz w:val="52"/>
          <w:szCs w:val="52"/>
        </w:rPr>
      </w:pPr>
    </w:p>
    <w:p>
      <w:pPr>
        <w:spacing w:line="480" w:lineRule="auto"/>
        <w:jc w:val="center"/>
        <w:rPr>
          <w:rFonts w:hint="eastAsia"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52"/>
          <w:szCs w:val="52"/>
        </w:rPr>
        <w:t>中山市黄圃人民医院</w:t>
      </w:r>
      <w:r>
        <w:rPr>
          <w:rFonts w:hint="eastAsia" w:ascii="仿宋" w:hAnsi="仿宋" w:eastAsia="仿宋"/>
          <w:b/>
          <w:color w:val="FF0000"/>
          <w:sz w:val="52"/>
          <w:szCs w:val="52"/>
          <w:lang w:val="en-US" w:eastAsia="zh-CN"/>
        </w:rPr>
        <w:t>XXX</w:t>
      </w:r>
      <w:r>
        <w:rPr>
          <w:rFonts w:hint="eastAsia" w:ascii="仿宋" w:hAnsi="仿宋" w:eastAsia="仿宋"/>
          <w:b/>
          <w:sz w:val="52"/>
          <w:szCs w:val="52"/>
        </w:rPr>
        <w:t>系统</w:t>
      </w:r>
      <w:r>
        <w:rPr>
          <w:rFonts w:hint="eastAsia" w:ascii="仿宋" w:hAnsi="仿宋" w:eastAsia="仿宋"/>
          <w:b/>
          <w:sz w:val="52"/>
          <w:szCs w:val="52"/>
          <w:lang w:eastAsia="zh-Hans"/>
        </w:rPr>
        <w:t>运行维护服务合同</w:t>
      </w:r>
    </w:p>
    <w:p>
      <w:bookmarkStart w:id="0" w:name="_GoBack"/>
      <w:bookmarkEnd w:id="0"/>
    </w:p>
    <w:p/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300" w:lineRule="auto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300" w:lineRule="auto"/>
        <w:jc w:val="center"/>
        <w:rPr>
          <w:rFonts w:hint="eastAsia" w:ascii="仿宋" w:hAnsi="仿宋" w:eastAsia="仿宋"/>
          <w:sz w:val="24"/>
        </w:rPr>
      </w:pPr>
    </w:p>
    <w:p>
      <w:pPr>
        <w:adjustRightInd w:val="0"/>
        <w:snapToGrid w:val="0"/>
        <w:spacing w:line="480" w:lineRule="auto"/>
        <w:ind w:firstLine="723" w:firstLineChars="3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采购方：</w:t>
      </w:r>
      <w:r>
        <w:rPr>
          <w:rFonts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</w:rPr>
        <w:t>甲</w:t>
      </w:r>
      <w:r>
        <w:rPr>
          <w:rFonts w:ascii="仿宋" w:hAnsi="仿宋" w:eastAsia="仿宋"/>
          <w:b/>
          <w:sz w:val="24"/>
        </w:rPr>
        <w:t>方）</w:t>
      </w:r>
      <w:r>
        <w:rPr>
          <w:rFonts w:hint="eastAsia" w:ascii="仿宋" w:hAnsi="仿宋" w:eastAsia="仿宋"/>
          <w:b/>
          <w:sz w:val="24"/>
          <w:u w:val="single"/>
          <w:lang w:eastAsia="zh-Hans"/>
        </w:rPr>
        <w:t>中山市黄圃人民医院</w:t>
      </w:r>
    </w:p>
    <w:p>
      <w:pPr>
        <w:adjustRightInd w:val="0"/>
        <w:snapToGrid w:val="0"/>
        <w:spacing w:line="480" w:lineRule="auto"/>
        <w:ind w:firstLine="723" w:firstLineChars="300"/>
        <w:jc w:val="lef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供货方</w:t>
      </w:r>
      <w:r>
        <w:rPr>
          <w:rFonts w:ascii="仿宋" w:hAnsi="仿宋" w:eastAsia="仿宋"/>
          <w:b/>
          <w:sz w:val="24"/>
        </w:rPr>
        <w:t>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ascii="仿宋" w:hAnsi="仿宋" w:eastAsia="仿宋"/>
          <w:b/>
          <w:sz w:val="24"/>
        </w:rPr>
        <w:t>（</w:t>
      </w:r>
      <w:r>
        <w:rPr>
          <w:rFonts w:hint="eastAsia" w:ascii="仿宋" w:hAnsi="仿宋" w:eastAsia="仿宋"/>
          <w:b/>
          <w:sz w:val="24"/>
        </w:rPr>
        <w:t>乙</w:t>
      </w:r>
      <w:r>
        <w:rPr>
          <w:rFonts w:ascii="仿宋" w:hAnsi="仿宋" w:eastAsia="仿宋"/>
          <w:b/>
          <w:sz w:val="24"/>
        </w:rPr>
        <w:t>方）</w:t>
      </w:r>
      <w:r>
        <w:rPr>
          <w:rFonts w:hint="eastAsia" w:ascii="仿宋" w:hAnsi="仿宋" w:eastAsia="仿宋"/>
          <w:b/>
          <w:color w:val="FF0000"/>
          <w:sz w:val="24"/>
          <w:u w:val="single"/>
          <w:lang w:val="en-US" w:eastAsia="zh-CN"/>
        </w:rPr>
        <w:t>XXXXXXXXXX</w:t>
      </w:r>
    </w:p>
    <w:p>
      <w:pPr>
        <w:adjustRightInd w:val="0"/>
        <w:snapToGrid w:val="0"/>
        <w:ind w:firstLine="723" w:firstLineChars="300"/>
        <w:jc w:val="lef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4"/>
        </w:rPr>
        <w:t>合同服务期：</w:t>
      </w:r>
      <w:r>
        <w:rPr>
          <w:rFonts w:hint="eastAsia" w:ascii="仿宋" w:hAnsi="仿宋" w:eastAsia="仿宋"/>
          <w:b/>
          <w:sz w:val="24"/>
          <w:u w:val="single"/>
        </w:rPr>
        <w:t xml:space="preserve">    年   月  日至   年   月  日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</w:p>
    <w:p>
      <w:pPr>
        <w:pStyle w:val="5"/>
        <w:spacing w:line="400" w:lineRule="exact"/>
        <w:ind w:firstLineChars="200"/>
        <w:rPr>
          <w:rFonts w:hint="eastAsia" w:ascii="仿宋" w:hAnsi="仿宋" w:eastAsia="仿宋" w:cs="仿宋"/>
          <w:szCs w:val="24"/>
        </w:rPr>
      </w:pPr>
    </w:p>
    <w:p>
      <w:pPr>
        <w:pStyle w:val="5"/>
        <w:spacing w:line="400" w:lineRule="exact"/>
        <w:ind w:firstLineChars="200"/>
        <w:rPr>
          <w:rFonts w:hint="eastAsia" w:ascii="仿宋" w:hAnsi="仿宋" w:eastAsia="仿宋" w:cs="仿宋"/>
          <w:szCs w:val="24"/>
        </w:rPr>
      </w:pPr>
    </w:p>
    <w:p>
      <w:pPr>
        <w:pStyle w:val="5"/>
        <w:spacing w:line="400" w:lineRule="exact"/>
        <w:ind w:firstLineChars="200"/>
        <w:rPr>
          <w:rFonts w:hint="eastAsia" w:ascii="仿宋" w:hAnsi="仿宋" w:eastAsia="仿宋" w:cs="仿宋"/>
          <w:szCs w:val="24"/>
        </w:rPr>
      </w:pPr>
    </w:p>
    <w:p>
      <w:pPr>
        <w:pStyle w:val="5"/>
        <w:spacing w:line="400" w:lineRule="exact"/>
        <w:ind w:firstLineChars="200"/>
        <w:rPr>
          <w:rFonts w:hint="eastAsia" w:ascii="仿宋" w:hAnsi="仿宋" w:eastAsia="仿宋" w:cs="仿宋"/>
          <w:szCs w:val="24"/>
        </w:rPr>
      </w:pPr>
    </w:p>
    <w:p>
      <w:pPr>
        <w:pStyle w:val="5"/>
        <w:spacing w:line="400" w:lineRule="exact"/>
        <w:ind w:firstLineChars="200"/>
        <w:rPr>
          <w:rFonts w:hint="eastAsia" w:ascii="仿宋" w:hAnsi="仿宋" w:eastAsia="仿宋" w:cs="仿宋"/>
          <w:szCs w:val="24"/>
        </w:rPr>
      </w:pPr>
    </w:p>
    <w:p>
      <w:pPr>
        <w:pStyle w:val="5"/>
        <w:spacing w:line="400" w:lineRule="exact"/>
        <w:ind w:firstLineChars="200"/>
        <w:rPr>
          <w:rFonts w:hint="eastAsia" w:ascii="仿宋" w:hAnsi="仿宋" w:eastAsia="仿宋" w:cs="仿宋"/>
          <w:szCs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</w:p>
    <w:p>
      <w:pPr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根据《中华人民共和国民法典》《中华人民共和国数据安全法》《网络安全法》及相关法律法规，甲乙双方就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  <w:r>
        <w:rPr>
          <w:rFonts w:hint="eastAsia" w:ascii="仿宋" w:hAnsi="仿宋" w:eastAsia="仿宋" w:cs="仿宋"/>
          <w:sz w:val="24"/>
        </w:rPr>
        <w:t>系统（以下简称“本系统”）专项运行维护服务达成一致，以保障本系统安全、稳定运行，共同遵守以下条款：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第一条 合同目的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1、甲方委托乙方提供本系统专业化运维服务，确保系统连续性、数据安全性及业务连续性，支撑医院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  <w:r>
        <w:rPr>
          <w:rFonts w:hint="eastAsia" w:ascii="仿宋" w:hAnsi="仿宋" w:eastAsia="仿宋" w:cs="仿宋"/>
          <w:sz w:val="24"/>
        </w:rPr>
        <w:t>系统业务高效开展。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2、乙方须严格遵守国家法律法规、医疗行业规范及甲方内部管理制度，提供高质量、可追溯的运维服务。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第二条 合同价格与服务内容</w:t>
      </w:r>
    </w:p>
    <w:p>
      <w:pPr>
        <w:rPr>
          <w:rFonts w:hint="default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 w:cs="仿宋"/>
          <w:sz w:val="24"/>
        </w:rPr>
        <w:t>1、合同总价：大写：人民币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  <w:r>
        <w:rPr>
          <w:rFonts w:hint="eastAsia" w:ascii="仿宋" w:hAnsi="仿宋" w:eastAsia="仿宋" w:cs="仿宋"/>
          <w:sz w:val="24"/>
        </w:rPr>
        <w:t>元整（小写：¥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  <w:r>
        <w:rPr>
          <w:rFonts w:hint="eastAsia" w:ascii="仿宋" w:hAnsi="仿宋" w:eastAsia="仿宋" w:cs="仿宋"/>
          <w:sz w:val="24"/>
        </w:rPr>
        <w:t>），服务期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sz w:val="24"/>
        </w:rPr>
        <w:t>年。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自合同签订之日起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年。每年维护费：</w:t>
      </w:r>
      <w:r>
        <w:rPr>
          <w:rFonts w:hint="eastAsia" w:ascii="仿宋" w:hAnsi="仿宋" w:eastAsia="仿宋" w:cs="仿宋"/>
          <w:sz w:val="24"/>
        </w:rPr>
        <w:t>大写：人民币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  <w:r>
        <w:rPr>
          <w:rFonts w:hint="eastAsia" w:ascii="仿宋" w:hAnsi="仿宋" w:eastAsia="仿宋" w:cs="仿宋"/>
          <w:sz w:val="24"/>
        </w:rPr>
        <w:t>元整（小写：¥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  <w:r>
        <w:rPr>
          <w:rFonts w:hint="eastAsia" w:ascii="仿宋" w:hAnsi="仿宋" w:eastAsia="仿宋" w:cs="仿宋"/>
          <w:sz w:val="24"/>
        </w:rPr>
        <w:t>）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2、服务内容包括但不限于：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（一）系统日常监控与巡检；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（二）系统故障排除与性能优化；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（三）政策调整引起的系统规则更新与适配；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（四）数据安全维护与备份；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（五）用户操作培训与技术支持。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第三条 技术要求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1、故障响应与解决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分级响应机制：</w:t>
      </w:r>
    </w:p>
    <w:tbl>
      <w:tblPr>
        <w:tblStyle w:val="11"/>
        <w:tblW w:w="8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0"/>
        <w:gridCol w:w="2257"/>
        <w:gridCol w:w="1716"/>
        <w:gridCol w:w="1716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事件等级</w:t>
            </w:r>
          </w:p>
        </w:tc>
        <w:tc>
          <w:tcPr>
            <w:tcW w:w="225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定义</w:t>
            </w:r>
          </w:p>
        </w:tc>
        <w:tc>
          <w:tcPr>
            <w:tcW w:w="17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响应时效</w:t>
            </w:r>
          </w:p>
        </w:tc>
        <w:tc>
          <w:tcPr>
            <w:tcW w:w="17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到场时效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恢复时效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一级</w:t>
            </w:r>
          </w:p>
        </w:tc>
        <w:tc>
          <w:tcPr>
            <w:tcW w:w="225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全系统瘫痪</w:t>
            </w:r>
          </w:p>
        </w:tc>
        <w:tc>
          <w:tcPr>
            <w:tcW w:w="17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≤15 分钟电话确认</w:t>
            </w:r>
          </w:p>
        </w:tc>
        <w:tc>
          <w:tcPr>
            <w:tcW w:w="17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≤2 小时抵达现场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≤4 小时恢复核心功能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二级</w:t>
            </w:r>
          </w:p>
        </w:tc>
        <w:tc>
          <w:tcPr>
            <w:tcW w:w="225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核心模块（如检验流程）故障</w:t>
            </w:r>
          </w:p>
        </w:tc>
        <w:tc>
          <w:tcPr>
            <w:tcW w:w="17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≤30 分钟电话确认</w:t>
            </w:r>
          </w:p>
        </w:tc>
        <w:tc>
          <w:tcPr>
            <w:tcW w:w="17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≤4 小时抵达现场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≤8 小时恢复核心功能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0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三级</w:t>
            </w:r>
          </w:p>
        </w:tc>
        <w:tc>
          <w:tcPr>
            <w:tcW w:w="225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非核心功能（如报表）故障</w:t>
            </w:r>
          </w:p>
        </w:tc>
        <w:tc>
          <w:tcPr>
            <w:tcW w:w="17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≤2 小时电话确认</w:t>
            </w:r>
          </w:p>
        </w:tc>
        <w:tc>
          <w:tcPr>
            <w:tcW w:w="171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≤24 小时抵达现场</w:t>
            </w:r>
          </w:p>
        </w:tc>
        <w:tc>
          <w:tcPr>
            <w:tcW w:w="17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≤48 小时恢复功能</w:t>
            </w: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2、服务时效承诺：</w:t>
      </w:r>
    </w:p>
    <w:p>
      <w:pPr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 xml:space="preserve">   7×24小时技术热线（项目负责人: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  <w:r>
        <w:rPr>
          <w:rFonts w:hint="eastAsia" w:ascii="仿宋" w:hAnsi="仿宋" w:eastAsia="仿宋" w:cs="仿宋"/>
          <w:sz w:val="24"/>
        </w:rPr>
        <w:t>,电话</w:t>
      </w:r>
      <w:r>
        <w:rPr>
          <w:rFonts w:hint="eastAsia" w:ascii="仿宋" w:hAnsi="仿宋" w:eastAsia="仿宋" w:cs="仿宋"/>
          <w:sz w:val="24"/>
          <w:lang w:val="en-US" w:eastAsia="zh-CN"/>
        </w:rPr>
        <w:t>: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  <w:r>
        <w:rPr>
          <w:rFonts w:hint="eastAsia" w:ascii="仿宋" w:hAnsi="仿宋" w:eastAsia="仿宋" w:cs="仿宋"/>
          <w:sz w:val="24"/>
        </w:rPr>
        <w:t>，服务地址：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  <w:r>
        <w:rPr>
          <w:rFonts w:hint="eastAsia" w:ascii="仿宋" w:hAnsi="仿宋" w:eastAsia="仿宋" w:cs="仿宋"/>
          <w:sz w:val="24"/>
        </w:rPr>
        <w:t>市），2小时内响应</w:t>
      </w:r>
      <w:r>
        <w:rPr>
          <w:rFonts w:hint="eastAsia" w:ascii="仿宋" w:hAnsi="仿宋" w:eastAsia="仿宋" w:cs="仿宋"/>
          <w:sz w:val="24"/>
          <w:lang w:eastAsia="zh-CN"/>
        </w:rPr>
        <w:t>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远程无法解决时，工程师须在承诺时效内抵达现场（超时按合同总额0.1%/小时支付违约金）；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故障解决后24小时内提交《故障处理报告》（含原因分析、解决措施及预防建议）。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3、数据恢复与备份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备份策略：乙方须执行T+1本地备份（备份数据保留≥30天），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第四条 应急服务与安全保障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1、乙方在接到甲方通知后，需在20分钟内作出远程响应，并迅速对突发事件进行评估。若远程无法解决或甲方无法提供远程运维时，乙方应提供现场支持，并在2小时内派遣技术人员抵达现场进行处理。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2、应急措施与业务连续性，当系统故障预计30分钟内无法恢复时，乙方应协助甲方启动预设的手工操作预案。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事后分析与整改应急事件处置结束后2天内，乙方应向甲方提交书面报告，说明故障发生的根本原因、处理过程、采取的预防措施以及后续系统优化建议。乙方应配合甲方完成事后整改工作，防止同类事件再次发生。</w:t>
      </w:r>
    </w:p>
    <w:p>
      <w:pPr>
        <w:pStyle w:val="2"/>
      </w:pPr>
    </w:p>
    <w:p>
      <w:pPr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第五条 付款方式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1、乙方与甲方应按合同约定条款进行维保服务。合同、定向采购记录表、项目质量考评验收表作为合同附件。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2、甲方按每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季度/半年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考核情况支付（即每次结算按合同总金额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</w:t>
      </w:r>
      <w:r>
        <w:rPr>
          <w:rFonts w:hint="eastAsia" w:ascii="仿宋" w:hAnsi="仿宋" w:eastAsia="仿宋" w:cs="仿宋"/>
          <w:sz w:val="24"/>
        </w:rPr>
        <w:t>%计算）。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3、费用支付流程：每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季度/半年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结算一次，乙方按甲方合同要求完成工作并结合考核情况，于每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季度/半年</w:t>
      </w:r>
      <w:r>
        <w:rPr>
          <w:rFonts w:hint="eastAsia" w:ascii="仿宋" w:hAnsi="仿宋" w:eastAsia="仿宋" w:cs="仿宋"/>
          <w:color w:val="FF0000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服务期结束后向</w:t>
      </w:r>
      <w:r>
        <w:rPr>
          <w:rFonts w:hint="eastAsia" w:ascii="仿宋" w:hAnsi="仿宋" w:eastAsia="仿宋" w:cs="仿宋"/>
          <w:sz w:val="24"/>
          <w:lang w:eastAsia="zh-Hans"/>
        </w:rPr>
        <w:t>甲方</w:t>
      </w:r>
      <w:r>
        <w:rPr>
          <w:rFonts w:hint="eastAsia" w:ascii="仿宋" w:hAnsi="仿宋" w:eastAsia="仿宋" w:cs="仿宋"/>
          <w:sz w:val="24"/>
        </w:rPr>
        <w:t>提供以下资料：</w:t>
      </w:r>
    </w:p>
    <w:p>
      <w:pPr>
        <w:spacing w:line="400" w:lineRule="exact"/>
        <w:ind w:left="425" w:hanging="425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(1)</w:t>
      </w:r>
      <w:r>
        <w:rPr>
          <w:rFonts w:hint="eastAsia" w:ascii="仿宋" w:hAnsi="仿宋" w:eastAsia="仿宋" w:cs="仿宋"/>
          <w:sz w:val="24"/>
        </w:rPr>
        <w:t>定向采购记录表；</w:t>
      </w:r>
    </w:p>
    <w:p>
      <w:pPr>
        <w:spacing w:line="400" w:lineRule="exact"/>
        <w:ind w:left="425" w:hanging="425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(2)</w:t>
      </w:r>
      <w:r>
        <w:rPr>
          <w:rFonts w:hint="eastAsia" w:ascii="仿宋" w:hAnsi="仿宋" w:eastAsia="仿宋" w:cs="仿宋"/>
          <w:sz w:val="24"/>
        </w:rPr>
        <w:t>合同；</w:t>
      </w:r>
    </w:p>
    <w:p>
      <w:pPr>
        <w:spacing w:line="400" w:lineRule="exact"/>
      </w:pPr>
      <w:r>
        <w:rPr>
          <w:rFonts w:hint="eastAsia" w:ascii="仿宋" w:hAnsi="仿宋" w:eastAsia="仿宋" w:cs="仿宋"/>
          <w:sz w:val="24"/>
        </w:rPr>
        <w:t>(3)经</w:t>
      </w:r>
      <w:r>
        <w:rPr>
          <w:rFonts w:hint="eastAsia" w:ascii="仿宋" w:hAnsi="仿宋" w:eastAsia="仿宋" w:cs="仿宋"/>
          <w:sz w:val="24"/>
          <w:lang w:eastAsia="zh-Hans"/>
        </w:rPr>
        <w:t>甲</w:t>
      </w:r>
      <w:r>
        <w:rPr>
          <w:rFonts w:hint="eastAsia" w:ascii="仿宋" w:hAnsi="仿宋" w:eastAsia="仿宋" w:cs="仿宋"/>
          <w:sz w:val="24"/>
        </w:rPr>
        <w:t>方评价的《项目质量考评验收表》;</w:t>
      </w:r>
    </w:p>
    <w:p>
      <w:pPr>
        <w:spacing w:line="400" w:lineRule="exact"/>
        <w:ind w:left="425" w:hanging="425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</w:rPr>
        <w:t>4</w:t>
      </w:r>
      <w:r>
        <w:rPr>
          <w:rFonts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lang w:eastAsia="zh-Hans"/>
        </w:rPr>
        <w:t>乙方</w:t>
      </w:r>
      <w:r>
        <w:rPr>
          <w:rFonts w:hint="eastAsia" w:ascii="仿宋" w:hAnsi="仿宋" w:eastAsia="仿宋" w:cs="仿宋"/>
          <w:sz w:val="24"/>
        </w:rPr>
        <w:t>开具的支付金额等额的正规发票（含税）、（发票金额按扣除考核罚款后金额开具）。甲方收到发票及以上资料后按发票金额60天内通过银行转账至乙方账户。</w:t>
      </w:r>
    </w:p>
    <w:p>
      <w:pPr>
        <w:pStyle w:val="2"/>
        <w:spacing w:line="400" w:lineRule="exac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</w:rPr>
        <w:t>4、</w:t>
      </w:r>
      <w:r>
        <w:rPr>
          <w:rFonts w:hint="eastAsia" w:ascii="仿宋" w:hAnsi="仿宋" w:eastAsia="仿宋" w:cs="仿宋"/>
          <w:sz w:val="24"/>
          <w:lang w:eastAsia="zh-Hans"/>
        </w:rPr>
        <w:t>因甲方使用的是财政性资金，甲方申请汇款审批之日视为付款之日，若审批延迟则相应费用到账延迟，且不视为甲方违约。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5、乙方指定汇款账号信息：</w:t>
      </w:r>
    </w:p>
    <w:p>
      <w:pPr>
        <w:spacing w:line="400" w:lineRule="exac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开户银行：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</w:p>
    <w:p>
      <w:pPr>
        <w:spacing w:line="400" w:lineRule="exac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账户名称：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</w:p>
    <w:p>
      <w:pPr>
        <w:spacing w:line="400" w:lineRule="exact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账    号：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第六条 甲乙双方权利与义务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1、应用系统维护服务部分不加收任何费用，包括：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（1）排除信息系统软件故障，对现有软件进行日常维护，保证系统正常工作。  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（2）优化性能，在同版本内不断升级系统，保持信息系统的运行性能。  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3）保障甲方业务数据（含患者个人信息、诊疗记录、检验报告、医院运营管理数据及由上述数据衍生的任何信息等）完整性、保密性及可用性，防止数据丢失、泄露或篡改。如果用户信息系统进行修改调整，在不改变数据结构的情况下，对本项目中所含的信息系统进行适应性修改，确保各个系统正常数据交互。 </w:t>
      </w:r>
    </w:p>
    <w:p>
      <w:pPr>
        <w:spacing w:line="400" w:lineRule="exact"/>
        <w:rPr>
          <w:rFonts w:hint="eastAsia" w:ascii="仿宋" w:hAnsi="仿宋" w:eastAsia="仿宋" w:cs="仿宋"/>
          <w:strike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（4）软件工程师每季度至少巡检一次，对系统进行检查，并对解决发现的基本系统故障，提交巡检报告。  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（5）整理并提供以上系统的《安装手册》《操作手册》《日常维护手册》，并在维护期内根据系统修改情况确保及时更新。</w:t>
      </w:r>
    </w:p>
    <w:p>
      <w:pPr>
        <w:spacing w:line="400" w:lineRule="exact"/>
      </w:pPr>
      <w:r>
        <w:rPr>
          <w:rFonts w:hint="eastAsia" w:ascii="仿宋" w:hAnsi="仿宋" w:eastAsia="仿宋" w:cs="仿宋"/>
          <w:sz w:val="24"/>
        </w:rPr>
        <w:t>（6）乙方应在现有医院信息化的基础上，不改变现有应用软件的架构及数据库进行应用系统的维护及升级。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2、医院应用系统后台维护服务部分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1）乙方为甲方建立后台系统的配置、日常维护档案，制定并实施数据库备份容灾策略，对后台系统出现的故障给予及时的响应。双方每半年复盘应急事件处理记录，优化应急预案。乙方需根据医院业务发展，每年更新灾备方案和技术方案。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（2）提供软硬件升级方案。  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（3）乙方在对医院进行系统维护过程中，有义务保证医院数据的正确性，现场技术人员必须有严格保守秘密，不破坏，不安装后门木马等。否则甲方有权追究其法律责任。</w:t>
      </w:r>
    </w:p>
    <w:p>
      <w:pPr>
        <w:spacing w:line="40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（4）乙方需制定《应急预案手册》，明确操作步骤、联系人清单及风险控制措施，并与甲方共享更新。</w:t>
      </w:r>
    </w:p>
    <w:p>
      <w:r>
        <w:rPr>
          <w:rFonts w:hint="eastAsia" w:ascii="仿宋" w:hAnsi="仿宋" w:eastAsia="仿宋" w:cs="仿宋"/>
          <w:sz w:val="24"/>
        </w:rPr>
        <w:t>（5）乙方需保障甲方业务数据（含患者个人信息、诊疗记录、检验报告、医院运营管理数据及由上述数据衍生的任何信息等）完整性、保密性及可用性，防止数据丢失、泄露或篡改。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第七条 服务监督与检查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1、甲方有权随时通过现场检查、日志调阅、用户访谈等方式监督乙方服务质效；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乙方须配合甲方审计（包括财务审计、信息安全审计），提供运维记录、备份数据、故障报告等完整资料。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2、故障赔偿责任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分级赔偿标准：</w:t>
      </w:r>
    </w:p>
    <w:tbl>
      <w:tblPr>
        <w:tblStyle w:val="11"/>
        <w:tblW w:w="8931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9"/>
        <w:gridCol w:w="1142"/>
        <w:gridCol w:w="744"/>
        <w:gridCol w:w="842"/>
        <w:gridCol w:w="1107"/>
        <w:gridCol w:w="1682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事件等级</w:t>
            </w:r>
          </w:p>
        </w:tc>
        <w:tc>
          <w:tcPr>
            <w:tcW w:w="11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定义</w:t>
            </w:r>
          </w:p>
        </w:tc>
        <w:tc>
          <w:tcPr>
            <w:tcW w:w="74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响应时效</w:t>
            </w:r>
          </w:p>
        </w:tc>
        <w:tc>
          <w:tcPr>
            <w:tcW w:w="8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到场时效</w:t>
            </w:r>
          </w:p>
        </w:tc>
        <w:tc>
          <w:tcPr>
            <w:tcW w:w="110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恢复时效</w:t>
            </w:r>
          </w:p>
        </w:tc>
        <w:tc>
          <w:tcPr>
            <w:tcW w:w="16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赔偿金额</w:t>
            </w:r>
          </w:p>
        </w:tc>
        <w:tc>
          <w:tcPr>
            <w:tcW w:w="214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附加责任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一级</w:t>
            </w:r>
          </w:p>
        </w:tc>
        <w:tc>
          <w:tcPr>
            <w:tcW w:w="11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全系统瘫痪</w:t>
            </w:r>
          </w:p>
        </w:tc>
        <w:tc>
          <w:tcPr>
            <w:tcW w:w="74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≤15 分钟电话确认</w:t>
            </w:r>
          </w:p>
        </w:tc>
        <w:tc>
          <w:tcPr>
            <w:tcW w:w="8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≤2 小时抵达现场</w:t>
            </w:r>
          </w:p>
        </w:tc>
        <w:tc>
          <w:tcPr>
            <w:tcW w:w="110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≤4 小时恢复核心功能</w:t>
            </w:r>
          </w:p>
        </w:tc>
        <w:tc>
          <w:tcPr>
            <w:tcW w:w="16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当年度合同维护总额 5%（¥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）</w:t>
            </w:r>
          </w:p>
        </w:tc>
        <w:tc>
          <w:tcPr>
            <w:tcW w:w="214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承担甲方因此产生的直接损失（如业务中断索赔）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二级</w:t>
            </w:r>
          </w:p>
        </w:tc>
        <w:tc>
          <w:tcPr>
            <w:tcW w:w="11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核心模块故障</w:t>
            </w:r>
          </w:p>
        </w:tc>
        <w:tc>
          <w:tcPr>
            <w:tcW w:w="74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≤30 分钟电话确认</w:t>
            </w:r>
          </w:p>
        </w:tc>
        <w:tc>
          <w:tcPr>
            <w:tcW w:w="8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≤4 小时抵达现场</w:t>
            </w:r>
          </w:p>
        </w:tc>
        <w:tc>
          <w:tcPr>
            <w:tcW w:w="110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≤8 小时恢复核心功能</w:t>
            </w:r>
          </w:p>
        </w:tc>
        <w:tc>
          <w:tcPr>
            <w:tcW w:w="16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当年度合同维护总额 3%（¥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）</w:t>
            </w:r>
          </w:p>
        </w:tc>
        <w:tc>
          <w:tcPr>
            <w:tcW w:w="214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承担甲方因此产生的直接损失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26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三级</w:t>
            </w:r>
          </w:p>
        </w:tc>
        <w:tc>
          <w:tcPr>
            <w:tcW w:w="11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非核心功能（如报表）故障</w:t>
            </w:r>
          </w:p>
        </w:tc>
        <w:tc>
          <w:tcPr>
            <w:tcW w:w="744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≤2 小时电话确认</w:t>
            </w:r>
          </w:p>
        </w:tc>
        <w:tc>
          <w:tcPr>
            <w:tcW w:w="84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≤24 小时抵达现场</w:t>
            </w:r>
          </w:p>
        </w:tc>
        <w:tc>
          <w:tcPr>
            <w:tcW w:w="110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≤48 小时恢复功能</w:t>
            </w:r>
          </w:p>
        </w:tc>
        <w:tc>
          <w:tcPr>
            <w:tcW w:w="168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当年度合同维护总额 1%（¥</w:t>
            </w:r>
            <w:r>
              <w:rPr>
                <w:rFonts w:hint="eastAsia" w:ascii="仿宋" w:hAnsi="仿宋" w:eastAsia="仿宋" w:cs="仿宋"/>
                <w:color w:val="FF0000"/>
                <w:kern w:val="2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）</w:t>
            </w:r>
          </w:p>
        </w:tc>
        <w:tc>
          <w:tcPr>
            <w:tcW w:w="2145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2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承担甲方因此产生的直接损失</w:t>
            </w:r>
          </w:p>
        </w:tc>
      </w:tr>
    </w:tbl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以上赔偿金额满足条件：当事件等级发生时，乙方需全力协助解决处理，如对应事件等级的响应时效、到场时效、恢复时效全部超时，乙方需赔偿甲方对应的赔偿金额，赔偿金额在当期运维费中扣减。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重大过失责任：若因乙方故意（如篡改数据、泄露信息）或重大过失（如未按备份策略执行导致数据丢失）造成损失，乙方须全额赔偿甲方实际损失（不受上述比例限制）。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3、服务中断应急替代权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若乙方连续2次未达到故障响应时效（如一级事件超2小时到场），甲方可启动应急替代方案（如委托第三方服务商），相关费用从乙方当期服务费中扣除。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第八条 违约责任与赔偿范围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1、禁止在甲方系统中安装未经许可的软件（如远程控制工具、后门程序）；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2、禁止擅自修改系统配置参数或数据库结构（需甲方书面审批）；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3、禁止将甲方数据用于其他项目或泄露给第三方（包括乙方关联公司）。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、乙方因故意或重大过失导致患者信息、检验数据等敏感信息泄露的，除承担相关法律责任外，​每次事件须向甲方支付违约金人民币壹万元整，并全额赔偿甲方因此遭受的损失（包括但不限于行政罚款、患者索赔、声誉损失等）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5、知识产权侵权责任。乙方提供的服务/软件侵犯第三方知识产权的，须承担所有诉讼费用及赔偿，并向甲方支付合同总额20%的违约金。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6、律师费及维权成本。因乙方违约导致甲方采取诉讼、仲裁等维权措施的，​乙方须承担甲方所有合理费用​（包括律师费、鉴定费、差旅费及诉讼保全费等）。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第九条 验收与考核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1、考核标准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甲方每半年依据附件1：</w:t>
      </w:r>
      <w:r>
        <w:rPr>
          <w:rFonts w:hint="eastAsia" w:ascii="仿宋" w:hAnsi="仿宋" w:eastAsia="仿宋" w:cs="仿宋"/>
          <w:sz w:val="24"/>
          <w:lang w:eastAsia="zh-CN"/>
        </w:rPr>
        <w:t>《</w:t>
      </w:r>
      <w:r>
        <w:rPr>
          <w:rFonts w:hint="eastAsia" w:ascii="仿宋" w:hAnsi="仿宋" w:eastAsia="仿宋" w:cs="仿宋"/>
          <w:sz w:val="24"/>
        </w:rPr>
        <w:t>项目质量考评验收表</w:t>
      </w:r>
      <w:r>
        <w:rPr>
          <w:rFonts w:hint="eastAsia" w:ascii="仿宋" w:hAnsi="仿宋" w:eastAsia="仿宋" w:cs="仿宋"/>
          <w:sz w:val="24"/>
          <w:lang w:eastAsia="zh-CN"/>
        </w:rPr>
        <w:t>》</w:t>
      </w:r>
      <w:r>
        <w:rPr>
          <w:rFonts w:hint="eastAsia" w:ascii="仿宋" w:hAnsi="仿宋" w:eastAsia="仿宋" w:cs="仿宋"/>
          <w:sz w:val="24"/>
        </w:rPr>
        <w:t>对乙方进行考核，重点关注以下指标：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故障响应时效达标率≥95%；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数据恢复成功率≥99.9%；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用户满意度评分≥85分（由甲方信息科及临床科室共同评价）；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备份执行合规率（按《备份执行确认单》核查）≥100%。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2、考核结果应用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≥80分：合同继续执行；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70-79分：每低1分扣罚1,000元，并限期15天整改（整改未达标则视为“不合格”）；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&lt;70分：甲方有权单方终止合同，乙方须支付合同总额10%违约金（¥5,000.00），并赔偿甲方因此产生的损失（如重新招标费用、业务中断损失）。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24"/>
        </w:rPr>
        <w:t>条 不可抗力与争议解决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1、因自然灾害、政策变动等不可抗力导致无法履约的，受影响方须在事件发生后24小时内书面通知对方，并提供权威机构证明；双方协商解决，互不承担违约责任。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第十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24"/>
        </w:rPr>
        <w:t>条 争议解决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1、凡与本合同有关而引起的一切争议，买卖双方应首先通过友好协商解决，如经协商后仍不能达成协议时，任何一方可以向甲方所在地法院提出诉讼。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2、本合同的诉讼管辖地为甲方所在地的法院。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3．在进行法院审理期间，除提交法院审理的事项外，合同其他部分仍应继续履行（合同被解除或终止的除外）。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4．本合同按照中华人民共和国的法律进行解释。</w:t>
      </w:r>
    </w:p>
    <w:p>
      <w:pPr>
        <w:rPr>
          <w:rFonts w:hint="eastAsia" w:ascii="仿宋" w:hAnsi="仿宋" w:eastAsia="仿宋" w:cs="仿宋"/>
          <w:sz w:val="24"/>
        </w:rPr>
      </w:pP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第十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</w:rPr>
        <w:t>条 其他条款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1、合同附件：《运维服务内容清单》《项目质量考评验收表》为本合同组成部分，与本合同具有同等法律效力。</w:t>
      </w:r>
    </w:p>
    <w:p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2、合同生效：本合同一式四份，甲乙双方各执两份，自双方签字、盖章后均具有同等法律效力,生效日以最后一个签字日或盖章日为准。</w:t>
      </w:r>
    </w:p>
    <w:p>
      <w:pPr>
        <w:pStyle w:val="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（以下无正文）</w:t>
      </w:r>
    </w:p>
    <w:p>
      <w:pPr>
        <w:pStyle w:val="2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附件1：运维服务内容清单</w:t>
      </w:r>
    </w:p>
    <w:p>
      <w:pPr>
        <w:pStyle w:val="2"/>
        <w:spacing w:after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附件2：项目质量考评验收表</w:t>
      </w:r>
    </w:p>
    <w:p>
      <w:pPr>
        <w:spacing w:line="400" w:lineRule="exact"/>
        <w:ind w:left="-315" w:leftChars="-150"/>
        <w:jc w:val="lef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ind w:left="-315" w:leftChars="-150"/>
        <w:jc w:val="lef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ind w:left="-315" w:leftChars="-150" w:right="-525" w:rightChars="-25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甲方：中山市</w:t>
      </w:r>
      <w:r>
        <w:rPr>
          <w:rFonts w:hint="eastAsia" w:ascii="仿宋" w:hAnsi="仿宋" w:eastAsia="仿宋" w:cs="仿宋"/>
          <w:sz w:val="24"/>
          <w:lang w:eastAsia="zh-Hans"/>
        </w:rPr>
        <w:t>黄圃人民医院</w:t>
      </w:r>
      <w:r>
        <w:rPr>
          <w:rFonts w:hint="eastAsia" w:ascii="仿宋" w:hAnsi="仿宋" w:eastAsia="仿宋" w:cs="仿宋"/>
          <w:sz w:val="24"/>
        </w:rPr>
        <w:t xml:space="preserve">              乙方：</w:t>
      </w:r>
      <w:r>
        <w:rPr>
          <w:rFonts w:hint="eastAsia" w:ascii="仿宋" w:hAnsi="仿宋" w:eastAsia="仿宋" w:cs="仿宋"/>
          <w:color w:val="FF0000"/>
          <w:sz w:val="24"/>
          <w:lang w:val="en-US" w:eastAsia="zh-CN"/>
        </w:rPr>
        <w:t>XXX</w:t>
      </w:r>
      <w:r>
        <w:rPr>
          <w:rFonts w:hint="eastAsia" w:ascii="仿宋" w:hAnsi="仿宋" w:eastAsia="仿宋" w:cs="仿宋"/>
          <w:sz w:val="24"/>
        </w:rPr>
        <w:t xml:space="preserve">      </w:t>
      </w:r>
    </w:p>
    <w:p>
      <w:pPr>
        <w:spacing w:line="400" w:lineRule="exact"/>
        <w:ind w:left="-315" w:leftChars="-15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（盖章）                             （盖章）</w:t>
      </w:r>
    </w:p>
    <w:p>
      <w:pPr>
        <w:spacing w:line="400" w:lineRule="exact"/>
        <w:ind w:left="-315" w:leftChars="-150"/>
        <w:jc w:val="left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ind w:left="-315" w:leftChars="-15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法定代表人或授权委托人：              法定代表人或授权委托人：                  </w:t>
      </w:r>
    </w:p>
    <w:p>
      <w:pPr>
        <w:pStyle w:val="2"/>
        <w:rPr>
          <w:rFonts w:hint="eastAsia" w:ascii="仿宋" w:hAnsi="仿宋" w:eastAsia="仿宋" w:cs="仿宋"/>
          <w:sz w:val="24"/>
        </w:rPr>
      </w:pPr>
    </w:p>
    <w:p>
      <w:pPr>
        <w:spacing w:line="400" w:lineRule="exact"/>
        <w:ind w:left="-315" w:leftChars="-15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日期：   年   月   日                 日期：   年   月   日        </w:t>
      </w:r>
    </w:p>
    <w:p>
      <w:pPr>
        <w:widowControl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br w:type="page"/>
      </w:r>
    </w:p>
    <w:p>
      <w:pPr>
        <w:spacing w:line="400" w:lineRule="exact"/>
        <w:ind w:left="-315" w:leftChars="-15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附件1：《运维服务内容清单》</w:t>
      </w:r>
    </w:p>
    <w:tbl>
      <w:tblPr>
        <w:tblStyle w:val="11"/>
        <w:tblpPr w:leftFromText="180" w:rightFromText="180" w:vertAnchor="text" w:horzAnchor="margin" w:tblpY="145"/>
        <w:tblOverlap w:val="never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584"/>
        <w:gridCol w:w="6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序  号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60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数据、仪器接口维护</w:t>
            </w:r>
          </w:p>
        </w:tc>
        <w:tc>
          <w:tcPr>
            <w:tcW w:w="60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sz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系统功能维护</w:t>
            </w:r>
          </w:p>
        </w:tc>
        <w:tc>
          <w:tcPr>
            <w:tcW w:w="60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" w:hAnsi="仿宋" w:eastAsia="仿宋" w:cs="仿宋"/>
                <w:sz w:val="24"/>
                <w:highlight w:val="red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故障处理</w:t>
            </w:r>
          </w:p>
        </w:tc>
        <w:tc>
          <w:tcPr>
            <w:tcW w:w="60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在收到系统故障处理请求后，立即对故障原因进行定位并排除故障，必要时到故障现场进行处理；处理一般性故障后，提交故障处理结果报告；处理重大故障后，提交故障分析报告，提出预防建议。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远程维护</w:t>
            </w:r>
          </w:p>
        </w:tc>
        <w:tc>
          <w:tcPr>
            <w:tcW w:w="601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对有远程登录条件的系统，并在征得信息科同意的前提下，远程登录到系统的正式环境，进行监控、故障处理和软件升级服务。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热线电话</w:t>
            </w:r>
          </w:p>
        </w:tc>
        <w:tc>
          <w:tcPr>
            <w:tcW w:w="6016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所有系统用户在系统使用过程中遇到任何问题，都可以通过热线电话得到支持和帮助。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网络服务</w:t>
            </w:r>
          </w:p>
        </w:tc>
        <w:tc>
          <w:tcPr>
            <w:tcW w:w="60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开通电子邮件服务，所有系统用户在系统使用过程中遇到任何问题，都可以通过电子邮件得到网上支持和帮助。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服务器远程巡检</w:t>
            </w:r>
          </w:p>
        </w:tc>
        <w:tc>
          <w:tcPr>
            <w:tcW w:w="60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定期对服务器运行环境进行巡检，巡检内容包括：服务器内存情况评估、硬盘情况评估、系统运行稳定性评估等；给出专业化解决方案。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02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</w:t>
            </w:r>
          </w:p>
        </w:tc>
        <w:tc>
          <w:tcPr>
            <w:tcW w:w="158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数据核查</w:t>
            </w:r>
          </w:p>
        </w:tc>
        <w:tc>
          <w:tcPr>
            <w:tcW w:w="6016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根据医院信息化厂商提供数据质量校准方案，为体检工作提供准确的数据基础，保障体检工作的有效开展。</w:t>
            </w:r>
          </w:p>
        </w:tc>
      </w:tr>
    </w:tbl>
    <w:p>
      <w:pPr>
        <w:spacing w:line="480" w:lineRule="auto"/>
        <w:jc w:val="left"/>
        <w:rPr>
          <w:rFonts w:hint="eastAsia" w:ascii="仿宋" w:hAnsi="仿宋" w:eastAsia="仿宋" w:cs="仿宋"/>
          <w:sz w:val="24"/>
          <w:lang w:eastAsia="zh-Hans"/>
        </w:rPr>
      </w:pPr>
    </w:p>
    <w:p>
      <w:pPr>
        <w:pStyle w:val="2"/>
        <w:rPr>
          <w:rFonts w:hint="eastAsia" w:ascii="仿宋" w:hAnsi="仿宋" w:eastAsia="仿宋" w:cs="仿宋"/>
          <w:sz w:val="24"/>
        </w:rPr>
      </w:pPr>
    </w:p>
    <w:p>
      <w:pPr>
        <w:pStyle w:val="2"/>
        <w:rPr>
          <w:rFonts w:hint="eastAsia" w:ascii="仿宋" w:hAnsi="仿宋" w:eastAsia="仿宋" w:cs="仿宋"/>
          <w:sz w:val="24"/>
          <w:lang w:eastAsia="zh-Hans"/>
        </w:rPr>
      </w:pPr>
    </w:p>
    <w:p>
      <w:pPr>
        <w:widowControl/>
        <w:jc w:val="left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eastAsia="zh-Hans"/>
        </w:rPr>
        <w:br w:type="page"/>
      </w:r>
    </w:p>
    <w:p>
      <w:pPr>
        <w:pStyle w:val="2"/>
        <w:rPr>
          <w:rFonts w:hint="eastAsia" w:ascii="仿宋" w:hAnsi="仿宋" w:eastAsia="仿宋" w:cs="仿宋"/>
          <w:sz w:val="24"/>
          <w:lang w:eastAsia="zh-Hans"/>
        </w:rPr>
      </w:pPr>
      <w:r>
        <w:rPr>
          <w:rFonts w:hint="eastAsia" w:ascii="仿宋" w:hAnsi="仿宋" w:eastAsia="仿宋" w:cs="仿宋"/>
          <w:sz w:val="24"/>
          <w:lang w:eastAsia="zh-Hans"/>
        </w:rPr>
        <w:t>附件</w:t>
      </w:r>
      <w:r>
        <w:rPr>
          <w:rFonts w:hint="eastAsia" w:ascii="仿宋" w:hAnsi="仿宋" w:eastAsia="仿宋" w:cs="仿宋"/>
          <w:sz w:val="24"/>
        </w:rPr>
        <w:t>2</w:t>
      </w:r>
      <w:r>
        <w:rPr>
          <w:rFonts w:hint="eastAsia" w:ascii="仿宋" w:hAnsi="仿宋" w:eastAsia="仿宋" w:cs="仿宋"/>
          <w:sz w:val="24"/>
          <w:lang w:eastAsia="zh-Hans"/>
        </w:rPr>
        <w:t>：《项目质量考评验收表》</w:t>
      </w:r>
    </w:p>
    <w:tbl>
      <w:tblPr>
        <w:tblStyle w:val="11"/>
        <w:tblpPr w:leftFromText="180" w:rightFromText="180" w:vertAnchor="text" w:horzAnchor="page" w:tblpX="1062" w:tblpY="464"/>
        <w:tblOverlap w:val="never"/>
        <w:tblW w:w="99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1034"/>
        <w:gridCol w:w="1252"/>
        <w:gridCol w:w="6282"/>
        <w:gridCol w:w="74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分类</w:t>
            </w: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分项</w:t>
            </w:r>
          </w:p>
        </w:tc>
        <w:tc>
          <w:tcPr>
            <w:tcW w:w="6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详细描述</w:t>
            </w:r>
          </w:p>
        </w:tc>
        <w:tc>
          <w:tcPr>
            <w:tcW w:w="7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分值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运维人员管理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人员管理规范性</w:t>
            </w:r>
          </w:p>
        </w:tc>
        <w:tc>
          <w:tcPr>
            <w:tcW w:w="6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成交供应商的人员轮换表要及时报信息科，人员变动必须提供成交供应商授权书加盖公章，且经过信息科批准方可更换。违反规定每人次扣5分。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运维人员应加强服务意识，积极做好运维工作。如发生运维人员不服从信息科工作安排的或</w:t>
            </w:r>
            <w:r>
              <w:rPr>
                <w:rFonts w:hint="eastAsia" w:ascii="仿宋" w:hAnsi="仿宋" w:eastAsia="仿宋" w:cs="仿宋"/>
                <w:sz w:val="24"/>
              </w:rPr>
              <w:t>工作出现拖拉、推诿的，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扣2分/次。情节严重的</w:t>
            </w:r>
            <w:r>
              <w:rPr>
                <w:rFonts w:hint="eastAsia" w:ascii="仿宋" w:hAnsi="仿宋" w:eastAsia="仿宋" w:cs="仿宋"/>
                <w:sz w:val="24"/>
              </w:rPr>
              <w:t>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扣除履约保证金。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6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人员行为规范</w:t>
            </w:r>
          </w:p>
        </w:tc>
        <w:tc>
          <w:tcPr>
            <w:tcW w:w="6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1、严格配合医院的</w:t>
            </w:r>
            <w:r>
              <w:rPr>
                <w:rFonts w:hint="eastAsia" w:ascii="仿宋" w:hAnsi="仿宋" w:eastAsia="仿宋" w:cs="仿宋"/>
                <w:sz w:val="24"/>
              </w:rPr>
              <w:t>规章制度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要求，未按信息科传达的要求执行的，扣1分/人次。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2、遵守信息科的卫生及消防要求，严禁科室内吸烟，如有发现，扣0.5分/次。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运维服务质量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运维服务及时性</w:t>
            </w:r>
          </w:p>
        </w:tc>
        <w:tc>
          <w:tcPr>
            <w:tcW w:w="62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对于报障的问题，处理不及时的（按合同或需求文件的及时性要求），扣1分/次。由于处理不及时而造成严重影响的，扣5分/次。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6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运维项目稳定性</w:t>
            </w:r>
          </w:p>
        </w:tc>
        <w:tc>
          <w:tcPr>
            <w:tcW w:w="6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成交供应商应加强运维系统稳定性，按照故障等级（具体标准详见附表）进行评价：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发生一次S1级，扣25分；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发生一次S2级，扣15分；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发生一次S3级，扣10分；</w:t>
            </w:r>
          </w:p>
          <w:p>
            <w:pPr>
              <w:widowControl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发生一次S4级，扣5分。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投诉</w:t>
            </w:r>
          </w:p>
        </w:tc>
        <w:tc>
          <w:tcPr>
            <w:tcW w:w="6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如使用科室针对服务质量或运维人员有投诉，经核实投诉内容属实的，每次扣5分。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4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3</w:t>
            </w:r>
          </w:p>
        </w:tc>
        <w:tc>
          <w:tcPr>
            <w:tcW w:w="103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安全管理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系统安全</w:t>
            </w:r>
          </w:p>
        </w:tc>
        <w:tc>
          <w:tcPr>
            <w:tcW w:w="6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1、积极配合信息科的系统安全审查及整改，不配合整改的，扣5分/次。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2、因系统安全等原因，被上级部门通报的，每次扣10分。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64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信息安全</w:t>
            </w:r>
          </w:p>
        </w:tc>
        <w:tc>
          <w:tcPr>
            <w:tcW w:w="6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1、运维人员如需出入机房的，需严格按照信息科的机房出入管理和安全管理要求，未按要求执行的，扣2分/次。如因违规操作，造成严重影响的，扣10分/次。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2、加强系统的数据安全管理。如发生数据丢失的，每次扣2分。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3、加强运维人员的信息保密教育，如发生利用工作之便，窃取系统数据的，扣40分/次，并移交司法机关处置。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巡检管理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巡检</w:t>
            </w:r>
          </w:p>
        </w:tc>
        <w:tc>
          <w:tcPr>
            <w:tcW w:w="6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1、项目负责人按照按合同或需求文件的规定进行巡检并填写巡检记录，未执行的扣1分/次。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2、由于巡检不到位、不认真造成系统故障、数据丢失等事故的，扣5分/次。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备品备件管理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备品备件</w:t>
            </w:r>
          </w:p>
        </w:tc>
        <w:tc>
          <w:tcPr>
            <w:tcW w:w="62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成交供应商应按照合同或需求文件要求准备充足的备品备件，如发生备品备件不足的，扣2分/次。如因备品备件不足，造成严重影响的，扣4分/次。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4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文档管理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文档规范</w:t>
            </w:r>
          </w:p>
        </w:tc>
        <w:tc>
          <w:tcPr>
            <w:tcW w:w="628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按照合同或需求文件的要求，准备运维文档，如巡检记录、整改报告等资料，如有缺失，每项扣0.5分。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合计</w:t>
            </w:r>
          </w:p>
        </w:tc>
        <w:tc>
          <w:tcPr>
            <w:tcW w:w="7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100分-累计扣分值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3" w:hRule="atLeast"/>
        </w:trPr>
        <w:tc>
          <w:tcPr>
            <w:tcW w:w="9962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</w:p>
          <w:tbl>
            <w:tblPr>
              <w:tblStyle w:val="11"/>
              <w:tblW w:w="9746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8"/>
              <w:gridCol w:w="2475"/>
              <w:gridCol w:w="1594"/>
              <w:gridCol w:w="1106"/>
              <w:gridCol w:w="1125"/>
              <w:gridCol w:w="1181"/>
              <w:gridCol w:w="1127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9746" w:type="dxa"/>
                  <w:gridSpan w:val="7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kern w:val="0"/>
                      <w:sz w:val="24"/>
                    </w:rPr>
                    <w:t>附：系统故障等级标准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故障等级</w:t>
                  </w:r>
                </w:p>
              </w:tc>
              <w:tc>
                <w:tcPr>
                  <w:tcW w:w="247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故障描述</w:t>
                  </w:r>
                </w:p>
              </w:tc>
              <w:tc>
                <w:tcPr>
                  <w:tcW w:w="6133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判断标准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59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影响功能模块</w:t>
                  </w:r>
                </w:p>
              </w:tc>
              <w:tc>
                <w:tcPr>
                  <w:tcW w:w="110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影响等级</w:t>
                  </w:r>
                </w:p>
              </w:tc>
              <w:tc>
                <w:tcPr>
                  <w:tcW w:w="11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影响用户</w:t>
                  </w:r>
                </w:p>
              </w:tc>
              <w:tc>
                <w:tcPr>
                  <w:tcW w:w="118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影响数据</w:t>
                  </w:r>
                </w:p>
              </w:tc>
              <w:tc>
                <w:tcPr>
                  <w:tcW w:w="112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影响时间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S1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 xml:space="preserve">造成很大损失 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核心功能严重影响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P1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 xml:space="preserve">50%以上 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&gt;10000行记录以上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 xml:space="preserve">&gt;2h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 xml:space="preserve">或影响范围很大 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或中断时间很长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或核心业务功能不可用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或数据丢失很多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S2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 xml:space="preserve">造成较大损失 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核心功能影响较大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P1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30%-50%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1000-10000行记录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1h-2h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 xml:space="preserve">或影响范围较大 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或中断时间较长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或核心业务功能影响较大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或数据丢失较多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S3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 xml:space="preserve">造成很大损失 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核心功能影响小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P1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10%-30%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100-999行记录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0.5h-1h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或影响范围中等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或中断时间很长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或核心业务功能受影响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或中等数据丢失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S4</w:t>
                  </w: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 xml:space="preserve">造成很大损失 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非核心功能影响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P1</w:t>
                  </w:r>
                </w:p>
              </w:tc>
              <w:tc>
                <w:tcPr>
                  <w:tcW w:w="1125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10%</w:t>
                  </w:r>
                </w:p>
              </w:tc>
              <w:tc>
                <w:tcPr>
                  <w:tcW w:w="1181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&lt;100行记录</w:t>
                  </w:r>
                </w:p>
              </w:tc>
              <w:tc>
                <w:tcPr>
                  <w:tcW w:w="1127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 xml:space="preserve">&lt;0.5h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 xml:space="preserve">或影响范围很大 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或中断时间很长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或核心业务功能不受影响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38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24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  <w:t>或少量数据丢失</w:t>
                  </w:r>
                </w:p>
              </w:tc>
              <w:tc>
                <w:tcPr>
                  <w:tcW w:w="1594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06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5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81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  <w:tc>
                <w:tcPr>
                  <w:tcW w:w="1127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pStyle w:val="4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>
      <w:pPr>
        <w:pStyle w:val="2"/>
        <w:rPr>
          <w:lang w:eastAsia="zh-Hans"/>
        </w:rPr>
      </w:pPr>
    </w:p>
    <w:p>
      <w:pPr>
        <w:rPr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6537C"/>
    <w:multiLevelType w:val="singleLevel"/>
    <w:tmpl w:val="2606537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4CD"/>
    <w:rsid w:val="00053B6C"/>
    <w:rsid w:val="000821C7"/>
    <w:rsid w:val="000A519B"/>
    <w:rsid w:val="000C24CD"/>
    <w:rsid w:val="000D3057"/>
    <w:rsid w:val="00144595"/>
    <w:rsid w:val="00172065"/>
    <w:rsid w:val="00173FCC"/>
    <w:rsid w:val="0021366F"/>
    <w:rsid w:val="00235C4E"/>
    <w:rsid w:val="00281C45"/>
    <w:rsid w:val="0033711C"/>
    <w:rsid w:val="00337393"/>
    <w:rsid w:val="003458F3"/>
    <w:rsid w:val="003529B4"/>
    <w:rsid w:val="0037576F"/>
    <w:rsid w:val="00383247"/>
    <w:rsid w:val="003B5A21"/>
    <w:rsid w:val="003F1AE6"/>
    <w:rsid w:val="00407FFB"/>
    <w:rsid w:val="00477A67"/>
    <w:rsid w:val="004E27CB"/>
    <w:rsid w:val="00524479"/>
    <w:rsid w:val="00565E4C"/>
    <w:rsid w:val="00583B1D"/>
    <w:rsid w:val="005C7396"/>
    <w:rsid w:val="006367CE"/>
    <w:rsid w:val="00676020"/>
    <w:rsid w:val="006902D7"/>
    <w:rsid w:val="00855B7E"/>
    <w:rsid w:val="00936BA9"/>
    <w:rsid w:val="009E28B7"/>
    <w:rsid w:val="009F0DF8"/>
    <w:rsid w:val="009F3DB2"/>
    <w:rsid w:val="00A71D38"/>
    <w:rsid w:val="00AD6FAB"/>
    <w:rsid w:val="00B91E53"/>
    <w:rsid w:val="00C13919"/>
    <w:rsid w:val="00C844A0"/>
    <w:rsid w:val="00CE1A6A"/>
    <w:rsid w:val="00DA7469"/>
    <w:rsid w:val="00E2046F"/>
    <w:rsid w:val="00E23F5C"/>
    <w:rsid w:val="00EA695F"/>
    <w:rsid w:val="00F148B5"/>
    <w:rsid w:val="07EA4C38"/>
    <w:rsid w:val="08312A16"/>
    <w:rsid w:val="096960A5"/>
    <w:rsid w:val="0CC23CC9"/>
    <w:rsid w:val="0CFB09DC"/>
    <w:rsid w:val="10300A67"/>
    <w:rsid w:val="12597F63"/>
    <w:rsid w:val="127402A6"/>
    <w:rsid w:val="15727CF6"/>
    <w:rsid w:val="18320028"/>
    <w:rsid w:val="18D60552"/>
    <w:rsid w:val="2109075A"/>
    <w:rsid w:val="24B81F28"/>
    <w:rsid w:val="26400827"/>
    <w:rsid w:val="369E032D"/>
    <w:rsid w:val="40B50A73"/>
    <w:rsid w:val="44CE474A"/>
    <w:rsid w:val="45A3599A"/>
    <w:rsid w:val="4BE528AA"/>
    <w:rsid w:val="4DAE6422"/>
    <w:rsid w:val="4FCF44CF"/>
    <w:rsid w:val="50C51F13"/>
    <w:rsid w:val="53AD2181"/>
    <w:rsid w:val="547F1F0F"/>
    <w:rsid w:val="58AE2D0D"/>
    <w:rsid w:val="5AA72A6E"/>
    <w:rsid w:val="5B291DFD"/>
    <w:rsid w:val="5E2A2DA3"/>
    <w:rsid w:val="5EB34E0A"/>
    <w:rsid w:val="607572D4"/>
    <w:rsid w:val="60B05BB1"/>
    <w:rsid w:val="60F0468D"/>
    <w:rsid w:val="625B4783"/>
    <w:rsid w:val="635661B5"/>
    <w:rsid w:val="67BD578A"/>
    <w:rsid w:val="698E206B"/>
    <w:rsid w:val="6EA61142"/>
    <w:rsid w:val="6F471E6A"/>
    <w:rsid w:val="70AA49F6"/>
    <w:rsid w:val="70C15150"/>
    <w:rsid w:val="791E69D5"/>
    <w:rsid w:val="7BEA797C"/>
    <w:rsid w:val="7E673E6B"/>
    <w:rsid w:val="7F17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3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4">
    <w:name w:val="annotation text"/>
    <w:basedOn w:val="1"/>
    <w:link w:val="14"/>
    <w:qFormat/>
    <w:uiPriority w:val="0"/>
    <w:pPr>
      <w:jc w:val="left"/>
    </w:pPr>
    <w:rPr>
      <w:rFonts w:ascii="Calibri" w:hAnsi="Calibri" w:eastAsia="宋体" w:cs="Times New Roman"/>
    </w:rPr>
  </w:style>
  <w:style w:type="paragraph" w:styleId="5">
    <w:name w:val="Body Text Indent 2"/>
    <w:basedOn w:val="1"/>
    <w:qFormat/>
    <w:uiPriority w:val="0"/>
    <w:pPr>
      <w:ind w:firstLine="480"/>
    </w:pPr>
    <w:rPr>
      <w:rFonts w:ascii="Calibri" w:hAnsi="Calibri" w:eastAsia="宋体" w:cs="Times New Roman"/>
      <w:sz w:val="24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13">
    <w:name w:val="正文文本 字符"/>
    <w:link w:val="2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4">
    <w:name w:val="批注文字 字符"/>
    <w:basedOn w:val="9"/>
    <w:link w:val="4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paragraph" w:customStyle="1" w:styleId="1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547D0C-5D88-49A2-A23E-507244C491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3200</Words>
  <Characters>3298</Characters>
  <Lines>366</Lines>
  <Paragraphs>309</Paragraphs>
  <TotalTime>0</TotalTime>
  <ScaleCrop>false</ScaleCrop>
  <LinksUpToDate>false</LinksUpToDate>
  <CharactersWithSpaces>6189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2025-07-24T12:03:00Z</dcterms:created>
  <dc:creator>Administrator</dc:creator>
  <cp:lastModifiedBy>赖宇娟</cp:lastModifiedBy>
  <dcterms:modified xsi:type="dcterms:W3CDTF">2026-06-17T07:27:18Z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KSOTemplateDocerSaveRecord">
    <vt:lpwstr>eyJoZGlkIjoiMmU5ZmRmM2VjNTRhMDVmZTUwZTA3MDYzNjFiMmY3M2IiLCJ1c2VySWQiOiI0Mzg4OTUwMjcifQ==</vt:lpwstr>
  </property>
  <property fmtid="{D5CDD505-2E9C-101B-9397-08002B2CF9AE}" pid="4" name="ICV">
    <vt:lpwstr>5B133B5301F444659C27A43F1C7D0ED6_13</vt:lpwstr>
  </property>
</Properties>
</file>