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Theme="majorEastAsia" w:hAnsiTheme="majorEastAsia" w:eastAsiaTheme="majorEastAsia" w:cstheme="majorEastAsia"/>
          <w:b/>
          <w:sz w:val="28"/>
          <w:szCs w:val="28"/>
          <w:lang w:eastAsia="zh-CN"/>
        </w:rPr>
      </w:pPr>
      <w:r>
        <w:rPr>
          <w:rFonts w:hint="eastAsia" w:asciiTheme="majorEastAsia" w:hAnsiTheme="majorEastAsia" w:eastAsiaTheme="majorEastAsia" w:cstheme="majorEastAsia"/>
          <w:b/>
          <w:sz w:val="28"/>
          <w:szCs w:val="28"/>
          <w:lang w:eastAsia="zh-CN"/>
        </w:rPr>
        <w:t>附件</w:t>
      </w:r>
      <w:r>
        <w:rPr>
          <w:rFonts w:hint="eastAsia" w:asciiTheme="majorEastAsia" w:hAnsiTheme="majorEastAsia" w:eastAsiaTheme="majorEastAsia" w:cstheme="majorEastAsia"/>
          <w:b/>
          <w:sz w:val="28"/>
          <w:szCs w:val="28"/>
          <w:lang w:val="en-US" w:eastAsia="zh-CN"/>
        </w:rPr>
        <w:t>5：</w:t>
      </w:r>
    </w:p>
    <w:p>
      <w:pPr>
        <w:spacing w:line="360" w:lineRule="auto"/>
        <w:jc w:val="center"/>
        <w:rPr>
          <w:rFonts w:hint="eastAsia" w:asciiTheme="majorEastAsia" w:hAnsiTheme="majorEastAsia" w:eastAsiaTheme="majorEastAsia" w:cstheme="majorEastAsia"/>
          <w:b/>
          <w:sz w:val="44"/>
          <w:szCs w:val="44"/>
          <w:lang w:eastAsia="zh-CN"/>
        </w:rPr>
      </w:pPr>
      <w:r>
        <w:rPr>
          <w:rFonts w:hint="eastAsia" w:asciiTheme="majorEastAsia" w:hAnsiTheme="majorEastAsia" w:eastAsiaTheme="majorEastAsia" w:cstheme="majorEastAsia"/>
          <w:b/>
          <w:sz w:val="44"/>
          <w:szCs w:val="44"/>
          <w:lang w:eastAsia="zh-CN"/>
        </w:rPr>
        <w:t>中山市黄圃人民医院</w:t>
      </w:r>
    </w:p>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heme="majorEastAsia" w:hAnsiTheme="majorEastAsia" w:eastAsiaTheme="majorEastAsia" w:cstheme="majorEastAsia"/>
          <w:b/>
          <w:bCs w:val="0"/>
          <w:color w:val="auto"/>
          <w:sz w:val="44"/>
          <w:szCs w:val="44"/>
          <w:u w:val="none"/>
        </w:rPr>
      </w:pPr>
      <w:r>
        <w:rPr>
          <w:rFonts w:hint="eastAsia" w:asciiTheme="majorEastAsia" w:hAnsiTheme="majorEastAsia" w:eastAsiaTheme="majorEastAsia" w:cstheme="majorEastAsia"/>
          <w:b/>
          <w:bCs w:val="0"/>
          <w:color w:val="auto"/>
          <w:sz w:val="44"/>
          <w:szCs w:val="44"/>
          <w:u w:val="none"/>
          <w:lang w:val="en-US" w:eastAsia="zh-CN"/>
        </w:rPr>
        <w:t>DRG</w:t>
      </w:r>
      <w:r>
        <w:rPr>
          <w:rFonts w:hint="eastAsia" w:asciiTheme="majorEastAsia" w:hAnsiTheme="majorEastAsia" w:eastAsiaTheme="majorEastAsia" w:cstheme="majorEastAsia"/>
          <w:b/>
          <w:bCs w:val="0"/>
          <w:color w:val="auto"/>
          <w:sz w:val="44"/>
          <w:szCs w:val="44"/>
          <w:u w:val="none"/>
        </w:rPr>
        <w:t>系统CMI数据服务</w:t>
      </w:r>
      <w:r>
        <w:rPr>
          <w:rFonts w:hint="eastAsia" w:asciiTheme="majorEastAsia" w:hAnsiTheme="majorEastAsia" w:eastAsiaTheme="majorEastAsia" w:cstheme="majorEastAsia"/>
          <w:b/>
          <w:bCs w:val="0"/>
          <w:color w:val="auto"/>
          <w:sz w:val="44"/>
          <w:szCs w:val="44"/>
          <w:u w:val="none"/>
          <w:lang w:eastAsia="zh-CN"/>
        </w:rPr>
        <w:t>项目</w:t>
      </w:r>
    </w:p>
    <w:p>
      <w:pPr>
        <w:pStyle w:val="4"/>
        <w:rPr>
          <w:rFonts w:hint="default"/>
          <w:lang w:val="en-US" w:eastAsia="zh-CN"/>
        </w:rPr>
      </w:pPr>
    </w:p>
    <w:p>
      <w:pPr>
        <w:rPr>
          <w:rFonts w:hint="default"/>
          <w:lang w:val="en-US" w:eastAsia="zh-CN"/>
        </w:rPr>
      </w:pPr>
    </w:p>
    <w:p>
      <w:pPr>
        <w:spacing w:line="360" w:lineRule="auto"/>
        <w:jc w:val="center"/>
        <w:rPr>
          <w:rFonts w:asciiTheme="minorEastAsia" w:hAnsiTheme="minorEastAsia"/>
          <w:b/>
          <w:sz w:val="44"/>
          <w:szCs w:val="44"/>
        </w:rPr>
      </w:pPr>
    </w:p>
    <w:p>
      <w:pPr>
        <w:spacing w:line="360" w:lineRule="auto"/>
        <w:jc w:val="center"/>
        <w:rPr>
          <w:rFonts w:asciiTheme="minorEastAsia" w:hAnsiTheme="minorEastAsia"/>
          <w:b/>
          <w:sz w:val="96"/>
          <w:szCs w:val="96"/>
        </w:rPr>
      </w:pPr>
      <w:r>
        <w:rPr>
          <w:rFonts w:hint="eastAsia" w:asciiTheme="minorEastAsia" w:hAnsiTheme="minorEastAsia"/>
          <w:b/>
          <w:sz w:val="96"/>
          <w:szCs w:val="96"/>
        </w:rPr>
        <w:t>合同文件</w:t>
      </w:r>
    </w:p>
    <w:p>
      <w:pPr>
        <w:spacing w:line="360" w:lineRule="auto"/>
        <w:jc w:val="center"/>
        <w:rPr>
          <w:rFonts w:asciiTheme="minorEastAsia" w:hAnsiTheme="minorEastAsia"/>
          <w:b/>
          <w:sz w:val="44"/>
          <w:szCs w:val="44"/>
        </w:rPr>
      </w:pPr>
    </w:p>
    <w:p>
      <w:pPr>
        <w:spacing w:line="360" w:lineRule="auto"/>
        <w:rPr>
          <w:rFonts w:asciiTheme="minorEastAsia" w:hAnsiTheme="minorEastAsia"/>
          <w:sz w:val="44"/>
          <w:szCs w:val="44"/>
        </w:rPr>
      </w:pPr>
    </w:p>
    <w:p>
      <w:pPr>
        <w:spacing w:line="360" w:lineRule="auto"/>
        <w:rPr>
          <w:rFonts w:asciiTheme="minorEastAsia" w:hAnsiTheme="minorEastAsia"/>
        </w:rPr>
      </w:pPr>
    </w:p>
    <w:p>
      <w:pPr>
        <w:spacing w:line="360" w:lineRule="auto"/>
        <w:rPr>
          <w:rFonts w:asciiTheme="minorEastAsia" w:hAnsiTheme="minorEastAsia"/>
        </w:rPr>
      </w:pPr>
    </w:p>
    <w:p>
      <w:pPr>
        <w:spacing w:line="360" w:lineRule="auto"/>
        <w:rPr>
          <w:rFonts w:asciiTheme="minorEastAsia" w:hAnsiTheme="minorEastAsia"/>
        </w:rPr>
      </w:pPr>
    </w:p>
    <w:p>
      <w:pPr>
        <w:pStyle w:val="4"/>
        <w:rPr>
          <w:rFonts w:asciiTheme="minorEastAsia" w:hAnsiTheme="minorEastAsia"/>
        </w:rPr>
      </w:pPr>
    </w:p>
    <w:p/>
    <w:p>
      <w:pPr>
        <w:keepNext w:val="0"/>
        <w:keepLines w:val="0"/>
        <w:pageBreakBefore w:val="0"/>
        <w:kinsoku/>
        <w:wordWrap/>
        <w:overflowPunct/>
        <w:topLinePunct w:val="0"/>
        <w:autoSpaceDE/>
        <w:autoSpaceDN/>
        <w:bidi w:val="0"/>
        <w:adjustRightInd/>
        <w:snapToGrid/>
        <w:spacing w:line="360" w:lineRule="auto"/>
        <w:ind w:firstLine="1260" w:firstLineChars="600"/>
        <w:textAlignment w:val="auto"/>
        <w:rPr>
          <w:rFonts w:asciiTheme="minorEastAsia" w:hAnsiTheme="minorEastAsia"/>
        </w:rPr>
      </w:pP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甲方：中山市黄圃人民医院</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协议签订时间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年   月   日</w:t>
      </w:r>
    </w:p>
    <w:p>
      <w:pPr>
        <w:keepNext w:val="0"/>
        <w:keepLines w:val="0"/>
        <w:pageBreakBefore w:val="0"/>
        <w:widowControl/>
        <w:kinsoku/>
        <w:wordWrap/>
        <w:overflowPunct/>
        <w:topLinePunct w:val="0"/>
        <w:autoSpaceDE/>
        <w:autoSpaceDN/>
        <w:bidi w:val="0"/>
        <w:adjustRightInd/>
        <w:snapToGrid/>
        <w:spacing w:line="360" w:lineRule="auto"/>
        <w:ind w:firstLine="1680" w:firstLineChars="600"/>
        <w:jc w:val="left"/>
        <w:textAlignment w:val="auto"/>
        <w:rPr>
          <w:rFonts w:asciiTheme="minorEastAsia" w:hAnsiTheme="minorEastAsia"/>
          <w:sz w:val="28"/>
          <w:szCs w:val="28"/>
        </w:rPr>
      </w:pPr>
      <w:r>
        <w:rPr>
          <w:rFonts w:asciiTheme="minorEastAsia" w:hAnsiTheme="minorEastAsia"/>
          <w:sz w:val="28"/>
          <w:szCs w:val="28"/>
        </w:rPr>
        <w:br w:type="page"/>
      </w:r>
    </w:p>
    <w:p>
      <w:pPr>
        <w:spacing w:line="560" w:lineRule="exac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甲方：</w:t>
      </w:r>
      <w:r>
        <w:rPr>
          <w:rFonts w:hint="eastAsia" w:ascii="仿宋_GB2312" w:hAnsi="仿宋_GB2312" w:eastAsia="仿宋_GB2312" w:cs="仿宋_GB2312"/>
          <w:color w:val="auto"/>
          <w:sz w:val="32"/>
          <w:szCs w:val="32"/>
          <w:u w:val="single"/>
        </w:rPr>
        <w:t xml:space="preserve"> 中山市黄圃人民医院   </w:t>
      </w:r>
      <w:r>
        <w:rPr>
          <w:rFonts w:hint="eastAsia" w:ascii="仿宋_GB2312" w:hAnsi="仿宋_GB2312" w:eastAsia="仿宋_GB2312" w:cs="仿宋_GB2312"/>
          <w:b/>
          <w:color w:val="auto"/>
          <w:sz w:val="32"/>
          <w:szCs w:val="32"/>
        </w:rPr>
        <w:t xml:space="preserve">          </w:t>
      </w:r>
    </w:p>
    <w:p>
      <w:pPr>
        <w:spacing w:line="560" w:lineRule="exact"/>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乙方：</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为了保护甲、乙双方合法权益，根据《中华人民共和国政府采购法》及其实施条例、《中华人民共和国</w:t>
      </w:r>
      <w:r>
        <w:rPr>
          <w:rFonts w:hint="eastAsia" w:ascii="仿宋_GB2312" w:hAnsi="仿宋_GB2312" w:eastAsia="仿宋_GB2312" w:cs="仿宋_GB2312"/>
          <w:color w:val="auto"/>
          <w:sz w:val="32"/>
          <w:szCs w:val="32"/>
          <w:lang w:val="en-US" w:eastAsia="zh-CN"/>
        </w:rPr>
        <w:t>民法典</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FF0000"/>
          <w:sz w:val="32"/>
          <w:szCs w:val="32"/>
          <w:highlight w:val="none"/>
          <w:lang w:eastAsia="zh-CN"/>
        </w:rPr>
        <w:t>采购</w:t>
      </w:r>
      <w:r>
        <w:rPr>
          <w:rFonts w:hint="eastAsia" w:ascii="仿宋_GB2312" w:hAnsi="仿宋_GB2312" w:eastAsia="仿宋_GB2312" w:cs="仿宋_GB2312"/>
          <w:color w:val="auto"/>
          <w:sz w:val="32"/>
          <w:szCs w:val="32"/>
          <w:highlight w:val="none"/>
        </w:rPr>
        <w:t>文件</w:t>
      </w:r>
      <w:r>
        <w:rPr>
          <w:rFonts w:hint="eastAsia" w:ascii="仿宋_GB2312" w:hAnsi="仿宋_GB2312" w:eastAsia="仿宋_GB2312" w:cs="仿宋_GB2312"/>
          <w:color w:val="FF0000"/>
          <w:sz w:val="32"/>
          <w:szCs w:val="32"/>
          <w:highlight w:val="none"/>
          <w:lang w:eastAsia="zh-CN"/>
        </w:rPr>
        <w:t>、响应文件</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rPr>
        <w:t>在平等自愿的基础上，签署本合同。</w:t>
      </w:r>
    </w:p>
    <w:p>
      <w:pPr>
        <w:numPr>
          <w:ilvl w:val="0"/>
          <w:numId w:val="2"/>
        </w:numPr>
        <w:bidi w:val="0"/>
        <w:spacing w:line="560" w:lineRule="exact"/>
        <w:ind w:left="0" w:leftChars="0" w:firstLine="0" w:firstLineChars="0"/>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合同项目</w:t>
      </w:r>
    </w:p>
    <w:p>
      <w:pPr>
        <w:numPr>
          <w:ilvl w:val="-1"/>
          <w:numId w:val="0"/>
        </w:numPr>
        <w:spacing w:line="560" w:lineRule="exact"/>
        <w:ind w:left="0" w:firstLine="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项目名称：中山市黄圃人民医院</w:t>
      </w:r>
      <w:r>
        <w:rPr>
          <w:rFonts w:hint="eastAsia" w:ascii="仿宋_GB2312" w:hAnsi="仿宋_GB2312" w:eastAsia="仿宋_GB2312" w:cs="仿宋_GB2312"/>
          <w:b w:val="0"/>
          <w:bCs/>
          <w:color w:val="auto"/>
          <w:sz w:val="32"/>
          <w:szCs w:val="32"/>
          <w:u w:val="none"/>
          <w:lang w:val="en-US" w:eastAsia="zh-CN"/>
        </w:rPr>
        <w:t>DRG</w:t>
      </w:r>
      <w:r>
        <w:rPr>
          <w:rFonts w:hint="eastAsia" w:ascii="仿宋_GB2312" w:hAnsi="仿宋_GB2312" w:eastAsia="仿宋_GB2312" w:cs="仿宋_GB2312"/>
          <w:b w:val="0"/>
          <w:bCs/>
          <w:color w:val="auto"/>
          <w:sz w:val="32"/>
          <w:szCs w:val="32"/>
        </w:rPr>
        <w:t>系统CMI数据服务</w:t>
      </w:r>
      <w:r>
        <w:rPr>
          <w:rFonts w:hint="eastAsia" w:ascii="仿宋_GB2312" w:hAnsi="仿宋_GB2312" w:eastAsia="仿宋_GB2312" w:cs="仿宋_GB2312"/>
          <w:b w:val="0"/>
          <w:bCs/>
          <w:color w:val="auto"/>
          <w:sz w:val="32"/>
          <w:szCs w:val="32"/>
          <w:lang w:eastAsia="zh-CN"/>
        </w:rPr>
        <w:t>项目</w:t>
      </w:r>
      <w:r>
        <w:rPr>
          <w:rFonts w:hint="eastAsia" w:ascii="仿宋_GB2312" w:hAnsi="仿宋_GB2312" w:eastAsia="仿宋_GB2312" w:cs="仿宋_GB2312"/>
          <w:color w:val="auto"/>
          <w:sz w:val="32"/>
          <w:szCs w:val="32"/>
        </w:rPr>
        <w:t xml:space="preserve"> </w:t>
      </w:r>
    </w:p>
    <w:p>
      <w:pPr>
        <w:numPr>
          <w:ilvl w:val="0"/>
          <w:numId w:val="2"/>
        </w:numPr>
        <w:bidi w:val="0"/>
        <w:spacing w:line="560" w:lineRule="exact"/>
        <w:ind w:left="0" w:leftChars="0" w:firstLine="0" w:firstLineChars="0"/>
        <w:outlineLvl w:val="0"/>
        <w:rPr>
          <w:rFonts w:hint="eastAsia" w:ascii="仿宋_GB2312" w:hAnsi="仿宋_GB2312" w:eastAsia="仿宋_GB2312" w:cs="仿宋_GB2312"/>
          <w:b/>
          <w:bCs/>
          <w:color w:val="auto"/>
          <w:sz w:val="32"/>
          <w:szCs w:val="32"/>
        </w:rPr>
      </w:pPr>
      <w:bookmarkStart w:id="0" w:name="_Toc86481558"/>
      <w:r>
        <w:rPr>
          <w:rFonts w:hint="eastAsia" w:ascii="仿宋_GB2312" w:hAnsi="仿宋_GB2312" w:eastAsia="仿宋_GB2312" w:cs="仿宋_GB2312"/>
          <w:b/>
          <w:bCs/>
          <w:color w:val="auto"/>
          <w:sz w:val="32"/>
          <w:szCs w:val="32"/>
        </w:rPr>
        <w:t>服务内容、标准及要求</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1、服务内容：</w:t>
      </w:r>
      <w:r>
        <w:rPr>
          <w:rFonts w:hint="eastAsia" w:ascii="仿宋_GB2312" w:hAnsi="仿宋_GB2312" w:eastAsia="仿宋_GB2312" w:cs="仿宋_GB2312"/>
          <w:color w:val="auto"/>
          <w:sz w:val="32"/>
          <w:szCs w:val="32"/>
          <w:highlight w:val="none"/>
          <w:u w:val="none"/>
          <w:lang w:val="en-US" w:eastAsia="zh-CN"/>
        </w:rPr>
        <w:t>医院</w:t>
      </w:r>
      <w:r>
        <w:rPr>
          <w:rFonts w:hint="eastAsia" w:ascii="仿宋_GB2312" w:hAnsi="仿宋_GB2312" w:eastAsia="仿宋_GB2312" w:cs="仿宋_GB2312"/>
          <w:color w:val="auto"/>
          <w:kern w:val="2"/>
          <w:sz w:val="32"/>
          <w:szCs w:val="32"/>
          <w:u w:val="none"/>
          <w:lang w:val="en-US" w:eastAsia="zh-CN" w:bidi="ar-SA"/>
        </w:rPr>
        <w:t>DRG系统CMI数据</w:t>
      </w:r>
      <w:r>
        <w:rPr>
          <w:rFonts w:hint="eastAsia" w:ascii="仿宋_GB2312" w:hAnsi="仿宋_GB2312" w:eastAsia="仿宋_GB2312" w:cs="仿宋_GB2312"/>
          <w:color w:val="auto"/>
          <w:sz w:val="32"/>
          <w:szCs w:val="32"/>
          <w:highlight w:val="none"/>
          <w:u w:val="none"/>
          <w:lang w:val="en-US" w:eastAsia="zh-CN"/>
        </w:rPr>
        <w:t>服务</w:t>
      </w:r>
      <w:r>
        <w:rPr>
          <w:rFonts w:hint="eastAsia" w:ascii="仿宋_GB2312" w:hAnsi="仿宋_GB2312" w:eastAsia="仿宋_GB2312" w:cs="仿宋_GB2312"/>
          <w:b w:val="0"/>
          <w:bCs w:val="0"/>
          <w:color w:val="auto"/>
          <w:sz w:val="32"/>
          <w:szCs w:val="32"/>
          <w:highlight w:val="none"/>
          <w:u w:val="none"/>
          <w:lang w:val="en-US" w:eastAsia="zh-Hans"/>
        </w:rPr>
        <w:t>（</w:t>
      </w:r>
      <w:r>
        <w:rPr>
          <w:rFonts w:hint="eastAsia" w:ascii="仿宋_GB2312" w:hAnsi="仿宋_GB2312" w:eastAsia="仿宋_GB2312" w:cs="仿宋_GB2312"/>
          <w:b w:val="0"/>
          <w:bCs w:val="0"/>
          <w:color w:val="auto"/>
          <w:sz w:val="32"/>
          <w:szCs w:val="32"/>
          <w:highlight w:val="none"/>
          <w:u w:val="none"/>
          <w:lang w:val="en-US" w:eastAsia="zh-CN"/>
        </w:rPr>
        <w:t>内容详</w:t>
      </w:r>
      <w:r>
        <w:rPr>
          <w:rFonts w:hint="eastAsia" w:ascii="仿宋_GB2312" w:hAnsi="仿宋_GB2312" w:eastAsia="仿宋_GB2312" w:cs="仿宋_GB2312"/>
          <w:b w:val="0"/>
          <w:bCs w:val="0"/>
          <w:color w:val="auto"/>
          <w:kern w:val="2"/>
          <w:sz w:val="32"/>
          <w:szCs w:val="32"/>
          <w:u w:val="none"/>
          <w:lang w:val="en-US" w:eastAsia="zh-CN" w:bidi="ar-SA"/>
        </w:rPr>
        <w:t>见</w:t>
      </w:r>
      <w:r>
        <w:rPr>
          <w:rFonts w:hint="eastAsia" w:ascii="仿宋_GB2312" w:hAnsi="仿宋_GB2312" w:eastAsia="仿宋_GB2312" w:cs="仿宋_GB2312"/>
          <w:b w:val="0"/>
          <w:bCs w:val="0"/>
          <w:color w:val="auto"/>
          <w:kern w:val="2"/>
          <w:sz w:val="32"/>
          <w:szCs w:val="32"/>
          <w:u w:val="none"/>
          <w:lang w:val="en-US" w:eastAsia="zh-Hans" w:bidi="ar-SA"/>
        </w:rPr>
        <w:t>附</w:t>
      </w:r>
      <w:r>
        <w:rPr>
          <w:rFonts w:hint="eastAsia" w:ascii="仿宋_GB2312" w:hAnsi="仿宋_GB2312" w:eastAsia="仿宋_GB2312" w:cs="仿宋_GB2312"/>
          <w:b w:val="0"/>
          <w:bCs w:val="0"/>
          <w:color w:val="auto"/>
          <w:kern w:val="2"/>
          <w:sz w:val="32"/>
          <w:szCs w:val="32"/>
          <w:u w:val="none"/>
          <w:lang w:val="en-US" w:eastAsia="zh-CN" w:bidi="ar-SA"/>
        </w:rPr>
        <w:t>表</w:t>
      </w:r>
      <w:r>
        <w:rPr>
          <w:rFonts w:hint="eastAsia" w:ascii="仿宋_GB2312" w:hAnsi="仿宋_GB2312" w:eastAsia="仿宋_GB2312" w:cs="仿宋_GB2312"/>
          <w:b w:val="0"/>
          <w:bCs w:val="0"/>
          <w:color w:val="auto"/>
          <w:sz w:val="32"/>
          <w:szCs w:val="32"/>
          <w:highlight w:val="none"/>
          <w:u w:val="none"/>
          <w:lang w:val="en-US" w:eastAsia="zh-CN"/>
        </w:rPr>
        <w:t>：DRG系统CMI数据服务需求</w:t>
      </w:r>
      <w:r>
        <w:rPr>
          <w:rFonts w:hint="eastAsia" w:ascii="仿宋_GB2312" w:hAnsi="仿宋_GB2312" w:eastAsia="仿宋_GB2312" w:cs="仿宋_GB2312"/>
          <w:b w:val="0"/>
          <w:bCs w:val="0"/>
          <w:color w:val="auto"/>
          <w:sz w:val="32"/>
          <w:szCs w:val="32"/>
          <w:highlight w:val="none"/>
          <w:u w:val="none"/>
          <w:lang w:val="en-US" w:eastAsia="zh-Hans"/>
        </w:rPr>
        <w:t>）</w:t>
      </w:r>
      <w:r>
        <w:rPr>
          <w:rFonts w:hint="eastAsia" w:ascii="仿宋_GB2312" w:hAnsi="仿宋_GB2312" w:eastAsia="仿宋_GB2312" w:cs="仿宋_GB2312"/>
          <w:b w:val="0"/>
          <w:bCs w:val="0"/>
          <w:color w:val="auto"/>
          <w:sz w:val="32"/>
          <w:szCs w:val="32"/>
          <w:highlight w:val="none"/>
          <w:u w:val="none"/>
          <w:lang w:val="en-US" w:eastAsia="zh-CN"/>
        </w:rPr>
        <w:t>、培训、支撑维护工作。</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2、服务标准：</w:t>
      </w:r>
      <w:r>
        <w:rPr>
          <w:rFonts w:hint="eastAsia" w:ascii="仿宋_GB2312" w:hAnsi="仿宋_GB2312" w:eastAsia="仿宋_GB2312" w:cs="仿宋_GB2312"/>
          <w:color w:val="auto"/>
          <w:sz w:val="32"/>
          <w:szCs w:val="32"/>
          <w:u w:val="none"/>
          <w:lang w:val="en-US" w:eastAsia="zh-CN"/>
        </w:rPr>
        <w:t>执行</w:t>
      </w:r>
      <w:r>
        <w:rPr>
          <w:rFonts w:hint="eastAsia" w:ascii="仿宋_GB2312" w:hAnsi="仿宋_GB2312" w:eastAsia="仿宋_GB2312" w:cs="仿宋_GB2312"/>
          <w:color w:val="FF0000"/>
          <w:sz w:val="32"/>
          <w:szCs w:val="32"/>
          <w:u w:val="none"/>
          <w:lang w:val="en-US" w:eastAsia="zh-CN"/>
        </w:rPr>
        <w:t>采购</w:t>
      </w:r>
      <w:r>
        <w:rPr>
          <w:rFonts w:hint="eastAsia" w:ascii="仿宋_GB2312" w:hAnsi="仿宋_GB2312" w:eastAsia="仿宋_GB2312" w:cs="仿宋_GB2312"/>
          <w:color w:val="auto"/>
          <w:sz w:val="32"/>
          <w:szCs w:val="32"/>
          <w:u w:val="none"/>
          <w:lang w:val="en-US" w:eastAsia="zh-CN"/>
        </w:rPr>
        <w:t>文件</w:t>
      </w:r>
      <w:r>
        <w:rPr>
          <w:rFonts w:hint="eastAsia" w:ascii="仿宋_GB2312" w:hAnsi="仿宋_GB2312" w:eastAsia="仿宋_GB2312" w:cs="仿宋_GB2312"/>
          <w:color w:val="FF0000"/>
          <w:sz w:val="32"/>
          <w:szCs w:val="32"/>
          <w:u w:val="none"/>
          <w:lang w:val="en-US" w:eastAsia="zh-CN"/>
        </w:rPr>
        <w:t>的相关标准及要求</w:t>
      </w:r>
      <w:r>
        <w:rPr>
          <w:rFonts w:hint="eastAsia" w:ascii="仿宋_GB2312" w:hAnsi="仿宋_GB2312" w:eastAsia="仿宋_GB2312" w:cs="仿宋_GB2312"/>
          <w:color w:val="auto"/>
          <w:sz w:val="32"/>
          <w:szCs w:val="32"/>
          <w:u w:val="none"/>
          <w:lang w:val="en-US" w:eastAsia="zh-CN"/>
        </w:rPr>
        <w:t>，双方</w:t>
      </w:r>
      <w:r>
        <w:rPr>
          <w:rFonts w:hint="eastAsia" w:ascii="仿宋_GB2312" w:hAnsi="仿宋_GB2312" w:eastAsia="仿宋_GB2312" w:cs="仿宋_GB2312"/>
          <w:color w:val="FF0000"/>
          <w:sz w:val="32"/>
          <w:szCs w:val="32"/>
          <w:u w:val="none"/>
          <w:lang w:val="en-US" w:eastAsia="zh-CN"/>
        </w:rPr>
        <w:t>按照本合同进行</w:t>
      </w:r>
      <w:r>
        <w:rPr>
          <w:rFonts w:hint="eastAsia" w:ascii="仿宋_GB2312" w:hAnsi="仿宋_GB2312" w:eastAsia="仿宋_GB2312" w:cs="仿宋_GB2312"/>
          <w:color w:val="auto"/>
          <w:sz w:val="32"/>
          <w:szCs w:val="32"/>
          <w:u w:val="none"/>
          <w:lang w:val="en-US" w:eastAsia="zh-CN"/>
        </w:rPr>
        <w:t>验收</w:t>
      </w:r>
      <w:r>
        <w:rPr>
          <w:rFonts w:hint="eastAsia" w:ascii="仿宋_GB2312" w:hAnsi="仿宋_GB2312" w:eastAsia="仿宋_GB2312" w:cs="仿宋_GB2312"/>
          <w:color w:val="auto"/>
          <w:sz w:val="32"/>
          <w:szCs w:val="32"/>
          <w:u w:val="none"/>
          <w:lang w:val="en-US" w:eastAsia="zh-CN"/>
        </w:rPr>
        <w:t>评级</w:t>
      </w:r>
      <w:r>
        <w:rPr>
          <w:rFonts w:hint="eastAsia" w:ascii="仿宋_GB2312" w:hAnsi="仿宋_GB2312" w:eastAsia="仿宋_GB2312" w:cs="仿宋_GB2312"/>
          <w:color w:val="auto"/>
          <w:sz w:val="32"/>
          <w:szCs w:val="32"/>
          <w:u w:val="none"/>
        </w:rPr>
        <w:t>。</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3、服务要求</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highlight w:val="none"/>
          <w:u w:val="none"/>
          <w:lang w:val="en-US" w:eastAsia="zh-CN"/>
        </w:rPr>
        <w:t>供应商须按照合同约定的服务内容，按时按质完成相关系统服务工作，做好</w:t>
      </w:r>
      <w:bookmarkStart w:id="7" w:name="_GoBack"/>
      <w:bookmarkEnd w:id="7"/>
      <w:r>
        <w:rPr>
          <w:rFonts w:hint="eastAsia" w:ascii="仿宋_GB2312" w:hAnsi="仿宋_GB2312" w:eastAsia="仿宋_GB2312" w:cs="仿宋_GB2312"/>
          <w:color w:val="auto"/>
          <w:sz w:val="32"/>
          <w:szCs w:val="32"/>
          <w:highlight w:val="none"/>
          <w:u w:val="none"/>
          <w:lang w:val="en-US" w:eastAsia="zh-CN"/>
        </w:rPr>
        <w:t>系统培训及交付工作，支撑采购人合理使用本系统。</w:t>
      </w:r>
    </w:p>
    <w:p>
      <w:pPr>
        <w:spacing w:line="560" w:lineRule="exac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4、具体服务内容服务标准及要求以</w:t>
      </w:r>
      <w:r>
        <w:rPr>
          <w:rFonts w:hint="eastAsia" w:ascii="仿宋_GB2312" w:hAnsi="仿宋_GB2312" w:eastAsia="仿宋_GB2312" w:cs="仿宋_GB2312"/>
          <w:color w:val="auto"/>
          <w:sz w:val="32"/>
          <w:szCs w:val="32"/>
          <w:lang w:eastAsia="zh-CN"/>
        </w:rPr>
        <w:t>采购</w:t>
      </w:r>
      <w:r>
        <w:rPr>
          <w:rFonts w:hint="eastAsia" w:ascii="仿宋_GB2312" w:hAnsi="仿宋_GB2312" w:eastAsia="仿宋_GB2312" w:cs="仿宋_GB2312"/>
          <w:color w:val="auto"/>
          <w:sz w:val="32"/>
          <w:szCs w:val="32"/>
        </w:rPr>
        <w:t>文件用户需求书及乙方</w:t>
      </w:r>
      <w:r>
        <w:rPr>
          <w:rFonts w:hint="eastAsia" w:ascii="仿宋_GB2312" w:hAnsi="仿宋_GB2312" w:eastAsia="仿宋_GB2312" w:cs="仿宋_GB2312"/>
          <w:color w:val="auto"/>
          <w:sz w:val="32"/>
          <w:szCs w:val="32"/>
          <w:lang w:eastAsia="zh-CN"/>
        </w:rPr>
        <w:t>响应</w:t>
      </w:r>
      <w:r>
        <w:rPr>
          <w:rFonts w:hint="eastAsia" w:ascii="仿宋_GB2312" w:hAnsi="仿宋_GB2312" w:eastAsia="仿宋_GB2312" w:cs="仿宋_GB2312"/>
          <w:color w:val="auto"/>
          <w:sz w:val="32"/>
          <w:szCs w:val="32"/>
        </w:rPr>
        <w:t>文件承诺条款及方案为准。</w:t>
      </w:r>
      <w:r>
        <w:rPr>
          <w:rFonts w:hint="eastAsia" w:ascii="仿宋_GB2312" w:hAnsi="仿宋_GB2312" w:eastAsia="仿宋_GB2312" w:cs="仿宋_GB2312"/>
          <w:color w:val="auto"/>
          <w:sz w:val="32"/>
          <w:szCs w:val="32"/>
          <w:lang w:val="en-US" w:eastAsia="zh-CN"/>
        </w:rPr>
        <w:t xml:space="preserve">     </w:t>
      </w:r>
    </w:p>
    <w:p>
      <w:pPr>
        <w:numPr>
          <w:ilvl w:val="0"/>
          <w:numId w:val="2"/>
        </w:numPr>
        <w:bidi w:val="0"/>
        <w:spacing w:line="560" w:lineRule="exact"/>
        <w:ind w:left="0" w:leftChars="0" w:firstLine="0" w:firstLineChars="0"/>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价格</w:t>
      </w:r>
      <w:bookmarkEnd w:id="0"/>
    </w:p>
    <w:p>
      <w:pPr>
        <w:numPr>
          <w:ilvl w:val="-1"/>
          <w:numId w:val="0"/>
        </w:numPr>
        <w:spacing w:line="560" w:lineRule="exact"/>
        <w:ind w:left="0" w:firstLine="0"/>
        <w:rPr>
          <w:rFonts w:hint="eastAsia" w:ascii="仿宋_GB2312" w:hAnsi="仿宋_GB2312" w:eastAsia="仿宋_GB2312" w:cs="仿宋_GB2312"/>
          <w:color w:val="auto"/>
          <w:sz w:val="32"/>
          <w:szCs w:val="32"/>
          <w:highlight w:val="none"/>
        </w:rPr>
      </w:pPr>
      <w:bookmarkStart w:id="1" w:name="_Toc86481562"/>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合同总价：</w:t>
      </w:r>
      <w:r>
        <w:rPr>
          <w:rFonts w:hint="eastAsia" w:ascii="仿宋_GB2312" w:hAnsi="仿宋_GB2312" w:eastAsia="仿宋_GB2312" w:cs="仿宋_GB2312"/>
          <w:color w:val="auto"/>
          <w:sz w:val="32"/>
          <w:szCs w:val="32"/>
          <w:highlight w:val="none"/>
          <w:u w:val="none"/>
          <w:lang w:val="en-US" w:eastAsia="zh-CN"/>
        </w:rPr>
        <w:t>含税价</w:t>
      </w:r>
      <w:r>
        <w:rPr>
          <w:rFonts w:hint="eastAsia" w:ascii="仿宋_GB2312" w:hAnsi="仿宋_GB2312" w:eastAsia="仿宋_GB2312" w:cs="仿宋_GB2312"/>
          <w:color w:val="auto"/>
          <w:sz w:val="32"/>
          <w:szCs w:val="32"/>
          <w:highlight w:val="none"/>
        </w:rPr>
        <w:t>人民币大写</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p>
    <w:p>
      <w:pPr>
        <w:spacing w:line="560" w:lineRule="exact"/>
        <w:ind w:left="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总价包含：相关服务所需的费用；服务过程中所产生的一切费用；</w:t>
      </w:r>
      <w:r>
        <w:rPr>
          <w:rFonts w:hint="eastAsia" w:ascii="仿宋_GB2312" w:hAnsi="仿宋_GB2312" w:eastAsia="仿宋_GB2312" w:cs="仿宋_GB2312"/>
          <w:color w:val="auto"/>
          <w:sz w:val="32"/>
          <w:szCs w:val="32"/>
        </w:rPr>
        <w:t>与本合同有关的一切税费</w:t>
      </w:r>
      <w:r>
        <w:rPr>
          <w:rFonts w:hint="eastAsia" w:ascii="仿宋_GB2312" w:hAnsi="仿宋_GB2312" w:eastAsia="仿宋_GB2312" w:cs="仿宋_GB2312"/>
          <w:color w:val="auto"/>
          <w:sz w:val="32"/>
          <w:szCs w:val="32"/>
        </w:rPr>
        <w:commentReference w:id="0"/>
      </w:r>
      <w:r>
        <w:rPr>
          <w:rFonts w:hint="eastAsia" w:ascii="仿宋_GB2312" w:hAnsi="仿宋_GB2312" w:eastAsia="仿宋_GB2312" w:cs="仿宋_GB2312"/>
          <w:color w:val="auto"/>
          <w:sz w:val="32"/>
          <w:szCs w:val="32"/>
          <w:lang w:eastAsia="zh-CN"/>
        </w:rPr>
        <w:t>。</w:t>
      </w:r>
    </w:p>
    <w:p>
      <w:pPr>
        <w:numPr>
          <w:ilvl w:val="-1"/>
          <w:numId w:val="0"/>
        </w:numPr>
        <w:spacing w:line="560" w:lineRule="exact"/>
        <w:ind w:left="0" w:firstLine="0"/>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本合同价为固定不变价。</w:t>
      </w:r>
    </w:p>
    <w:bookmarkEnd w:id="1"/>
    <w:p>
      <w:pPr>
        <w:numPr>
          <w:ilvl w:val="0"/>
          <w:numId w:val="2"/>
        </w:numPr>
        <w:bidi w:val="0"/>
        <w:spacing w:line="560" w:lineRule="exact"/>
        <w:ind w:left="0" w:leftChars="0" w:firstLine="0" w:firstLineChars="0"/>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服务期限及地点</w:t>
      </w:r>
    </w:p>
    <w:p>
      <w:pPr>
        <w:numPr>
          <w:ilvl w:val="-1"/>
          <w:numId w:val="0"/>
        </w:numPr>
        <w:spacing w:line="560" w:lineRule="exact"/>
        <w:ind w:left="0" w:firstLine="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服务期</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1年</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single"/>
          <w:lang w:val="en-US" w:eastAsia="zh-CN"/>
        </w:rPr>
        <w:t>2026年 月 日</w:t>
      </w:r>
      <w:r>
        <w:rPr>
          <w:rFonts w:hint="eastAsia" w:ascii="仿宋_GB2312" w:hAnsi="仿宋_GB2312" w:eastAsia="仿宋_GB2312" w:cs="仿宋_GB2312"/>
          <w:color w:val="auto"/>
          <w:sz w:val="32"/>
          <w:szCs w:val="32"/>
          <w:highlight w:val="none"/>
          <w:u w:val="single"/>
          <w:lang w:val="en-US" w:eastAsia="zh-Hans"/>
        </w:rPr>
        <w:t>至</w:t>
      </w:r>
      <w:r>
        <w:rPr>
          <w:rFonts w:hint="eastAsia" w:ascii="仿宋_GB2312" w:hAnsi="仿宋_GB2312" w:eastAsia="仿宋_GB2312" w:cs="仿宋_GB2312"/>
          <w:color w:val="auto"/>
          <w:sz w:val="32"/>
          <w:szCs w:val="32"/>
          <w:highlight w:val="none"/>
          <w:u w:val="single"/>
          <w:lang w:val="en-US" w:eastAsia="zh-CN"/>
        </w:rPr>
        <w:t>2027年 月 日</w:t>
      </w:r>
      <w:r>
        <w:rPr>
          <w:rFonts w:hint="eastAsia" w:ascii="仿宋_GB2312" w:hAnsi="仿宋_GB2312" w:eastAsia="仿宋_GB2312" w:cs="仿宋_GB2312"/>
          <w:color w:val="auto"/>
          <w:sz w:val="32"/>
          <w:szCs w:val="32"/>
          <w:highlight w:val="none"/>
          <w:u w:val="single"/>
        </w:rPr>
        <w:t>。</w:t>
      </w:r>
    </w:p>
    <w:p>
      <w:pPr>
        <w:numPr>
          <w:ilvl w:val="-1"/>
          <w:numId w:val="0"/>
        </w:numPr>
        <w:spacing w:line="560" w:lineRule="exact"/>
        <w:ind w:left="0" w:firstLine="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服务地点：</w:t>
      </w:r>
      <w:r>
        <w:rPr>
          <w:rFonts w:hint="eastAsia" w:ascii="仿宋_GB2312" w:hAnsi="仿宋_GB2312" w:eastAsia="仿宋_GB2312" w:cs="仿宋_GB2312"/>
          <w:color w:val="auto"/>
          <w:sz w:val="32"/>
          <w:szCs w:val="32"/>
          <w:highlight w:val="none"/>
          <w:u w:val="single"/>
        </w:rPr>
        <w:t xml:space="preserve"> 中山市黄圃人民医院或甲方指定地点。</w:t>
      </w:r>
    </w:p>
    <w:p>
      <w:pPr>
        <w:numPr>
          <w:ilvl w:val="0"/>
          <w:numId w:val="2"/>
        </w:numPr>
        <w:bidi w:val="0"/>
        <w:spacing w:line="560" w:lineRule="exact"/>
        <w:ind w:left="0" w:leftChars="0" w:firstLine="0" w:firstLineChars="0"/>
        <w:outlineLvl w:val="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付款方法</w:t>
      </w:r>
      <w:r>
        <w:rPr>
          <w:rFonts w:hint="eastAsia" w:ascii="仿宋_GB2312" w:hAnsi="仿宋_GB2312" w:eastAsia="仿宋_GB2312" w:cs="仿宋_GB2312"/>
          <w:b/>
          <w:bCs/>
          <w:color w:val="auto"/>
          <w:sz w:val="32"/>
          <w:szCs w:val="32"/>
          <w:highlight w:val="none"/>
          <w:lang w:val="en-US" w:eastAsia="zh-CN"/>
        </w:rPr>
        <w:t>/服务考核</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lang w:val="en-US" w:eastAsia="zh-CN"/>
        </w:rPr>
      </w:pPr>
      <w:bookmarkStart w:id="2" w:name="_Toc86481568"/>
      <w:r>
        <w:rPr>
          <w:rFonts w:hint="eastAsia" w:ascii="仿宋_GB2312" w:hAnsi="仿宋_GB2312" w:eastAsia="仿宋_GB2312" w:cs="仿宋_GB2312"/>
          <w:color w:val="auto"/>
          <w:sz w:val="32"/>
          <w:szCs w:val="32"/>
          <w:highlight w:val="none"/>
          <w:lang w:val="en-US" w:eastAsia="zh-CN"/>
        </w:rPr>
        <w:t>1、以银行转账方式分两期支付：</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第一期付款：合同签订生效后【5】个工作日内，采购人在收到成交供应商开具的合同总额的【40%】的正规发票后【60】日内向成交供应商支付该笔款项。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二期付款：成交供应商按合同要求完成本服务相关工作，在合同到期后1个月内由采购人组织服务考核评级，考核评级结果和第二期付款比例挂钩，第二期付款基数为合同总额的【60%】。经采购人考核评级后【3】个工作日内，成交供应商向采购人提供支付金额等额的正规发票，采购人在收到成交供应商正规发票【60】日内向成交供应商支付该笔款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2、服务考核评级方式：考核供应商提供给采购人的年度患者DRG入组与广东省卫生健康统计信息网络直报系统反馈的患者DRG入组是否一致，按符合率评级，具体如下：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(1)评级A：DRG入组符合率≥95%，第二期付款比例100%。</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(2)评级B：DRG入组符合率≥90%，第二期付款支付比例70%。</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(3)评级C：DRG入组符合率≥80%，第二期付款支付比例50%。</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(4)评级D：DRG入组符合率＜80%，不支付第二期款项。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3、服务考核评级结果作为项目综合验收的依据。</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4、因采购人使用的是财政性资金，采购人申请汇款审批之日视为付款之日，若审批延迟则相应费用到账延迟，且不视为采购人违约。  </w:t>
      </w:r>
    </w:p>
    <w:p>
      <w:pPr>
        <w:numPr>
          <w:ilvl w:val="0"/>
          <w:numId w:val="2"/>
        </w:numPr>
        <w:bidi w:val="0"/>
        <w:spacing w:line="560" w:lineRule="exact"/>
        <w:ind w:left="0" w:leftChars="0" w:firstLine="0" w:firstLineChars="0"/>
        <w:outlineLvl w:val="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售后服务</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提供 7×24 小时热线电话、远程网络、现场等服务方式。热线电话和远程网络提供技术咨询和即时服务，1小时内给予明确的响应并提出解决方案；现场服务适用于排解重大故障，应在接到医院服务请求后 3 小时内到达现场解决。</w:t>
      </w:r>
    </w:p>
    <w:p>
      <w:pPr>
        <w:numPr>
          <w:ilvl w:val="0"/>
          <w:numId w:val="2"/>
        </w:numPr>
        <w:bidi w:val="0"/>
        <w:spacing w:line="560" w:lineRule="exact"/>
        <w:ind w:left="0" w:leftChars="0" w:firstLine="0" w:firstLineChars="0"/>
        <w:outlineLvl w:val="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税和关税</w:t>
      </w:r>
      <w:bookmarkEnd w:id="2"/>
    </w:p>
    <w:p>
      <w:pPr>
        <w:numPr>
          <w:ilvl w:val="-1"/>
          <w:numId w:val="0"/>
        </w:numPr>
        <w:spacing w:line="560" w:lineRule="exact"/>
        <w:ind w:left="0"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中国政府根据现行税法规定对乙方或其雇员征收的与本合同有关的一切税费应由乙方承担。</w:t>
      </w:r>
    </w:p>
    <w:p>
      <w:pPr>
        <w:numPr>
          <w:ilvl w:val="-1"/>
          <w:numId w:val="0"/>
        </w:numPr>
        <w:spacing w:line="560" w:lineRule="exact"/>
        <w:ind w:left="0"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在中国境外发生的与本合同执行有关的一切税费均应由乙方承担。</w:t>
      </w:r>
    </w:p>
    <w:p>
      <w:pPr>
        <w:numPr>
          <w:ilvl w:val="0"/>
          <w:numId w:val="2"/>
        </w:numPr>
        <w:bidi w:val="0"/>
        <w:spacing w:line="560" w:lineRule="exact"/>
        <w:ind w:left="0" w:leftChars="0" w:firstLine="0" w:firstLineChars="0"/>
        <w:outlineLvl w:val="0"/>
        <w:rPr>
          <w:rFonts w:hint="eastAsia" w:ascii="仿宋_GB2312" w:hAnsi="仿宋_GB2312" w:eastAsia="仿宋_GB2312" w:cs="仿宋_GB2312"/>
          <w:b/>
          <w:bCs/>
          <w:color w:val="auto"/>
          <w:sz w:val="32"/>
          <w:szCs w:val="32"/>
          <w:highlight w:val="none"/>
        </w:rPr>
      </w:pPr>
      <w:bookmarkStart w:id="3" w:name="_Toc86481565"/>
      <w:r>
        <w:rPr>
          <w:rFonts w:hint="eastAsia" w:ascii="仿宋_GB2312" w:hAnsi="仿宋_GB2312" w:eastAsia="仿宋_GB2312" w:cs="仿宋_GB2312"/>
          <w:b/>
          <w:bCs/>
          <w:color w:val="auto"/>
          <w:sz w:val="32"/>
          <w:szCs w:val="32"/>
          <w:highlight w:val="none"/>
        </w:rPr>
        <w:t>违约责任</w:t>
      </w:r>
      <w:bookmarkEnd w:id="3"/>
    </w:p>
    <w:p>
      <w:pPr>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kern w:val="2"/>
          <w:sz w:val="32"/>
          <w:szCs w:val="32"/>
          <w:highlight w:val="none"/>
          <w:lang w:val="en-US" w:eastAsia="zh-CN" w:bidi="ar-SA"/>
        </w:rPr>
      </w:pPr>
      <w:bookmarkStart w:id="4" w:name="_Toc86481566"/>
      <w:r>
        <w:rPr>
          <w:rFonts w:hint="eastAsia" w:ascii="仿宋_GB2312" w:hAnsi="仿宋_GB2312" w:eastAsia="仿宋_GB2312" w:cs="仿宋_GB2312"/>
          <w:color w:val="auto"/>
          <w:kern w:val="2"/>
          <w:sz w:val="32"/>
          <w:szCs w:val="32"/>
          <w:highlight w:val="none"/>
          <w:lang w:val="en-US" w:eastAsia="zh-CN" w:bidi="ar-SA"/>
        </w:rPr>
        <w:t>1、供应商如不履行合同条款或不按合同约定履行条款的其它情况，均属违约，由供应商承担违约责任，赔偿因其违约造成的损失，并支付合同价款总额5%的违约金。</w:t>
      </w:r>
    </w:p>
    <w:p>
      <w:pPr>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2、由于供应商的原因，导致双方签订的合同终止，供应商因此而遭受的损失，将由供应商独立承担，采购人对此不负任何责任，也不作任何赔偿。</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3、供应商未能按时完成合同项目内容，每有1次，须向采购人支付合同金额的1%的违约金。供应商超过5次不能履行合同约定的，采购人有权终止合同且供应商向采购人支付合同金额10% 的违约金。</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因乙方原因导致甲方或第三人人身、财产损害的，甲方有权解除合同。因本款规定情形产生的法律责任，均由乙方自行承担，甲方不承担连带责任，因此造成甲方受到经济损失或第三方索赔、罚款的，甲方有权全额向乙方追偿。本合同项下的“甲方损失”，包括但不限于甲方经济利益的减损、甲方为证实乙方违约行为所支付的调查取证、公证费用、甲方为寻求救济所支付的诉讼费、保全费（含保全保险费）、律师代理费、咨询费和法院执行费用、调查取证费、差旅费等全部损失及费用。</w:t>
      </w:r>
    </w:p>
    <w:p>
      <w:pPr>
        <w:numPr>
          <w:ilvl w:val="0"/>
          <w:numId w:val="2"/>
        </w:numPr>
        <w:bidi w:val="0"/>
        <w:spacing w:line="560" w:lineRule="exact"/>
        <w:ind w:left="0" w:leftChars="0" w:firstLine="0" w:firstLineChars="0"/>
        <w:outlineLvl w:val="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争议的解决</w:t>
      </w:r>
      <w:bookmarkEnd w:id="4"/>
    </w:p>
    <w:p>
      <w:pPr>
        <w:numPr>
          <w:ilvl w:val="-1"/>
          <w:numId w:val="0"/>
        </w:numPr>
        <w:spacing w:line="560" w:lineRule="exact"/>
        <w:ind w:left="0" w:firstLine="0"/>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凡与本合同有关而引起的一切争议，甲乙双方应</w:t>
      </w:r>
      <w:r>
        <w:rPr>
          <w:rFonts w:hint="eastAsia" w:ascii="仿宋_GB2312" w:hAnsi="仿宋_GB2312" w:eastAsia="仿宋_GB2312" w:cs="仿宋_GB2312"/>
          <w:color w:val="auto"/>
          <w:sz w:val="32"/>
          <w:szCs w:val="32"/>
          <w:highlight w:val="none"/>
          <w:lang w:eastAsia="zh-CN"/>
        </w:rPr>
        <w:t>首先</w:t>
      </w:r>
      <w:r>
        <w:rPr>
          <w:rFonts w:hint="eastAsia" w:ascii="仿宋_GB2312" w:hAnsi="仿宋_GB2312" w:eastAsia="仿宋_GB2312" w:cs="仿宋_GB2312"/>
          <w:color w:val="auto"/>
          <w:sz w:val="32"/>
          <w:szCs w:val="32"/>
          <w:highlight w:val="none"/>
        </w:rPr>
        <w:t>友好协商解决，</w:t>
      </w:r>
      <w:r>
        <w:rPr>
          <w:rFonts w:hint="eastAsia" w:ascii="仿宋_GB2312" w:hAnsi="仿宋_GB2312" w:eastAsia="仿宋_GB2312" w:cs="仿宋_GB2312"/>
          <w:color w:val="auto"/>
          <w:sz w:val="32"/>
          <w:szCs w:val="32"/>
          <w:highlight w:val="none"/>
          <w:lang w:eastAsia="zh-CN"/>
        </w:rPr>
        <w:t>协商结果签订补充协议；</w:t>
      </w:r>
      <w:r>
        <w:rPr>
          <w:rFonts w:hint="eastAsia" w:ascii="仿宋_GB2312" w:hAnsi="仿宋_GB2312" w:eastAsia="仿宋_GB2312" w:cs="仿宋_GB2312"/>
          <w:color w:val="auto"/>
          <w:sz w:val="32"/>
          <w:szCs w:val="32"/>
          <w:highlight w:val="none"/>
        </w:rPr>
        <w:t>如经协商后仍不能达成协议时，任何一方可以向</w:t>
      </w:r>
      <w:r>
        <w:rPr>
          <w:rFonts w:hint="eastAsia" w:ascii="仿宋_GB2312" w:hAnsi="仿宋_GB2312" w:eastAsia="仿宋_GB2312" w:cs="仿宋_GB2312"/>
          <w:color w:val="auto"/>
          <w:sz w:val="32"/>
          <w:szCs w:val="32"/>
          <w:highlight w:val="none"/>
          <w:lang w:val="en-US" w:eastAsia="zh-CN"/>
        </w:rPr>
        <w:t>中山市第二人民</w:t>
      </w:r>
      <w:r>
        <w:rPr>
          <w:rFonts w:hint="eastAsia" w:ascii="仿宋_GB2312" w:hAnsi="仿宋_GB2312" w:eastAsia="仿宋_GB2312" w:cs="仿宋_GB2312"/>
          <w:color w:val="auto"/>
          <w:sz w:val="32"/>
          <w:szCs w:val="32"/>
          <w:highlight w:val="none"/>
        </w:rPr>
        <w:t>法院提出诉讼。</w:t>
      </w:r>
    </w:p>
    <w:p>
      <w:pPr>
        <w:numPr>
          <w:ilvl w:val="-1"/>
          <w:numId w:val="0"/>
        </w:numPr>
        <w:spacing w:line="560" w:lineRule="exact"/>
        <w:ind w:left="0"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在进行法院审理期间，除提交法院审理的事项外，合同其他部分仍继续履行。</w:t>
      </w:r>
    </w:p>
    <w:p>
      <w:pPr>
        <w:numPr>
          <w:ilvl w:val="-1"/>
          <w:numId w:val="0"/>
        </w:numPr>
        <w:spacing w:line="560" w:lineRule="exact"/>
        <w:ind w:left="0" w:firstLine="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本合同按照中华人民共和国的法律进行解释。</w:t>
      </w:r>
    </w:p>
    <w:p>
      <w:pPr>
        <w:numPr>
          <w:ilvl w:val="0"/>
          <w:numId w:val="2"/>
        </w:numPr>
        <w:bidi w:val="0"/>
        <w:spacing w:line="560" w:lineRule="exact"/>
        <w:ind w:left="0" w:leftChars="0" w:firstLine="0" w:firstLineChars="0"/>
        <w:outlineLvl w:val="0"/>
        <w:rPr>
          <w:rFonts w:hint="eastAsia" w:ascii="仿宋_GB2312" w:hAnsi="仿宋_GB2312" w:eastAsia="仿宋_GB2312" w:cs="仿宋_GB2312"/>
          <w:b/>
          <w:bCs/>
          <w:color w:val="auto"/>
          <w:sz w:val="32"/>
          <w:szCs w:val="32"/>
          <w:highlight w:val="none"/>
        </w:rPr>
      </w:pPr>
      <w:bookmarkStart w:id="5" w:name="_Toc86481569"/>
      <w:r>
        <w:rPr>
          <w:rFonts w:hint="eastAsia" w:ascii="仿宋_GB2312" w:hAnsi="仿宋_GB2312" w:eastAsia="仿宋_GB2312" w:cs="仿宋_GB2312"/>
          <w:b/>
          <w:bCs/>
          <w:color w:val="auto"/>
          <w:sz w:val="32"/>
          <w:szCs w:val="32"/>
          <w:highlight w:val="none"/>
        </w:rPr>
        <w:t>合同生效</w:t>
      </w:r>
      <w:bookmarkEnd w:id="5"/>
    </w:p>
    <w:p>
      <w:pPr>
        <w:numPr>
          <w:ilvl w:val="-1"/>
          <w:numId w:val="0"/>
        </w:numPr>
        <w:spacing w:line="560" w:lineRule="exact"/>
        <w:ind w:left="0"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本合同由双方法定代表人或委托代理人签字盖章后立即生效，具有同等法律效力，合同有效期</w:t>
      </w:r>
      <w:r>
        <w:rPr>
          <w:rFonts w:hint="eastAsia" w:ascii="仿宋_GB2312" w:hAnsi="仿宋_GB2312" w:eastAsia="仿宋_GB2312" w:cs="仿宋_GB2312"/>
          <w:color w:val="auto"/>
          <w:sz w:val="32"/>
          <w:szCs w:val="32"/>
          <w:highlight w:val="none"/>
          <w:lang w:val="en-US" w:eastAsia="zh-Hans"/>
        </w:rPr>
        <w:t>随维保期服务持续</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val="en-US" w:eastAsia="zh-Hans"/>
        </w:rPr>
        <w:t>结束）而自动延续</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rPr>
        <w:t>终止</w:t>
      </w:r>
      <w:r>
        <w:rPr>
          <w:rFonts w:hint="eastAsia" w:ascii="仿宋_GB2312" w:hAnsi="仿宋_GB2312" w:eastAsia="仿宋_GB2312" w:cs="仿宋_GB2312"/>
          <w:color w:val="auto"/>
          <w:sz w:val="32"/>
          <w:szCs w:val="32"/>
          <w:highlight w:val="none"/>
          <w:lang w:val="en-US" w:eastAsia="zh-Hans"/>
        </w:rPr>
        <w:t>）</w:t>
      </w:r>
      <w:r>
        <w:rPr>
          <w:rFonts w:hint="eastAsia" w:ascii="仿宋_GB2312" w:hAnsi="仿宋_GB2312" w:eastAsia="仿宋_GB2312" w:cs="仿宋_GB2312"/>
          <w:color w:val="auto"/>
          <w:sz w:val="32"/>
          <w:szCs w:val="32"/>
          <w:highlight w:val="none"/>
        </w:rPr>
        <w:t>。</w:t>
      </w:r>
    </w:p>
    <w:p>
      <w:pPr>
        <w:numPr>
          <w:ilvl w:val="-1"/>
          <w:numId w:val="0"/>
        </w:numPr>
        <w:spacing w:line="560" w:lineRule="exact"/>
        <w:ind w:left="0"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本合同一式</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叁</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份，其中甲方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份、乙方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份</w:t>
      </w:r>
      <w:r>
        <w:rPr>
          <w:rFonts w:hint="eastAsia" w:ascii="仿宋_GB2312" w:hAnsi="仿宋_GB2312" w:eastAsia="仿宋_GB2312" w:cs="仿宋_GB2312"/>
          <w:color w:val="auto"/>
          <w:sz w:val="32"/>
          <w:szCs w:val="32"/>
          <w:highlight w:val="none"/>
          <w:lang w:eastAsia="zh-CN"/>
        </w:rPr>
        <w:t>。</w:t>
      </w:r>
    </w:p>
    <w:p>
      <w:pPr>
        <w:numPr>
          <w:ilvl w:val="0"/>
          <w:numId w:val="2"/>
        </w:numPr>
        <w:bidi w:val="0"/>
        <w:spacing w:line="560" w:lineRule="exact"/>
        <w:ind w:left="0" w:leftChars="0" w:firstLine="0" w:firstLineChars="0"/>
        <w:outlineLvl w:val="0"/>
        <w:rPr>
          <w:rFonts w:hint="eastAsia" w:ascii="仿宋_GB2312" w:hAnsi="仿宋_GB2312" w:eastAsia="仿宋_GB2312" w:cs="仿宋_GB2312"/>
          <w:b/>
          <w:bCs/>
          <w:color w:val="auto"/>
          <w:sz w:val="32"/>
          <w:szCs w:val="32"/>
          <w:highlight w:val="none"/>
        </w:rPr>
      </w:pPr>
      <w:bookmarkStart w:id="6" w:name="_Toc86481570"/>
      <w:r>
        <w:rPr>
          <w:rFonts w:hint="eastAsia" w:ascii="仿宋_GB2312" w:hAnsi="仿宋_GB2312" w:eastAsia="仿宋_GB2312" w:cs="仿宋_GB2312"/>
          <w:b/>
          <w:bCs/>
          <w:color w:val="auto"/>
          <w:sz w:val="32"/>
          <w:szCs w:val="32"/>
          <w:highlight w:val="none"/>
        </w:rPr>
        <w:t>其它</w:t>
      </w:r>
      <w:bookmarkEnd w:id="6"/>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1、系统运行的安全性和稳定性是业务系统正常运行的重要保障。在系统设计和建设中要符合国家有关信息安全方面的法律、法规及技术要求，强化信息安全管理，制定和完善相关的应急处理预案，保证系统稳定运行。</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2、系统应建立数据备份和恢复机制，确保数据丢失时可以及时恢复。</w:t>
      </w:r>
    </w:p>
    <w:p>
      <w:pPr>
        <w:numPr>
          <w:ilvl w:val="-1"/>
          <w:numId w:val="0"/>
        </w:numPr>
        <w:spacing w:line="560" w:lineRule="exact"/>
        <w:ind w:left="0" w:firstLine="0"/>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kern w:val="2"/>
          <w:sz w:val="32"/>
          <w:szCs w:val="32"/>
          <w:highlight w:val="none"/>
          <w:lang w:val="en-US" w:eastAsia="zh-CN" w:bidi="ar-SA"/>
        </w:rPr>
        <w:t>3、系统需支持在高并发大数据量情况下的运行效率和稳定性。本系统作为医院信息化系统中的关键业务系统之一，系统的稳定性和可靠性将关系到整个医院经营管理日常工作。</w:t>
      </w:r>
    </w:p>
    <w:p>
      <w:pPr>
        <w:numPr>
          <w:ilvl w:val="-1"/>
          <w:numId w:val="0"/>
        </w:numPr>
        <w:spacing w:line="560" w:lineRule="exact"/>
        <w:ind w:left="0" w:firstLine="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default" w:ascii="仿宋_GB2312" w:hAnsi="仿宋_GB2312" w:eastAsia="仿宋_GB2312" w:cs="仿宋_GB2312"/>
          <w:color w:val="auto"/>
          <w:sz w:val="32"/>
          <w:szCs w:val="32"/>
          <w:highlight w:val="none"/>
        </w:rPr>
        <w:t>本合同未尽事宜，双方可签订补充合同，补充合同与所有附件均为合同的有效组成部分，与本合同具有同等法律效力。</w:t>
      </w:r>
    </w:p>
    <w:p>
      <w:pPr>
        <w:numPr>
          <w:ilvl w:val="-1"/>
          <w:numId w:val="0"/>
        </w:numPr>
        <w:spacing w:line="560" w:lineRule="exact"/>
        <w:ind w:left="0"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rPr>
        <w:t>在执行本合同的过程中，所有经甲乙双方签署确认的文</w:t>
      </w:r>
      <w:r>
        <w:rPr>
          <w:rFonts w:hint="eastAsia" w:ascii="仿宋_GB2312" w:hAnsi="仿宋_GB2312" w:eastAsia="仿宋_GB2312" w:cs="仿宋_GB2312"/>
          <w:color w:val="auto"/>
          <w:sz w:val="32"/>
          <w:szCs w:val="32"/>
          <w:highlight w:val="none"/>
        </w:rPr>
        <w:t>件（包括会议纪要、补充协议、往来信函、合同附件等）即成为本合同的有效组成部分，其生效日期为双方签字盖章或确认之日期。</w:t>
      </w:r>
    </w:p>
    <w:p>
      <w:pPr>
        <w:numPr>
          <w:ilvl w:val="0"/>
          <w:numId w:val="0"/>
        </w:numPr>
        <w:spacing w:line="560" w:lineRule="exact"/>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(以下无正文)</w:t>
      </w:r>
    </w:p>
    <w:p>
      <w:pPr>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w:t>
      </w:r>
      <w:r>
        <w:rPr>
          <w:rFonts w:hint="eastAsia" w:ascii="仿宋_GB2312" w:hAnsi="仿宋_GB2312" w:eastAsia="仿宋_GB2312" w:cs="仿宋_GB2312"/>
          <w:color w:val="auto"/>
          <w:sz w:val="32"/>
          <w:szCs w:val="32"/>
          <w:highlight w:val="none"/>
          <w:lang w:val="en-US" w:eastAsia="zh-CN"/>
        </w:rPr>
        <w:t>件：</w:t>
      </w:r>
      <w:r>
        <w:rPr>
          <w:rFonts w:hint="eastAsia" w:ascii="仿宋_GB2312" w:hAnsi="仿宋_GB2312" w:eastAsia="仿宋_GB2312" w:cs="仿宋_GB2312"/>
          <w:b w:val="0"/>
          <w:bCs w:val="0"/>
          <w:color w:val="auto"/>
          <w:kern w:val="2"/>
          <w:sz w:val="32"/>
          <w:szCs w:val="32"/>
          <w:highlight w:val="none"/>
          <w:lang w:val="en-US" w:eastAsia="zh-CN" w:bidi="ar-SA"/>
        </w:rPr>
        <w:t>DRG系统CMI数据服务需求</w:t>
      </w:r>
    </w:p>
    <w:tbl>
      <w:tblPr>
        <w:tblStyle w:val="13"/>
        <w:tblW w:w="85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38"/>
        <w:gridCol w:w="4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38" w:type="dxa"/>
            <w:tcBorders>
              <w:tl2br w:val="nil"/>
              <w:tr2bl w:val="nil"/>
            </w:tcBorders>
            <w:vAlign w:val="top"/>
          </w:tcPr>
          <w:p>
            <w:pPr>
              <w:widowControl/>
              <w:spacing w:line="560" w:lineRule="exact"/>
              <w:jc w:val="left"/>
              <w:rPr>
                <w:rFonts w:hint="eastAsia" w:ascii="仿宋_GB2312" w:hAnsi="仿宋_GB2312" w:eastAsia="仿宋_GB2312" w:cs="仿宋_GB2312"/>
                <w:color w:val="auto"/>
                <w:kern w:val="2"/>
                <w:sz w:val="32"/>
                <w:szCs w:val="32"/>
                <w:highlight w:val="none"/>
                <w:vertAlign w:val="baseline"/>
                <w:lang w:eastAsia="zh-CN" w:bidi="ar-SA"/>
              </w:rPr>
            </w:pPr>
            <w:r>
              <w:rPr>
                <w:rFonts w:hint="eastAsia" w:ascii="仿宋_GB2312" w:hAnsi="仿宋_GB2312" w:eastAsia="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方（盖章）：中山市黄圃人民医院</w:t>
            </w:r>
          </w:p>
        </w:tc>
        <w:tc>
          <w:tcPr>
            <w:tcW w:w="4457" w:type="dxa"/>
            <w:tcBorders>
              <w:tl2br w:val="nil"/>
              <w:tr2bl w:val="nil"/>
            </w:tcBorders>
            <w:vAlign w:val="top"/>
          </w:tcPr>
          <w:p>
            <w:pPr>
              <w:widowControl/>
              <w:spacing w:line="560" w:lineRule="exact"/>
              <w:jc w:val="left"/>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rPr>
              <w:t xml:space="preserve">乙方（盖章）：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4138" w:type="dxa"/>
            <w:tcBorders>
              <w:tl2br w:val="nil"/>
              <w:tr2bl w:val="nil"/>
            </w:tcBorders>
            <w:vAlign w:val="top"/>
          </w:tcPr>
          <w:p>
            <w:pPr>
              <w:widowControl/>
              <w:spacing w:line="560" w:lineRule="exact"/>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Hans"/>
              </w:rPr>
              <w:t>法定代表人或授权委托人</w:t>
            </w:r>
            <w:r>
              <w:rPr>
                <w:rFonts w:hint="eastAsia" w:ascii="仿宋_GB2312" w:hAnsi="仿宋_GB2312" w:eastAsia="仿宋_GB2312" w:cs="仿宋_GB2312"/>
                <w:color w:val="auto"/>
                <w:sz w:val="32"/>
                <w:szCs w:val="32"/>
                <w:highlight w:val="none"/>
              </w:rPr>
              <w:t>(签字)：</w:t>
            </w:r>
          </w:p>
        </w:tc>
        <w:tc>
          <w:tcPr>
            <w:tcW w:w="4457" w:type="dxa"/>
            <w:tcBorders>
              <w:tl2br w:val="nil"/>
              <w:tr2bl w:val="nil"/>
            </w:tcBorders>
            <w:vAlign w:val="top"/>
          </w:tcPr>
          <w:p>
            <w:pPr>
              <w:widowControl/>
              <w:spacing w:line="56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Hans"/>
              </w:rPr>
              <w:t>法定代表人或授权委托人</w:t>
            </w:r>
          </w:p>
          <w:p>
            <w:pPr>
              <w:widowControl/>
              <w:spacing w:line="560" w:lineRule="exact"/>
              <w:jc w:val="left"/>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38" w:type="dxa"/>
            <w:tcBorders>
              <w:tl2br w:val="nil"/>
              <w:tr2bl w:val="nil"/>
            </w:tcBorders>
            <w:vAlign w:val="top"/>
          </w:tcPr>
          <w:p>
            <w:pPr>
              <w:widowControl/>
              <w:spacing w:line="560" w:lineRule="exact"/>
              <w:jc w:val="left"/>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sz w:val="32"/>
                <w:szCs w:val="32"/>
                <w:highlight w:val="none"/>
              </w:rPr>
              <w:t>地址：广东省中山市黄圃镇龙安街32号</w:t>
            </w:r>
          </w:p>
        </w:tc>
        <w:tc>
          <w:tcPr>
            <w:tcW w:w="4457" w:type="dxa"/>
            <w:tcBorders>
              <w:tl2br w:val="nil"/>
              <w:tr2bl w:val="nil"/>
            </w:tcBorders>
            <w:vAlign w:val="top"/>
          </w:tcPr>
          <w:p>
            <w:pPr>
              <w:widowControl/>
              <w:spacing w:line="560" w:lineRule="exact"/>
              <w:jc w:val="left"/>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4" w:hRule="atLeast"/>
        </w:trPr>
        <w:tc>
          <w:tcPr>
            <w:tcW w:w="4138" w:type="dxa"/>
            <w:tcBorders>
              <w:tl2br w:val="nil"/>
              <w:tr2bl w:val="nil"/>
            </w:tcBorders>
            <w:vAlign w:val="top"/>
          </w:tcPr>
          <w:p>
            <w:pPr>
              <w:widowControl/>
              <w:spacing w:line="560" w:lineRule="exact"/>
              <w:jc w:val="left"/>
              <w:rPr>
                <w:rFonts w:hint="default"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签约时间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年  月  日        </w:t>
            </w:r>
          </w:p>
        </w:tc>
        <w:tc>
          <w:tcPr>
            <w:tcW w:w="4457" w:type="dxa"/>
            <w:tcBorders>
              <w:tl2br w:val="nil"/>
              <w:tr2bl w:val="nil"/>
            </w:tcBorders>
            <w:vAlign w:val="top"/>
          </w:tcPr>
          <w:p>
            <w:pPr>
              <w:widowControl/>
              <w:spacing w:line="56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签约时间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4" w:hRule="atLeast"/>
        </w:trPr>
        <w:tc>
          <w:tcPr>
            <w:tcW w:w="8595" w:type="dxa"/>
            <w:gridSpan w:val="2"/>
            <w:vAlign w:val="top"/>
          </w:tcPr>
          <w:p>
            <w:pPr>
              <w:widowControl/>
              <w:spacing w:line="560" w:lineRule="exact"/>
              <w:jc w:val="left"/>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签约地点：</w:t>
            </w:r>
            <w:r>
              <w:rPr>
                <w:rFonts w:hint="eastAsia" w:ascii="仿宋_GB2312" w:hAnsi="仿宋_GB2312" w:eastAsia="仿宋_GB2312" w:cs="仿宋_GB2312"/>
                <w:color w:val="auto"/>
                <w:sz w:val="32"/>
                <w:szCs w:val="32"/>
                <w:highlight w:val="none"/>
              </w:rPr>
              <w:t>中山市黄圃镇龙安街 32号</w:t>
            </w:r>
          </w:p>
        </w:tc>
      </w:tr>
    </w:tbl>
    <w:p>
      <w:pPr>
        <w:spacing w:line="360" w:lineRule="auto"/>
        <w:rPr>
          <w:rFonts w:hint="eastAsia" w:ascii="宋体" w:hAnsi="宋体" w:eastAsia="宋体" w:cs="宋体"/>
          <w:sz w:val="24"/>
          <w:szCs w:val="24"/>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sz w:val="24"/>
          <w:szCs w:val="24"/>
          <w:highlight w:val="none"/>
        </w:rPr>
        <w:br w:type="page"/>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附表：</w:t>
      </w:r>
      <w:r>
        <w:rPr>
          <w:rFonts w:hint="eastAsia" w:ascii="宋体" w:hAnsi="宋体" w:eastAsia="宋体" w:cs="宋体"/>
          <w:b/>
          <w:bCs/>
          <w:color w:val="auto"/>
          <w:kern w:val="2"/>
          <w:sz w:val="28"/>
          <w:szCs w:val="28"/>
          <w:lang w:val="en-US" w:eastAsia="zh-CN" w:bidi="ar-SA"/>
        </w:rPr>
        <w:t>DRG系统CMI数据服务需求</w:t>
      </w:r>
    </w:p>
    <w:tbl>
      <w:tblPr>
        <w:tblStyle w:val="13"/>
        <w:tblW w:w="143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5023"/>
        <w:gridCol w:w="8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146" w:type="dxa"/>
            <w:vAlign w:val="center"/>
          </w:tcPr>
          <w:p>
            <w:pPr>
              <w:pStyle w:val="4"/>
              <w:keepNext w:val="0"/>
              <w:keepLines w:val="0"/>
              <w:pageBreakBefore w:val="0"/>
              <w:widowControl w:val="0"/>
              <w:kinsoku/>
              <w:wordWrap/>
              <w:overflowPunct/>
              <w:topLinePunct w:val="0"/>
              <w:autoSpaceDE/>
              <w:autoSpaceDN/>
              <w:bidi w:val="0"/>
              <w:adjustRightInd/>
              <w:snapToGrid/>
              <w:spacing w:before="160" w:after="160" w:line="560" w:lineRule="exact"/>
              <w:ind w:firstLine="0" w:firstLineChars="0"/>
              <w:jc w:val="center"/>
              <w:textAlignment w:val="auto"/>
              <w:outlineLvl w:val="0"/>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功能</w:t>
            </w:r>
            <w:r>
              <w:rPr>
                <w:rFonts w:hint="eastAsia" w:asciiTheme="minorEastAsia" w:hAnsiTheme="minorEastAsia" w:cstheme="minorEastAsia"/>
                <w:b/>
                <w:bCs/>
                <w:color w:val="auto"/>
                <w:sz w:val="24"/>
                <w:szCs w:val="24"/>
                <w:vertAlign w:val="baseline"/>
                <w:lang w:val="en-US" w:eastAsia="zh-CN"/>
              </w:rPr>
              <w:t>要求</w:t>
            </w:r>
          </w:p>
        </w:tc>
        <w:tc>
          <w:tcPr>
            <w:tcW w:w="13212" w:type="dxa"/>
            <w:gridSpan w:val="2"/>
            <w:vAlign w:val="center"/>
          </w:tcPr>
          <w:p>
            <w:pPr>
              <w:pStyle w:val="4"/>
              <w:keepNext w:val="0"/>
              <w:keepLines w:val="0"/>
              <w:pageBreakBefore w:val="0"/>
              <w:widowControl w:val="0"/>
              <w:kinsoku/>
              <w:wordWrap/>
              <w:overflowPunct/>
              <w:topLinePunct w:val="0"/>
              <w:autoSpaceDE/>
              <w:autoSpaceDN/>
              <w:bidi w:val="0"/>
              <w:adjustRightInd/>
              <w:snapToGrid/>
              <w:spacing w:before="160" w:after="160" w:line="560" w:lineRule="exact"/>
              <w:ind w:firstLine="0" w:firstLineChars="0"/>
              <w:jc w:val="center"/>
              <w:textAlignment w:val="auto"/>
              <w:outlineLvl w:val="0"/>
              <w:rPr>
                <w:rFonts w:hint="default"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cstheme="minorEastAsia"/>
                <w:b/>
                <w:bCs/>
                <w:color w:val="auto"/>
                <w:sz w:val="24"/>
                <w:szCs w:val="24"/>
                <w:vertAlign w:val="baseline"/>
                <w:lang w:val="en-US" w:eastAsia="zh-CN"/>
              </w:rPr>
              <w:t>具体</w:t>
            </w:r>
            <w:r>
              <w:rPr>
                <w:rFonts w:hint="eastAsia" w:asciiTheme="minorEastAsia" w:hAnsiTheme="minorEastAsia" w:eastAsiaTheme="minorEastAsia" w:cstheme="minorEastAsia"/>
                <w:b/>
                <w:bCs/>
                <w:color w:val="auto"/>
                <w:sz w:val="24"/>
                <w:szCs w:val="24"/>
                <w:vertAlign w:val="baseline"/>
                <w:lang w:val="en-US" w:eastAsia="zh-CN"/>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restart"/>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数据采集</w:t>
            </w:r>
          </w:p>
        </w:tc>
        <w:tc>
          <w:tcPr>
            <w:tcW w:w="5023" w:type="dxa"/>
            <w:vMerge w:val="restart"/>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数据采集是系统的基础性功能，DRG评价是基于医院病案管理系统中经质控的住院病案首页数据作为数据分析依据</w:t>
            </w:r>
            <w:r>
              <w:rPr>
                <w:rFonts w:hint="eastAsia" w:asciiTheme="minorEastAsia" w:hAnsiTheme="minorEastAsia" w:cstheme="minorEastAsia"/>
                <w:color w:val="auto"/>
                <w:sz w:val="24"/>
                <w:szCs w:val="24"/>
                <w:vertAlign w:val="baseline"/>
                <w:lang w:val="en-US" w:eastAsia="zh-CN"/>
              </w:rPr>
              <w:t>。</w:t>
            </w: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color w:val="auto"/>
                <w:kern w:val="2"/>
                <w:sz w:val="28"/>
                <w:szCs w:val="28"/>
                <w:highlight w:val="none"/>
                <w:lang w:val="en-US" w:eastAsia="zh-CN" w:bidi="ar-SA"/>
              </w:rPr>
              <w:t>▲</w:t>
            </w:r>
            <w:r>
              <w:rPr>
                <w:rFonts w:hint="eastAsia" w:asciiTheme="minorEastAsia" w:hAnsiTheme="minorEastAsia" w:eastAsiaTheme="minorEastAsia" w:cstheme="minorEastAsia"/>
                <w:color w:val="auto"/>
                <w:sz w:val="24"/>
                <w:szCs w:val="24"/>
              </w:rPr>
              <w:t>病案首页数据</w:t>
            </w:r>
            <w:r>
              <w:rPr>
                <w:rFonts w:hint="eastAsia" w:asciiTheme="minorEastAsia" w:hAnsiTheme="minorEastAsia" w:eastAsiaTheme="minorEastAsia" w:cstheme="minorEastAsia"/>
                <w:color w:val="auto"/>
                <w:sz w:val="24"/>
                <w:szCs w:val="24"/>
                <w:lang w:val="en-US" w:eastAsia="zh-CN"/>
              </w:rPr>
              <w:t>采集</w:t>
            </w:r>
            <w:r>
              <w:rPr>
                <w:rFonts w:hint="eastAsia" w:asciiTheme="minorEastAsia" w:hAnsiTheme="minorEastAsia" w:eastAsiaTheme="minorEastAsia" w:cstheme="minorEastAsia"/>
                <w:color w:val="auto"/>
                <w:sz w:val="24"/>
                <w:szCs w:val="24"/>
              </w:rPr>
              <w:t>：支持与院内病案系统</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HIS系统</w:t>
            </w:r>
            <w:r>
              <w:rPr>
                <w:rFonts w:hint="eastAsia" w:asciiTheme="minorEastAsia" w:hAnsiTheme="minorEastAsia" w:eastAsiaTheme="minorEastAsia" w:cstheme="minorEastAsia"/>
                <w:color w:val="auto"/>
                <w:sz w:val="24"/>
                <w:szCs w:val="24"/>
              </w:rPr>
              <w:t>对接，实现自动</w:t>
            </w:r>
            <w:r>
              <w:rPr>
                <w:rFonts w:hint="eastAsia" w:asciiTheme="minorEastAsia" w:hAnsiTheme="minorEastAsia" w:eastAsiaTheme="minorEastAsia" w:cstheme="minorEastAsia"/>
                <w:color w:val="auto"/>
                <w:sz w:val="24"/>
                <w:szCs w:val="24"/>
                <w:lang w:val="en-US" w:eastAsia="zh-CN"/>
              </w:rPr>
              <w:t>同步</w:t>
            </w:r>
            <w:r>
              <w:rPr>
                <w:rFonts w:hint="eastAsia" w:asciiTheme="minorEastAsia" w:hAnsiTheme="minorEastAsia" w:eastAsiaTheme="minorEastAsia" w:cstheme="minorEastAsia"/>
                <w:color w:val="auto"/>
                <w:sz w:val="24"/>
                <w:szCs w:val="24"/>
              </w:rPr>
              <w:t>功能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查看所有</w:t>
            </w:r>
            <w:r>
              <w:rPr>
                <w:rFonts w:hint="eastAsia" w:asciiTheme="minorEastAsia" w:hAnsiTheme="minorEastAsia" w:eastAsiaTheme="minorEastAsia" w:cstheme="minorEastAsia"/>
                <w:color w:val="auto"/>
                <w:sz w:val="24"/>
                <w:szCs w:val="24"/>
                <w:lang w:val="en-US" w:eastAsia="zh-CN"/>
              </w:rPr>
              <w:t>采集</w:t>
            </w:r>
            <w:r>
              <w:rPr>
                <w:rFonts w:hint="eastAsia" w:asciiTheme="minorEastAsia" w:hAnsiTheme="minorEastAsia" w:eastAsiaTheme="minorEastAsia" w:cstheme="minorEastAsia"/>
                <w:color w:val="auto"/>
                <w:sz w:val="24"/>
                <w:szCs w:val="24"/>
              </w:rPr>
              <w:t>文件的信息，并可下载已</w:t>
            </w:r>
            <w:r>
              <w:rPr>
                <w:rFonts w:hint="eastAsia" w:asciiTheme="minorEastAsia" w:hAnsiTheme="minorEastAsia" w:eastAsiaTheme="minorEastAsia" w:cstheme="minorEastAsia"/>
                <w:color w:val="auto"/>
                <w:sz w:val="24"/>
                <w:szCs w:val="24"/>
                <w:lang w:val="en-US" w:eastAsia="zh-CN"/>
              </w:rPr>
              <w:t>采集</w:t>
            </w:r>
            <w:r>
              <w:rPr>
                <w:rFonts w:hint="eastAsia" w:asciiTheme="minorEastAsia" w:hAnsiTheme="minorEastAsia" w:eastAsiaTheme="minorEastAsia" w:cstheme="minorEastAsia"/>
                <w:color w:val="auto"/>
                <w:sz w:val="24"/>
                <w:szCs w:val="24"/>
              </w:rPr>
              <w:t>的数据文件，方便医院进行查找和核对。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color w:val="auto"/>
                <w:kern w:val="2"/>
                <w:sz w:val="28"/>
                <w:szCs w:val="28"/>
                <w:highlight w:val="none"/>
                <w:lang w:val="en-US" w:eastAsia="zh-CN" w:bidi="ar-SA"/>
              </w:rPr>
              <w:t>▲</w:t>
            </w:r>
            <w:r>
              <w:rPr>
                <w:rFonts w:hint="eastAsia" w:asciiTheme="minorEastAsia" w:hAnsiTheme="minorEastAsia" w:eastAsiaTheme="minorEastAsia" w:cstheme="minorEastAsia"/>
                <w:color w:val="auto"/>
                <w:sz w:val="24"/>
                <w:szCs w:val="24"/>
              </w:rPr>
              <w:t>病案首页数据清洗：系统通过ETL工具自动对不合格数据进行清洗及校验。并对不合格病案数据进行自动提示。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rPr>
              <w:t>数据量查询：按月进行统计，可查询院内病案首页的数据量。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restart"/>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DRG分组服务</w:t>
            </w:r>
          </w:p>
        </w:tc>
        <w:tc>
          <w:tcPr>
            <w:tcW w:w="5023" w:type="dxa"/>
            <w:vMerge w:val="restart"/>
            <w:vAlign w:val="center"/>
          </w:tcPr>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C</w:t>
            </w:r>
            <w:r>
              <w:rPr>
                <w:rFonts w:hint="eastAsia" w:asciiTheme="minorEastAsia" w:hAnsiTheme="minorEastAsia" w:cstheme="minorEastAsia"/>
                <w:color w:val="auto"/>
                <w:sz w:val="24"/>
                <w:szCs w:val="24"/>
                <w:vertAlign w:val="baseline"/>
                <w:lang w:val="en-US" w:eastAsia="zh-CN"/>
              </w:rPr>
              <w:t>HS</w:t>
            </w:r>
            <w:r>
              <w:rPr>
                <w:rFonts w:hint="eastAsia" w:asciiTheme="minorEastAsia" w:hAnsiTheme="minorEastAsia" w:eastAsiaTheme="minorEastAsia" w:cstheme="minorEastAsia"/>
                <w:color w:val="auto"/>
                <w:sz w:val="24"/>
                <w:szCs w:val="24"/>
                <w:vertAlign w:val="baseline"/>
                <w:lang w:val="en-US" w:eastAsia="zh-CN"/>
              </w:rPr>
              <w:t>_DR</w:t>
            </w:r>
            <w:r>
              <w:rPr>
                <w:rFonts w:hint="eastAsia" w:asciiTheme="minorEastAsia" w:hAnsiTheme="minorEastAsia" w:cstheme="minorEastAsia"/>
                <w:color w:val="auto"/>
                <w:sz w:val="24"/>
                <w:szCs w:val="24"/>
                <w:vertAlign w:val="baseline"/>
                <w:lang w:val="en-US" w:eastAsia="zh-CN"/>
              </w:rPr>
              <w:t>G及CN_DRG</w:t>
            </w:r>
            <w:r>
              <w:rPr>
                <w:rFonts w:hint="eastAsia" w:asciiTheme="minorEastAsia" w:hAnsiTheme="minorEastAsia" w:eastAsiaTheme="minorEastAsia" w:cstheme="minorEastAsia"/>
                <w:color w:val="auto"/>
                <w:sz w:val="24"/>
                <w:szCs w:val="24"/>
                <w:vertAlign w:val="baseline"/>
                <w:lang w:val="en-US" w:eastAsia="zh-CN"/>
              </w:rPr>
              <w:t>分组</w:t>
            </w:r>
            <w:r>
              <w:rPr>
                <w:rFonts w:hint="eastAsia" w:asciiTheme="minorEastAsia" w:hAnsiTheme="minorEastAsia" w:cstheme="minorEastAsia"/>
                <w:color w:val="auto"/>
                <w:sz w:val="24"/>
                <w:szCs w:val="24"/>
                <w:vertAlign w:val="baseline"/>
                <w:lang w:val="en-US" w:eastAsia="zh-CN"/>
              </w:rPr>
              <w:t>测算</w:t>
            </w: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eastAsia="宋体" w:asciiTheme="minorEastAsia" w:hAnsiTheme="minorEastAsia" w:cstheme="minorEastAsia"/>
                <w:color w:val="auto"/>
                <w:sz w:val="24"/>
                <w:szCs w:val="24"/>
                <w:vertAlign w:val="baseline"/>
                <w:lang w:val="en-US" w:eastAsia="zh-CN"/>
              </w:rPr>
            </w:pPr>
            <w:r>
              <w:rPr>
                <w:rFonts w:hint="eastAsia" w:ascii="宋体" w:hAnsi="宋体" w:eastAsia="宋体" w:cs="宋体"/>
                <w:color w:val="auto"/>
                <w:kern w:val="2"/>
                <w:sz w:val="28"/>
                <w:szCs w:val="28"/>
                <w:highlight w:val="none"/>
                <w:lang w:val="en-US" w:eastAsia="zh-CN" w:bidi="ar-SA"/>
              </w:rPr>
              <w:t>▲</w:t>
            </w:r>
            <w:r>
              <w:rPr>
                <w:rFonts w:hint="eastAsia" w:asciiTheme="minorEastAsia" w:hAnsiTheme="minorEastAsia" w:eastAsiaTheme="minorEastAsia" w:cstheme="minorEastAsia"/>
                <w:color w:val="auto"/>
                <w:sz w:val="24"/>
                <w:szCs w:val="24"/>
                <w:vertAlign w:val="baseline"/>
                <w:lang w:val="en-US" w:eastAsia="zh-CN"/>
              </w:rPr>
              <w:t>部署院内分组器，提供稳定的分组服务，可以针对</w:t>
            </w:r>
            <w:r>
              <w:rPr>
                <w:rFonts w:hint="eastAsia" w:asciiTheme="minorEastAsia" w:hAnsiTheme="minorEastAsia" w:cstheme="minorEastAsia"/>
                <w:color w:val="auto"/>
                <w:sz w:val="24"/>
                <w:szCs w:val="24"/>
                <w:vertAlign w:val="baseline"/>
                <w:lang w:val="en-US" w:eastAsia="zh-CN"/>
              </w:rPr>
              <w:t>在院患者（HIS数据源）、出院患者（病案数据源）</w:t>
            </w:r>
            <w:r>
              <w:rPr>
                <w:rFonts w:hint="eastAsia" w:asciiTheme="minorEastAsia" w:hAnsiTheme="minorEastAsia" w:eastAsiaTheme="minorEastAsia" w:cstheme="minorEastAsia"/>
                <w:color w:val="auto"/>
                <w:sz w:val="24"/>
                <w:szCs w:val="24"/>
                <w:vertAlign w:val="baseline"/>
                <w:lang w:val="en-US" w:eastAsia="zh-CN"/>
              </w:rPr>
              <w:t>进行预分组，提前预测疾病所属DRG组。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eastAsia="宋体" w:asciiTheme="minorEastAsia" w:hAnsiTheme="minorEastAsia" w:cstheme="minorEastAsia"/>
                <w:color w:val="auto"/>
                <w:sz w:val="24"/>
                <w:szCs w:val="24"/>
                <w:vertAlign w:val="baseline"/>
                <w:lang w:val="en-US" w:eastAsia="zh-CN"/>
              </w:rPr>
            </w:pP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color w:val="auto"/>
                <w:sz w:val="24"/>
                <w:szCs w:val="24"/>
              </w:rPr>
              <w:t>未入组病例分析</w:t>
            </w:r>
            <w:r>
              <w:rPr>
                <w:rFonts w:hint="eastAsia" w:ascii="宋体" w:hAnsi="宋体" w:eastAsia="宋体" w:cs="宋体"/>
                <w:color w:val="auto"/>
                <w:sz w:val="24"/>
                <w:szCs w:val="24"/>
                <w:lang w:eastAsia="zh-CN"/>
              </w:rPr>
              <w:t>：通过系统批量逻辑校验功能，可根据维护的病案首页规则对首页错误进行提示，协助编码员对病案质量填写进行筛查。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color w:val="auto"/>
                <w:sz w:val="24"/>
                <w:szCs w:val="24"/>
                <w:lang w:val="en-US" w:eastAsia="zh-CN"/>
              </w:rPr>
              <w:t>在院/出院患者</w:t>
            </w:r>
            <w:r>
              <w:rPr>
                <w:rFonts w:hint="eastAsia" w:ascii="宋体" w:hAnsi="宋体" w:eastAsia="宋体" w:cs="宋体"/>
                <w:color w:val="auto"/>
                <w:kern w:val="2"/>
                <w:sz w:val="28"/>
                <w:szCs w:val="28"/>
                <w:highlight w:val="none"/>
                <w:lang w:val="en-US" w:eastAsia="zh-CN" w:bidi="ar-SA"/>
              </w:rPr>
              <w:t>：</w:t>
            </w:r>
            <w:r>
              <w:rPr>
                <w:rFonts w:hint="eastAsia" w:asciiTheme="minorEastAsia" w:hAnsiTheme="minorEastAsia" w:eastAsiaTheme="minorEastAsia" w:cstheme="minorEastAsia"/>
                <w:color w:val="auto"/>
                <w:sz w:val="24"/>
                <w:szCs w:val="24"/>
                <w:vertAlign w:val="baseline"/>
                <w:lang w:val="en-US" w:eastAsia="zh-CN"/>
              </w:rPr>
              <w:t>DRG组合查询</w:t>
            </w:r>
            <w:r>
              <w:rPr>
                <w:rFonts w:hint="eastAsia" w:asciiTheme="minorEastAsia" w:hAnsiTheme="minorEastAsia" w:cstheme="minorEastAsia"/>
                <w:color w:val="auto"/>
                <w:sz w:val="24"/>
                <w:szCs w:val="24"/>
                <w:vertAlign w:val="baseline"/>
                <w:lang w:val="en-US" w:eastAsia="zh-CN"/>
              </w:rPr>
              <w:t>、</w:t>
            </w:r>
            <w:r>
              <w:rPr>
                <w:rFonts w:hint="eastAsia" w:asciiTheme="minorEastAsia" w:hAnsiTheme="minorEastAsia" w:eastAsiaTheme="minorEastAsia" w:cstheme="minorEastAsia"/>
                <w:color w:val="auto"/>
                <w:sz w:val="24"/>
                <w:szCs w:val="24"/>
                <w:vertAlign w:val="baseline"/>
                <w:lang w:val="en-US" w:eastAsia="zh-CN"/>
              </w:rPr>
              <w:t>患者DRG入组测算</w:t>
            </w:r>
            <w:r>
              <w:rPr>
                <w:rFonts w:hint="eastAsia" w:asciiTheme="minorEastAsia" w:hAnsiTheme="minorEastAsia" w:cstheme="minorEastAsia"/>
                <w:color w:val="auto"/>
                <w:sz w:val="24"/>
                <w:szCs w:val="24"/>
                <w:vertAlign w:val="baseline"/>
                <w:lang w:val="en-US" w:eastAsia="zh-CN"/>
              </w:rPr>
              <w:t>、</w:t>
            </w:r>
            <w:r>
              <w:rPr>
                <w:rFonts w:hint="eastAsia" w:asciiTheme="minorEastAsia" w:hAnsiTheme="minorEastAsia" w:eastAsiaTheme="minorEastAsia" w:cstheme="minorEastAsia"/>
                <w:color w:val="auto"/>
                <w:sz w:val="24"/>
                <w:szCs w:val="24"/>
                <w:vertAlign w:val="baseline"/>
                <w:lang w:val="en-US" w:eastAsia="zh-CN"/>
              </w:rPr>
              <w:t>标杆值平均费用、平均住院日、药占比、耗材比指标对比</w:t>
            </w:r>
            <w:r>
              <w:rPr>
                <w:rFonts w:hint="eastAsia" w:asciiTheme="minorEastAsia" w:hAnsiTheme="minorEastAsia" w:cstheme="minorEastAsia"/>
                <w:color w:val="auto"/>
                <w:sz w:val="24"/>
                <w:szCs w:val="24"/>
                <w:vertAlign w:val="baseline"/>
                <w:lang w:val="en-US" w:eastAsia="zh-CN"/>
              </w:rPr>
              <w:t>、</w:t>
            </w:r>
            <w:r>
              <w:rPr>
                <w:rFonts w:hint="eastAsia" w:asciiTheme="minorEastAsia" w:hAnsiTheme="minorEastAsia" w:eastAsiaTheme="minorEastAsia" w:cstheme="minorEastAsia"/>
                <w:color w:val="auto"/>
                <w:sz w:val="24"/>
                <w:szCs w:val="24"/>
                <w:vertAlign w:val="baseline"/>
                <w:lang w:val="en-US" w:eastAsia="zh-CN"/>
              </w:rPr>
              <w:t>风险等级提醒</w:t>
            </w:r>
            <w:r>
              <w:rPr>
                <w:rFonts w:hint="eastAsia" w:asciiTheme="minorEastAsia" w:hAnsiTheme="minorEastAsia" w:cstheme="minorEastAsia"/>
                <w:color w:val="auto"/>
                <w:sz w:val="24"/>
                <w:szCs w:val="24"/>
                <w:vertAlign w:val="baseline"/>
                <w:lang w:val="en-US" w:eastAsia="zh-CN"/>
              </w:rPr>
              <w:t>、</w:t>
            </w:r>
            <w:r>
              <w:rPr>
                <w:rFonts w:hint="eastAsia" w:asciiTheme="minorEastAsia" w:hAnsiTheme="minorEastAsia" w:eastAsiaTheme="minorEastAsia" w:cstheme="minorEastAsia"/>
                <w:color w:val="auto"/>
                <w:sz w:val="24"/>
                <w:szCs w:val="24"/>
                <w:vertAlign w:val="baseline"/>
                <w:lang w:val="en-US" w:eastAsia="zh-CN"/>
              </w:rPr>
              <w:t>支持保存多个入组方案</w:t>
            </w:r>
            <w:r>
              <w:rPr>
                <w:rFonts w:hint="eastAsia" w:asciiTheme="minorEastAsia" w:hAnsiTheme="minorEastAsia" w:cstheme="minorEastAsia"/>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color w:val="auto"/>
                <w:sz w:val="24"/>
                <w:szCs w:val="24"/>
                <w:lang w:val="en-US" w:eastAsia="zh-CN"/>
              </w:rPr>
              <w:t>在院患者DIP/DRG联动</w:t>
            </w:r>
            <w:r>
              <w:rPr>
                <w:rFonts w:hint="eastAsia" w:ascii="宋体" w:hAnsi="宋体" w:eastAsia="宋体" w:cs="宋体"/>
                <w:color w:val="auto"/>
                <w:kern w:val="2"/>
                <w:sz w:val="28"/>
                <w:szCs w:val="28"/>
                <w:highlight w:val="none"/>
                <w:lang w:val="en-US" w:eastAsia="zh-CN" w:bidi="ar-SA"/>
              </w:rPr>
              <w:t>：</w:t>
            </w:r>
            <w:r>
              <w:rPr>
                <w:rFonts w:hint="eastAsia" w:asciiTheme="minorEastAsia" w:hAnsiTheme="minorEastAsia" w:cstheme="minorEastAsia"/>
                <w:color w:val="auto"/>
                <w:sz w:val="24"/>
                <w:szCs w:val="24"/>
                <w:vertAlign w:val="baseline"/>
                <w:lang w:val="en-US" w:eastAsia="zh-CN"/>
              </w:rPr>
              <w:t>支持接入在院患者的DIP入组结果，在同一个界面内展示当前患者的DIP入组、DRG入组信息，供临床关注DIP结余及RW权重。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restart"/>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DRG绩效评价</w:t>
            </w:r>
          </w:p>
        </w:tc>
        <w:tc>
          <w:tcPr>
            <w:tcW w:w="5023" w:type="dxa"/>
            <w:vMerge w:val="restart"/>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color w:val="auto"/>
                <w:sz w:val="24"/>
                <w:szCs w:val="24"/>
                <w:lang w:val="en-US" w:eastAsia="zh-CN"/>
              </w:rPr>
              <w:t>医疗能力</w:t>
            </w: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系统支持根据的病案首页数据对全院数据DRG指标</w:t>
            </w:r>
            <w:r>
              <w:rPr>
                <w:rFonts w:hint="eastAsia" w:ascii="宋体" w:hAnsi="宋体" w:eastAsia="宋体" w:cs="宋体"/>
                <w:color w:val="auto"/>
                <w:sz w:val="24"/>
                <w:szCs w:val="24"/>
                <w:lang w:val="en-US" w:eastAsia="zh-CN"/>
              </w:rPr>
              <w:t>统计</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支持图形快速展示，管理者通过点选不同指标值进行快速切换。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支持图片下载导出功能。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科室/医生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出院人次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收费病种数量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住院术种数量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color w:val="auto"/>
                <w:sz w:val="24"/>
                <w:szCs w:val="24"/>
              </w:rPr>
              <w:t>DRG组数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总权重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CMI</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例均费用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平均住院日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时间消耗指数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费用消耗指数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低风险死亡率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异地疑难病例占比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CD型占比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三四级手术占比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支持同比、环比、标杆比等多种比较维度</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restart"/>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服务效率</w:t>
            </w: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color w:val="auto"/>
                <w:sz w:val="24"/>
                <w:szCs w:val="24"/>
              </w:rPr>
              <w:t>系统支持时间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科室/医生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出院人数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CMI</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平均住院日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例均费用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药占比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耗材占比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DRG组标杆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差额</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支持各科室手术分析，对于科室开展手术以DRG维度进行评价分析，自动计算手术率、各科室手术平均难度情况。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权重分布分析：</w:t>
            </w:r>
            <w:r>
              <w:rPr>
                <w:rFonts w:hint="eastAsia" w:ascii="宋体" w:hAnsi="宋体" w:eastAsia="宋体" w:cs="宋体"/>
                <w:color w:val="auto"/>
                <w:sz w:val="24"/>
                <w:szCs w:val="24"/>
              </w:rPr>
              <w:t>RW(0-1.5)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RW(1.5-5)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RW(5-10)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RW(10+)</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三级手术例数、三级手术占比、四级手术例数、四级手术占比。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restart"/>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质量安全</w:t>
            </w: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系统支持逻辑下钻，支持下钻到内部病区，对于内部科室进行评价。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支持以DRG指标及工作指标对各个内部科室、病区进行评价比对。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支持显示DRG组数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低风险死亡率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中低风险死亡率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非医嘱离院率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未治愈率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回原住地率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重返人数</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支持无风险组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低风险组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中低风险组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中高风险组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高风险组</w:t>
            </w:r>
            <w:r>
              <w:rPr>
                <w:rFonts w:hint="eastAsia" w:ascii="宋体" w:hAnsi="宋体" w:eastAsia="宋体" w:cs="宋体"/>
                <w:color w:val="auto"/>
                <w:sz w:val="24"/>
                <w:szCs w:val="24"/>
                <w:lang w:val="en-US" w:eastAsia="zh-CN"/>
              </w:rPr>
              <w:t>等死亡率统计。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支持DRG组、风险值、权重系数、出院人数、死亡病例数、病死率、例均费用(元)、平均住院日、抗菌药物使用人数占比、重返人数占比。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restart"/>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color w:val="auto"/>
                <w:sz w:val="24"/>
                <w:szCs w:val="24"/>
                <w:lang w:val="en-US" w:eastAsia="zh-CN"/>
              </w:rPr>
              <w:t>学科建设</w:t>
            </w: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系统支持逻辑下钻，支持下钻到主诊组，对于</w:t>
            </w:r>
            <w:r>
              <w:rPr>
                <w:rFonts w:hint="eastAsia" w:ascii="宋体" w:hAnsi="宋体" w:eastAsia="宋体" w:cs="宋体"/>
                <w:color w:val="auto"/>
                <w:sz w:val="24"/>
                <w:szCs w:val="24"/>
                <w:lang w:eastAsia="zh-CN"/>
              </w:rPr>
              <w:t>医院</w:t>
            </w:r>
            <w:r>
              <w:rPr>
                <w:rFonts w:hint="eastAsia" w:ascii="宋体" w:hAnsi="宋体" w:eastAsia="宋体" w:cs="宋体"/>
                <w:color w:val="auto"/>
                <w:sz w:val="24"/>
                <w:szCs w:val="24"/>
              </w:rPr>
              <w:t>内部各个诊疗组进行评价。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支持显示DRG组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出院人数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权重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平均住院日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例均费用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药占比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耗材占比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支持统计主要诊断大类(MDC)、入组病例数、入组占比、源盖DRG组数、覆盖占比、总权重、CMI、例均费用、平均住院日、低风险组死亡率、死亡率。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支持统计科室、未入组病例数、入组病例数、DRG组数、内科组、外科组、非手术操作组。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系统支持医师间进行按指标比对。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restart"/>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C</w:t>
            </w:r>
            <w:r>
              <w:rPr>
                <w:rFonts w:hint="eastAsia" w:asciiTheme="minorEastAsia" w:hAnsiTheme="minorEastAsia" w:cstheme="minorEastAsia"/>
                <w:color w:val="auto"/>
                <w:sz w:val="24"/>
                <w:szCs w:val="24"/>
                <w:vertAlign w:val="baseline"/>
                <w:lang w:val="en-US" w:eastAsia="zh-CN"/>
              </w:rPr>
              <w:t>HS</w:t>
            </w:r>
            <w:r>
              <w:rPr>
                <w:rFonts w:hint="eastAsia" w:asciiTheme="minorEastAsia" w:hAnsiTheme="minorEastAsia" w:eastAsiaTheme="minorEastAsia" w:cstheme="minorEastAsia"/>
                <w:color w:val="auto"/>
                <w:sz w:val="24"/>
                <w:szCs w:val="24"/>
                <w:vertAlign w:val="baseline"/>
                <w:lang w:val="en-US" w:eastAsia="zh-CN"/>
              </w:rPr>
              <w:t>_DR</w:t>
            </w:r>
            <w:r>
              <w:rPr>
                <w:rFonts w:hint="eastAsia" w:asciiTheme="minorEastAsia" w:hAnsiTheme="minorEastAsia" w:cstheme="minorEastAsia"/>
                <w:color w:val="auto"/>
                <w:sz w:val="24"/>
                <w:szCs w:val="24"/>
                <w:vertAlign w:val="baseline"/>
                <w:lang w:val="en-US" w:eastAsia="zh-CN"/>
              </w:rPr>
              <w:t>G及CN_DRG</w:t>
            </w:r>
            <w:r>
              <w:rPr>
                <w:rFonts w:hint="eastAsia" w:asciiTheme="minorEastAsia" w:hAnsiTheme="minorEastAsia" w:eastAsiaTheme="minorEastAsia" w:cstheme="minorEastAsia"/>
                <w:color w:val="auto"/>
                <w:sz w:val="24"/>
                <w:szCs w:val="24"/>
                <w:vertAlign w:val="baseline"/>
                <w:lang w:val="en-US" w:eastAsia="zh-CN"/>
              </w:rPr>
              <w:t>分组</w:t>
            </w:r>
            <w:r>
              <w:rPr>
                <w:rFonts w:hint="eastAsia" w:asciiTheme="minorEastAsia" w:hAnsiTheme="minorEastAsia" w:cstheme="minorEastAsia"/>
                <w:color w:val="auto"/>
                <w:sz w:val="24"/>
                <w:szCs w:val="24"/>
                <w:vertAlign w:val="baseline"/>
                <w:lang w:val="en-US" w:eastAsia="zh-CN"/>
              </w:rPr>
              <w:t>测算</w:t>
            </w:r>
            <w:r>
              <w:rPr>
                <w:rFonts w:hint="eastAsia" w:asciiTheme="minorEastAsia" w:hAnsiTheme="minorEastAsia" w:eastAsiaTheme="minorEastAsia" w:cstheme="minorEastAsia"/>
                <w:color w:val="auto"/>
                <w:sz w:val="24"/>
                <w:szCs w:val="24"/>
                <w:vertAlign w:val="baseline"/>
                <w:lang w:val="en-US" w:eastAsia="zh-CN"/>
              </w:rPr>
              <w:t>入组费用</w:t>
            </w: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支持科室费用分析、科室费用分布。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w:t>
            </w:r>
            <w:r>
              <w:rPr>
                <w:rFonts w:hint="eastAsia" w:ascii="宋体" w:hAnsi="宋体" w:eastAsia="宋体" w:cs="宋体"/>
                <w:color w:val="auto"/>
                <w:sz w:val="24"/>
                <w:szCs w:val="24"/>
                <w:lang w:val="en-US" w:eastAsia="zh-CN"/>
              </w:rPr>
              <w:t>病例</w:t>
            </w:r>
            <w:r>
              <w:rPr>
                <w:rFonts w:hint="eastAsia" w:ascii="宋体" w:hAnsi="宋体" w:eastAsia="宋体" w:cs="宋体"/>
                <w:color w:val="auto"/>
                <w:sz w:val="24"/>
                <w:szCs w:val="24"/>
              </w:rPr>
              <w:t>费用与</w:t>
            </w:r>
            <w:r>
              <w:rPr>
                <w:rFonts w:hint="eastAsia" w:ascii="宋体" w:hAnsi="宋体" w:eastAsia="宋体" w:cs="宋体"/>
                <w:color w:val="auto"/>
                <w:sz w:val="24"/>
                <w:szCs w:val="24"/>
                <w:lang w:val="en-US" w:eastAsia="zh-CN"/>
              </w:rPr>
              <w:t>病组</w:t>
            </w:r>
            <w:r>
              <w:rPr>
                <w:rFonts w:hint="eastAsia" w:ascii="宋体" w:hAnsi="宋体" w:eastAsia="宋体" w:cs="宋体"/>
                <w:color w:val="auto"/>
                <w:sz w:val="24"/>
                <w:szCs w:val="24"/>
              </w:rPr>
              <w:t>标杆</w:t>
            </w:r>
            <w:r>
              <w:rPr>
                <w:rFonts w:hint="eastAsia" w:ascii="宋体" w:hAnsi="宋体" w:eastAsia="宋体" w:cs="宋体"/>
                <w:color w:val="auto"/>
                <w:sz w:val="24"/>
                <w:szCs w:val="24"/>
                <w:lang w:val="en-US" w:eastAsia="zh-CN"/>
              </w:rPr>
              <w:t>数值</w:t>
            </w:r>
            <w:r>
              <w:rPr>
                <w:rFonts w:hint="eastAsia" w:ascii="宋体" w:hAnsi="宋体" w:eastAsia="宋体" w:cs="宋体"/>
                <w:color w:val="auto"/>
                <w:sz w:val="24"/>
                <w:szCs w:val="24"/>
              </w:rPr>
              <w:t>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支持与</w:t>
            </w:r>
            <w:r>
              <w:rPr>
                <w:rFonts w:hint="eastAsia" w:ascii="宋体" w:hAnsi="宋体" w:eastAsia="宋体" w:cs="宋体"/>
                <w:color w:val="auto"/>
                <w:sz w:val="24"/>
                <w:szCs w:val="24"/>
                <w:lang w:val="en-US" w:eastAsia="zh-CN"/>
              </w:rPr>
              <w:t>DIP</w:t>
            </w:r>
            <w:r>
              <w:rPr>
                <w:rFonts w:hint="eastAsia" w:ascii="宋体" w:hAnsi="宋体" w:eastAsia="宋体" w:cs="宋体"/>
                <w:color w:val="auto"/>
                <w:sz w:val="24"/>
                <w:szCs w:val="24"/>
              </w:rPr>
              <w:t>系统无缝对接，</w:t>
            </w:r>
            <w:r>
              <w:rPr>
                <w:rFonts w:hint="eastAsia" w:ascii="宋体" w:hAnsi="宋体" w:eastAsia="宋体" w:cs="宋体"/>
                <w:color w:val="auto"/>
                <w:sz w:val="24"/>
                <w:szCs w:val="24"/>
                <w:lang w:val="en-US" w:eastAsia="zh-CN"/>
              </w:rPr>
              <w:t>测算</w:t>
            </w:r>
            <w:r>
              <w:rPr>
                <w:rFonts w:hint="eastAsia" w:ascii="宋体" w:hAnsi="宋体" w:eastAsia="宋体" w:cs="宋体"/>
                <w:color w:val="auto"/>
                <w:sz w:val="24"/>
                <w:szCs w:val="24"/>
                <w:lang w:eastAsia="zh-CN"/>
              </w:rPr>
              <w:t>DRG</w:t>
            </w:r>
            <w:r>
              <w:rPr>
                <w:rFonts w:hint="eastAsia" w:ascii="宋体" w:hAnsi="宋体" w:eastAsia="宋体" w:cs="宋体"/>
                <w:color w:val="auto"/>
                <w:sz w:val="24"/>
                <w:szCs w:val="24"/>
                <w:lang w:val="en-US" w:eastAsia="zh-CN"/>
              </w:rPr>
              <w:t>组结余</w:t>
            </w:r>
            <w:r>
              <w:rPr>
                <w:rFonts w:hint="eastAsia" w:ascii="宋体" w:hAnsi="宋体" w:eastAsia="宋体" w:cs="宋体"/>
                <w:color w:val="auto"/>
                <w:sz w:val="24"/>
                <w:szCs w:val="24"/>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restart"/>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DRG病种监测</w:t>
            </w: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color w:val="auto"/>
                <w:sz w:val="24"/>
                <w:szCs w:val="24"/>
              </w:rPr>
              <w:t>系统支持按DRG病种监测。以病种角度分析全院各科室、病区、主诊组、医师覆盖情况。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支持按照相同DRG病组各科室、病区、主诊组、医师存在的差异。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color w:val="auto"/>
                <w:sz w:val="24"/>
                <w:szCs w:val="24"/>
              </w:rPr>
              <w:t>支持分析不同DRG病组按不同指标存在的差异，有利于医院优化DRG病组。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restart"/>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系统设置</w:t>
            </w:r>
          </w:p>
        </w:tc>
        <w:tc>
          <w:tcPr>
            <w:tcW w:w="5023" w:type="dxa"/>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权限管理</w:t>
            </w: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支持按照权限将账户分配至临床科室，供临床科室调阅分析本科室费用构成及盈亏情况，追踪本科室问题病例。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color w:val="auto"/>
                <w:sz w:val="24"/>
                <w:szCs w:val="24"/>
              </w:rPr>
              <w:t>日志管理</w:t>
            </w: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系统支持记录完备的日志，对于在编码过程中的操作在后台均有日志进行记录，保障操作过程有据可循。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46" w:type="dxa"/>
            <w:vMerge w:val="continue"/>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p>
        </w:tc>
        <w:tc>
          <w:tcPr>
            <w:tcW w:w="5023" w:type="dxa"/>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color w:val="auto"/>
                <w:sz w:val="24"/>
                <w:szCs w:val="24"/>
              </w:rPr>
              <w:t>系统设置</w:t>
            </w:r>
          </w:p>
        </w:tc>
        <w:tc>
          <w:tcPr>
            <w:tcW w:w="8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kern w:val="0"/>
                <w:sz w:val="24"/>
                <w:szCs w:val="24"/>
              </w:rPr>
              <w:t>系统支持维护医师信息，内部科室病房信息，</w:t>
            </w:r>
            <w:r>
              <w:rPr>
                <w:rFonts w:hint="eastAsia" w:ascii="宋体" w:hAnsi="宋体" w:eastAsia="宋体" w:cs="宋体"/>
                <w:color w:val="auto"/>
                <w:kern w:val="0"/>
                <w:sz w:val="24"/>
                <w:szCs w:val="24"/>
                <w:lang w:eastAsia="zh-CN"/>
              </w:rPr>
              <w:t>医院</w:t>
            </w:r>
            <w:r>
              <w:rPr>
                <w:rFonts w:hint="eastAsia" w:ascii="宋体" w:hAnsi="宋体" w:eastAsia="宋体" w:cs="宋体"/>
                <w:color w:val="auto"/>
                <w:kern w:val="0"/>
                <w:sz w:val="24"/>
                <w:szCs w:val="24"/>
              </w:rPr>
              <w:t>信息等。</w:t>
            </w:r>
          </w:p>
        </w:tc>
      </w:tr>
    </w:tbl>
    <w:p>
      <w:pPr>
        <w:pStyle w:val="2"/>
        <w:rPr>
          <w:rFonts w:hint="eastAsia"/>
          <w:lang w:val="en-US" w:eastAsia="zh-Hans"/>
        </w:rPr>
      </w:pPr>
    </w:p>
    <w:sectPr>
      <w:type w:val="continuous"/>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樑" w:date="2024-06-24T09:43:17Z" w:initials="">
    <w:p w14:paraId="6CFC0F03">
      <w:pPr>
        <w:pStyle w:val="5"/>
        <w:rPr>
          <w:rFonts w:hint="default"/>
          <w:lang w:val="en-US" w:eastAsia="zh-CN"/>
        </w:rPr>
      </w:pPr>
      <w:r>
        <w:rPr>
          <w:rFonts w:hint="eastAsia"/>
          <w:lang w:val="en-US" w:eastAsia="zh-CN"/>
        </w:rPr>
        <w:t>该约定与 七、税和关税 中“中国政府根据现行税法对甲方征收的与本合同有关的一切税费均应由甲方承担。”存在一定冲突，根据贵院以往交易习惯，暂将上述约定删除。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FC0F0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F55175"/>
    <w:multiLevelType w:val="singleLevel"/>
    <w:tmpl w:val="E5F55175"/>
    <w:lvl w:ilvl="0" w:tentative="0">
      <w:start w:val="1"/>
      <w:numFmt w:val="chineseCounting"/>
      <w:suff w:val="nothing"/>
      <w:lvlText w:val="%1、"/>
      <w:lvlJc w:val="left"/>
      <w:pPr>
        <w:ind w:left="0" w:firstLine="420"/>
      </w:pPr>
      <w:rPr>
        <w:rFonts w:hint="eastAsia"/>
      </w:rPr>
    </w:lvl>
  </w:abstractNum>
  <w:abstractNum w:abstractNumId="1">
    <w:nsid w:val="FFDEDA63"/>
    <w:multiLevelType w:val="multilevel"/>
    <w:tmpl w:val="FFDEDA63"/>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樑">
    <w15:presenceInfo w15:providerId="WPS Office" w15:userId="38364634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5ZmRmM2VjNTRhMDVmZTUwZTA3MDYzNjFiMmY3M2IifQ=="/>
    <w:docVar w:name="KSO_WPS_MARK_KEY" w:val="9e137b9e-f3f0-43a3-ade4-2ff337e34b08"/>
  </w:docVars>
  <w:rsids>
    <w:rsidRoot w:val="7BCD1BEF"/>
    <w:rsid w:val="003614A7"/>
    <w:rsid w:val="02044139"/>
    <w:rsid w:val="030A5E0C"/>
    <w:rsid w:val="03822D71"/>
    <w:rsid w:val="038F7535"/>
    <w:rsid w:val="03E941B7"/>
    <w:rsid w:val="0512295E"/>
    <w:rsid w:val="055159D6"/>
    <w:rsid w:val="05A37360"/>
    <w:rsid w:val="06243168"/>
    <w:rsid w:val="065D32A4"/>
    <w:rsid w:val="06671C33"/>
    <w:rsid w:val="07D91E6C"/>
    <w:rsid w:val="08EF2DB4"/>
    <w:rsid w:val="095D32ED"/>
    <w:rsid w:val="096939A4"/>
    <w:rsid w:val="0994500E"/>
    <w:rsid w:val="099B5350"/>
    <w:rsid w:val="09D830B3"/>
    <w:rsid w:val="0A731736"/>
    <w:rsid w:val="0AE96596"/>
    <w:rsid w:val="0B446AEB"/>
    <w:rsid w:val="0B673D02"/>
    <w:rsid w:val="0B84697E"/>
    <w:rsid w:val="0C8F1EAB"/>
    <w:rsid w:val="0D5A19D5"/>
    <w:rsid w:val="0D5B65AA"/>
    <w:rsid w:val="0E20133D"/>
    <w:rsid w:val="0EA06B29"/>
    <w:rsid w:val="0EB61623"/>
    <w:rsid w:val="0EDA6E1F"/>
    <w:rsid w:val="0F6BB06E"/>
    <w:rsid w:val="0FBF6F95"/>
    <w:rsid w:val="10C035F3"/>
    <w:rsid w:val="10F310A6"/>
    <w:rsid w:val="10FD716C"/>
    <w:rsid w:val="11BF5C9A"/>
    <w:rsid w:val="11DA6788"/>
    <w:rsid w:val="121037B1"/>
    <w:rsid w:val="12F76F4F"/>
    <w:rsid w:val="13167082"/>
    <w:rsid w:val="14724A7E"/>
    <w:rsid w:val="14FA1F7A"/>
    <w:rsid w:val="16831423"/>
    <w:rsid w:val="16986F98"/>
    <w:rsid w:val="16F056DD"/>
    <w:rsid w:val="18564F36"/>
    <w:rsid w:val="1858201C"/>
    <w:rsid w:val="18A30A0F"/>
    <w:rsid w:val="194D2EA6"/>
    <w:rsid w:val="19621580"/>
    <w:rsid w:val="19744E6B"/>
    <w:rsid w:val="1B0D00A7"/>
    <w:rsid w:val="1B6B5C89"/>
    <w:rsid w:val="1D793457"/>
    <w:rsid w:val="1E34141D"/>
    <w:rsid w:val="1EBFE128"/>
    <w:rsid w:val="1ECF6F82"/>
    <w:rsid w:val="1F9C4E98"/>
    <w:rsid w:val="1FD776A0"/>
    <w:rsid w:val="214451E5"/>
    <w:rsid w:val="21B73F29"/>
    <w:rsid w:val="22331A8A"/>
    <w:rsid w:val="23E82BE4"/>
    <w:rsid w:val="262325D7"/>
    <w:rsid w:val="275D5405"/>
    <w:rsid w:val="27CE02D5"/>
    <w:rsid w:val="293F097C"/>
    <w:rsid w:val="2A285235"/>
    <w:rsid w:val="2A64509A"/>
    <w:rsid w:val="2AF03833"/>
    <w:rsid w:val="2C2B365F"/>
    <w:rsid w:val="2C403978"/>
    <w:rsid w:val="2CE404D7"/>
    <w:rsid w:val="2DA847AA"/>
    <w:rsid w:val="2DAA364E"/>
    <w:rsid w:val="2DFC04A2"/>
    <w:rsid w:val="2E6B6557"/>
    <w:rsid w:val="2EAFBF0A"/>
    <w:rsid w:val="2FD15B01"/>
    <w:rsid w:val="2FF73FA8"/>
    <w:rsid w:val="303809A8"/>
    <w:rsid w:val="30C72AE8"/>
    <w:rsid w:val="30EB2B55"/>
    <w:rsid w:val="321275D4"/>
    <w:rsid w:val="3282506A"/>
    <w:rsid w:val="32DB26E7"/>
    <w:rsid w:val="32E7359B"/>
    <w:rsid w:val="333D1021"/>
    <w:rsid w:val="334540C7"/>
    <w:rsid w:val="34C03043"/>
    <w:rsid w:val="34DD2CCF"/>
    <w:rsid w:val="35B4496E"/>
    <w:rsid w:val="36370CF2"/>
    <w:rsid w:val="363E3B8C"/>
    <w:rsid w:val="36745239"/>
    <w:rsid w:val="37620F9E"/>
    <w:rsid w:val="382C54D6"/>
    <w:rsid w:val="38822138"/>
    <w:rsid w:val="3AF46BE5"/>
    <w:rsid w:val="3B6A7613"/>
    <w:rsid w:val="3C5413E3"/>
    <w:rsid w:val="3C5E7387"/>
    <w:rsid w:val="3D7F71F3"/>
    <w:rsid w:val="3DE07D7E"/>
    <w:rsid w:val="3F4FEB32"/>
    <w:rsid w:val="400A03A0"/>
    <w:rsid w:val="413C571F"/>
    <w:rsid w:val="418A3D14"/>
    <w:rsid w:val="42F02361"/>
    <w:rsid w:val="43857144"/>
    <w:rsid w:val="43D26C90"/>
    <w:rsid w:val="4437412F"/>
    <w:rsid w:val="449E6E1A"/>
    <w:rsid w:val="44B715D6"/>
    <w:rsid w:val="44C73978"/>
    <w:rsid w:val="44F32A2B"/>
    <w:rsid w:val="46C929B2"/>
    <w:rsid w:val="470E2B5E"/>
    <w:rsid w:val="4796789B"/>
    <w:rsid w:val="485A0C18"/>
    <w:rsid w:val="495442CD"/>
    <w:rsid w:val="4A2F08C8"/>
    <w:rsid w:val="4A44023A"/>
    <w:rsid w:val="4B8D7117"/>
    <w:rsid w:val="4BA65F2C"/>
    <w:rsid w:val="4BCB6883"/>
    <w:rsid w:val="4CF87845"/>
    <w:rsid w:val="4D5301FB"/>
    <w:rsid w:val="4D6E7E8C"/>
    <w:rsid w:val="4DB01213"/>
    <w:rsid w:val="4F500D2C"/>
    <w:rsid w:val="4FEBF133"/>
    <w:rsid w:val="50491327"/>
    <w:rsid w:val="51445FA0"/>
    <w:rsid w:val="52F446AD"/>
    <w:rsid w:val="53985AAC"/>
    <w:rsid w:val="53FF72BD"/>
    <w:rsid w:val="5561470D"/>
    <w:rsid w:val="56D42182"/>
    <w:rsid w:val="576E11B7"/>
    <w:rsid w:val="57756413"/>
    <w:rsid w:val="57C16588"/>
    <w:rsid w:val="57E03282"/>
    <w:rsid w:val="5A284778"/>
    <w:rsid w:val="5A6146D7"/>
    <w:rsid w:val="5A727E44"/>
    <w:rsid w:val="5AE879DB"/>
    <w:rsid w:val="5BA77446"/>
    <w:rsid w:val="5C4542A1"/>
    <w:rsid w:val="5D635295"/>
    <w:rsid w:val="5D65603A"/>
    <w:rsid w:val="5D9FF71C"/>
    <w:rsid w:val="5E0537CF"/>
    <w:rsid w:val="5E3E525B"/>
    <w:rsid w:val="5EA55BC9"/>
    <w:rsid w:val="5ED06BE6"/>
    <w:rsid w:val="5F2761FC"/>
    <w:rsid w:val="5F6060CB"/>
    <w:rsid w:val="5FFB3779"/>
    <w:rsid w:val="60530A95"/>
    <w:rsid w:val="638D615D"/>
    <w:rsid w:val="6444200F"/>
    <w:rsid w:val="659D7BF0"/>
    <w:rsid w:val="67FB0E26"/>
    <w:rsid w:val="68203D8C"/>
    <w:rsid w:val="6902173F"/>
    <w:rsid w:val="692E7F1E"/>
    <w:rsid w:val="6B4B5F5C"/>
    <w:rsid w:val="6B5E0E16"/>
    <w:rsid w:val="6BCB5B4F"/>
    <w:rsid w:val="6C427335"/>
    <w:rsid w:val="6D464A9B"/>
    <w:rsid w:val="6D943656"/>
    <w:rsid w:val="6E491E80"/>
    <w:rsid w:val="6E4C7581"/>
    <w:rsid w:val="6E632279"/>
    <w:rsid w:val="6F34660C"/>
    <w:rsid w:val="6F850FC2"/>
    <w:rsid w:val="6F991514"/>
    <w:rsid w:val="6FC211D5"/>
    <w:rsid w:val="6FE10FC9"/>
    <w:rsid w:val="711B07D8"/>
    <w:rsid w:val="71282968"/>
    <w:rsid w:val="71306B92"/>
    <w:rsid w:val="718B0CD8"/>
    <w:rsid w:val="71F6222A"/>
    <w:rsid w:val="72242778"/>
    <w:rsid w:val="75263A42"/>
    <w:rsid w:val="772FCAC0"/>
    <w:rsid w:val="77D16EA3"/>
    <w:rsid w:val="78305429"/>
    <w:rsid w:val="785F1F8A"/>
    <w:rsid w:val="789E4FD4"/>
    <w:rsid w:val="7AB55B60"/>
    <w:rsid w:val="7AFEDB63"/>
    <w:rsid w:val="7B462337"/>
    <w:rsid w:val="7B5F15E0"/>
    <w:rsid w:val="7BCD1BEF"/>
    <w:rsid w:val="7CCF303D"/>
    <w:rsid w:val="7E8E6BD1"/>
    <w:rsid w:val="7EEF18E0"/>
    <w:rsid w:val="7F8D150C"/>
    <w:rsid w:val="7FA65014"/>
    <w:rsid w:val="7FCFDA5A"/>
    <w:rsid w:val="7FE7075B"/>
    <w:rsid w:val="7FF956EF"/>
    <w:rsid w:val="7FF9DAC4"/>
    <w:rsid w:val="827F6900"/>
    <w:rsid w:val="9EFFF2FC"/>
    <w:rsid w:val="9F7CCBFE"/>
    <w:rsid w:val="ADFEA97E"/>
    <w:rsid w:val="BEFBB45A"/>
    <w:rsid w:val="BFAF799A"/>
    <w:rsid w:val="BFDDAFEB"/>
    <w:rsid w:val="CEE77CC2"/>
    <w:rsid w:val="CF9D5073"/>
    <w:rsid w:val="D3BB5047"/>
    <w:rsid w:val="D55F9443"/>
    <w:rsid w:val="DC7E925C"/>
    <w:rsid w:val="DDF3B568"/>
    <w:rsid w:val="DDFBB27E"/>
    <w:rsid w:val="DF3F77D7"/>
    <w:rsid w:val="DF9E2669"/>
    <w:rsid w:val="DFFD9248"/>
    <w:rsid w:val="E2BF62D5"/>
    <w:rsid w:val="ED955329"/>
    <w:rsid w:val="EFF67110"/>
    <w:rsid w:val="EFFE86FF"/>
    <w:rsid w:val="F6BB4CB0"/>
    <w:rsid w:val="F6FD4F4B"/>
    <w:rsid w:val="F7BF67F8"/>
    <w:rsid w:val="F97705A2"/>
    <w:rsid w:val="F9BF49AC"/>
    <w:rsid w:val="F9FE425D"/>
    <w:rsid w:val="FA5FD73D"/>
    <w:rsid w:val="FDDB68AE"/>
    <w:rsid w:val="FDFD68A3"/>
    <w:rsid w:val="FFAE7858"/>
    <w:rsid w:val="FFEF6090"/>
    <w:rsid w:val="FFFB1192"/>
    <w:rsid w:val="FFFD7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9"/>
    <w:pPr>
      <w:keepNext/>
      <w:keepLines/>
      <w:numPr>
        <w:ilvl w:val="2"/>
        <w:numId w:val="1"/>
      </w:numPr>
      <w:spacing w:before="260" w:after="260" w:line="416" w:lineRule="auto"/>
      <w:ind w:firstLine="400"/>
      <w:outlineLvl w:val="2"/>
    </w:pPr>
    <w:rPr>
      <w:b/>
      <w:bCs/>
      <w:sz w:val="32"/>
      <w:szCs w:val="32"/>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widowControl w:val="0"/>
      <w:jc w:val="both"/>
    </w:pPr>
    <w:rPr>
      <w:rFonts w:ascii="Times New Roman" w:hAnsi="Times New Roman" w:eastAsia="宋体" w:cs="Times New Roman"/>
      <w:kern w:val="2"/>
      <w:sz w:val="28"/>
    </w:rPr>
  </w:style>
  <w:style w:type="paragraph" w:styleId="4">
    <w:name w:val="Body Text First Indent"/>
    <w:basedOn w:val="2"/>
    <w:next w:val="1"/>
    <w:qFormat/>
    <w:uiPriority w:val="0"/>
    <w:pPr>
      <w:tabs>
        <w:tab w:val="decimal" w:pos="315"/>
        <w:tab w:val="left" w:pos="630"/>
      </w:tabs>
      <w:spacing w:after="120"/>
      <w:ind w:firstLine="420" w:firstLineChars="100"/>
    </w:pPr>
  </w:style>
  <w:style w:type="paragraph" w:styleId="5">
    <w:name w:val="annotation text"/>
    <w:basedOn w:val="1"/>
    <w:qFormat/>
    <w:uiPriority w:val="0"/>
    <w:pPr>
      <w:jc w:val="left"/>
    </w:pPr>
  </w:style>
  <w:style w:type="paragraph" w:styleId="6">
    <w:name w:val="Body Text Indent"/>
    <w:basedOn w:val="1"/>
    <w:qFormat/>
    <w:uiPriority w:val="0"/>
    <w:pPr>
      <w:spacing w:line="360" w:lineRule="auto"/>
      <w:ind w:firstLine="420"/>
    </w:pPr>
    <w:rPr>
      <w:bCs/>
      <w:szCs w:val="24"/>
    </w:rPr>
  </w:style>
  <w:style w:type="paragraph" w:styleId="7">
    <w:name w:val="toc 5"/>
    <w:basedOn w:val="1"/>
    <w:next w:val="1"/>
    <w:qFormat/>
    <w:uiPriority w:val="0"/>
    <w:pPr>
      <w:ind w:left="840"/>
    </w:pPr>
    <w:rPr>
      <w:rFonts w:ascii="Calibri" w:hAnsi="Calibri"/>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Hyperlink"/>
    <w:basedOn w:val="10"/>
    <w:qFormat/>
    <w:uiPriority w:val="99"/>
    <w:rPr>
      <w:color w:val="333333"/>
      <w:u w:val="none"/>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paragraph" w:styleId="15">
    <w:name w:val="List Paragraph"/>
    <w:basedOn w:val="1"/>
    <w:unhideWhenUsed/>
    <w:qFormat/>
    <w:uiPriority w:val="0"/>
    <w:pPr>
      <w:ind w:firstLine="420" w:firstLineChars="200"/>
    </w:pPr>
  </w:style>
  <w:style w:type="paragraph" w:customStyle="1" w:styleId="16">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表格文字"/>
    <w:basedOn w:val="1"/>
    <w:next w:val="2"/>
    <w:qFormat/>
    <w:uiPriority w:val="0"/>
    <w:pPr>
      <w:spacing w:before="25" w:after="25"/>
    </w:pPr>
    <w:rPr>
      <w:rFonts w:hint="eastAsia"/>
      <w:spacing w:val="10"/>
      <w:sz w:val="24"/>
      <w:szCs w:val="20"/>
    </w:rPr>
  </w:style>
  <w:style w:type="character" w:customStyle="1" w:styleId="18">
    <w:name w:val="font01"/>
    <w:basedOn w:val="10"/>
    <w:qFormat/>
    <w:uiPriority w:val="0"/>
    <w:rPr>
      <w:rFonts w:hint="eastAsia" w:ascii="宋体" w:hAnsi="宋体" w:eastAsia="宋体" w:cs="宋体"/>
      <w:b/>
      <w:bCs/>
      <w:color w:val="000000"/>
      <w:sz w:val="21"/>
      <w:szCs w:val="21"/>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 w:type="paragraph" w:customStyle="1" w:styleId="20">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3932</Words>
  <Characters>4084</Characters>
  <Lines>0</Lines>
  <Paragraphs>0</Paragraphs>
  <ScaleCrop>false</ScaleCrop>
  <LinksUpToDate>false</LinksUpToDate>
  <CharactersWithSpaces>4208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2019-11-28T16:25:00Z</dcterms:created>
  <dc:creator>李胖子</dc:creator>
  <cp:lastModifiedBy>赖宇娟</cp:lastModifiedBy>
  <dcterms:modified xsi:type="dcterms:W3CDTF">2026-06-11T03:54:12Z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69436CFD301C493E8DCF42D642114813_13</vt:lpwstr>
  </property>
  <property fmtid="{D5CDD505-2E9C-101B-9397-08002B2CF9AE}" pid="4" name="KSOTemplateDocerSaveRecord">
    <vt:lpwstr>eyJoZGlkIjoiMmU5ZmRmM2VjNTRhMDVmZTUwZTA3MDYzNjFiMmY3M2IiLCJ1c2VySWQiOiI0Mzg4OTUwMjcifQ==</vt:lpwstr>
  </property>
</Properties>
</file>