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b/>
          <w:color w:val="auto"/>
          <w:sz w:val="24"/>
          <w:szCs w:val="24"/>
          <w:lang w:val="en-US" w:eastAsia="zh-CN"/>
        </w:rPr>
      </w:pPr>
      <w:r>
        <w:rPr>
          <w:rFonts w:hint="eastAsia"/>
          <w:b/>
          <w:color w:val="auto"/>
          <w:sz w:val="24"/>
          <w:szCs w:val="24"/>
          <w:lang w:val="en-US" w:eastAsia="zh-CN"/>
        </w:rPr>
        <w:t>附件3：</w:t>
      </w:r>
    </w:p>
    <w:p>
      <w:pPr>
        <w:spacing w:line="360" w:lineRule="auto"/>
        <w:ind w:firstLine="602" w:firstLineChars="200"/>
        <w:jc w:val="center"/>
        <w:rPr>
          <w:rFonts w:ascii="宋体" w:hAnsi="宋体" w:cs="宋体"/>
          <w:b/>
          <w:bCs/>
          <w:sz w:val="30"/>
          <w:szCs w:val="30"/>
        </w:rPr>
      </w:pPr>
      <w:r>
        <w:rPr>
          <w:rFonts w:hint="eastAsia" w:ascii="宋体" w:hAnsi="宋体" w:cs="宋体"/>
          <w:b/>
          <w:bCs/>
          <w:sz w:val="30"/>
          <w:szCs w:val="30"/>
        </w:rPr>
        <w:t>评审方案</w:t>
      </w:r>
    </w:p>
    <w:p>
      <w:pPr>
        <w:spacing w:line="360" w:lineRule="auto"/>
        <w:ind w:firstLine="442" w:firstLineChars="200"/>
        <w:rPr>
          <w:rFonts w:ascii="宋体" w:hAnsi="宋体"/>
          <w:szCs w:val="21"/>
        </w:rPr>
      </w:pPr>
      <w:r>
        <w:rPr>
          <w:rFonts w:hint="eastAsia" w:ascii="宋体" w:hAnsi="宋体"/>
          <w:b/>
          <w:bCs/>
          <w:szCs w:val="21"/>
        </w:rPr>
        <w:t>1、评审步骤：</w:t>
      </w:r>
      <w:r>
        <w:rPr>
          <w:rFonts w:hint="eastAsia" w:ascii="宋体" w:hAnsi="宋体"/>
          <w:szCs w:val="21"/>
        </w:rPr>
        <w:t>评审小组对响应文件的评审分为初审（资格性和符合性审查，详见响应文件模版参考内容）和详细评审，初审通过才进入详细评审环节。</w:t>
      </w:r>
    </w:p>
    <w:p>
      <w:pPr>
        <w:spacing w:line="360" w:lineRule="auto"/>
        <w:ind w:firstLine="442" w:firstLineChars="200"/>
        <w:rPr>
          <w:rFonts w:ascii="宋体" w:hAnsi="宋体"/>
          <w:szCs w:val="21"/>
        </w:rPr>
      </w:pPr>
      <w:r>
        <w:rPr>
          <w:rFonts w:hint="eastAsia" w:ascii="宋体" w:hAnsi="宋体"/>
          <w:b/>
          <w:bCs/>
          <w:szCs w:val="21"/>
        </w:rPr>
        <w:t>2、</w:t>
      </w:r>
      <w:r>
        <w:rPr>
          <w:rFonts w:hint="eastAsia" w:ascii="宋体" w:hAnsi="宋体"/>
          <w:szCs w:val="21"/>
        </w:rPr>
        <w:t>详细评审时，根据评分表的内容，评审小组各成员应当独立对每个有效响应的文件进行评价、打分，从商务技术和价格方面进行综合评审。各成员评分的算术平均值即为该供应商的商务技术得分。得分按四舍五入规则，精确到小数点后2位。</w:t>
      </w:r>
    </w:p>
    <w:p>
      <w:pPr>
        <w:spacing w:line="360" w:lineRule="auto"/>
        <w:ind w:firstLine="442" w:firstLineChars="200"/>
        <w:rPr>
          <w:rFonts w:ascii="宋体" w:hAnsi="宋体"/>
          <w:szCs w:val="21"/>
        </w:rPr>
      </w:pPr>
      <w:r>
        <w:rPr>
          <w:rFonts w:hint="eastAsia" w:ascii="宋体" w:hAnsi="宋体"/>
          <w:b/>
          <w:bCs/>
          <w:szCs w:val="21"/>
        </w:rPr>
        <w:t>3、评审总得分＝商务技术得分+响应报价得分</w:t>
      </w:r>
      <w:r>
        <w:rPr>
          <w:rFonts w:hint="eastAsia" w:ascii="宋体" w:hAnsi="宋体"/>
          <w:szCs w:val="21"/>
        </w:rPr>
        <w:t>　　</w:t>
      </w:r>
    </w:p>
    <w:p>
      <w:pPr>
        <w:spacing w:line="360" w:lineRule="auto"/>
        <w:ind w:firstLine="442" w:firstLineChars="200"/>
        <w:rPr>
          <w:rFonts w:ascii="宋体" w:hAnsi="宋体"/>
          <w:szCs w:val="21"/>
        </w:rPr>
      </w:pPr>
      <w:r>
        <w:rPr>
          <w:rFonts w:hint="eastAsia" w:ascii="宋体" w:hAnsi="宋体"/>
          <w:b/>
          <w:bCs/>
          <w:szCs w:val="21"/>
        </w:rPr>
        <w:t>4、</w:t>
      </w:r>
      <w:r>
        <w:rPr>
          <w:rFonts w:hint="eastAsia" w:ascii="宋体" w:hAnsi="宋体"/>
          <w:szCs w:val="21"/>
        </w:rPr>
        <w:t>评审小组按评审得分由高到低进行排序，排名第一的推荐为第一成交候选人，排名第二的供应商为第二成交候选人，排名第三的供应商为第三成交候选人。出现综合总得分并列时，按下列顺序比较确定：（1）报价（由低到高）；（2）商务技术评分（由高到低）。如以上都相同的，由全体评审专家投票确定名次。</w:t>
      </w:r>
    </w:p>
    <w:p>
      <w:pPr>
        <w:spacing w:line="360" w:lineRule="auto"/>
        <w:ind w:firstLine="442" w:firstLineChars="200"/>
        <w:rPr>
          <w:rFonts w:ascii="宋体" w:hAnsi="宋体"/>
          <w:b/>
          <w:bCs/>
          <w:szCs w:val="21"/>
        </w:rPr>
      </w:pPr>
      <w:r>
        <w:rPr>
          <w:rFonts w:hint="eastAsia" w:ascii="宋体" w:hAnsi="宋体"/>
          <w:b/>
          <w:bCs/>
          <w:szCs w:val="21"/>
        </w:rPr>
        <w:t>5、响应文件的澄清</w:t>
      </w:r>
    </w:p>
    <w:p>
      <w:pPr>
        <w:spacing w:line="360" w:lineRule="auto"/>
        <w:ind w:firstLine="440" w:firstLineChars="200"/>
        <w:rPr>
          <w:rFonts w:ascii="宋体" w:hAnsi="宋体"/>
          <w:szCs w:val="21"/>
        </w:rPr>
      </w:pPr>
      <w:r>
        <w:rPr>
          <w:rFonts w:hint="eastAsia" w:ascii="宋体" w:hAnsi="宋体"/>
          <w:szCs w:val="21"/>
        </w:rPr>
        <w:t>评审期间，对响应文件中含义不明确、同类问题表述不一致或者有明显文字和计算错误</w:t>
      </w:r>
      <w:r>
        <w:rPr>
          <w:rFonts w:hint="eastAsia" w:ascii="宋体" w:hAnsi="宋体"/>
          <w:szCs w:val="21"/>
          <w:lang w:eastAsia="zh-CN"/>
        </w:rPr>
        <w:t>。</w:t>
      </w:r>
      <w:r>
        <w:rPr>
          <w:rFonts w:hint="eastAsia" w:ascii="宋体" w:hAnsi="宋体"/>
          <w:szCs w:val="21"/>
        </w:rPr>
        <w:t>的内容，评审小组可以书面形式（应当由评审小组专家签字）要求供应商作出必要的澄清、说明或者纠正，但不得允许供应商对响应报价等实质性内容做任何更改。供应商的澄清、说明或者纠正应当采用书面形式，由其授权的代表签字，并不得超出响应文件的范围或者改变响应文件的实质性内容。有关澄清的答复均应由供应商的法定代表人或授权代表签名的书面形式作出。供应商的澄清文件是其响应文件的组成部分。</w:t>
      </w:r>
    </w:p>
    <w:p>
      <w:pPr>
        <w:pStyle w:val="2"/>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rightChars="0" w:firstLine="440" w:firstLineChars="200"/>
        <w:jc w:val="left"/>
        <w:textAlignment w:val="auto"/>
        <w:outlineLvl w:val="9"/>
        <w:rPr>
          <w:rFonts w:hint="default" w:ascii="宋体" w:hAnsi="宋体" w:eastAsia="宋体" w:cs="宋体"/>
          <w:kern w:val="0"/>
          <w:sz w:val="22"/>
          <w:szCs w:val="21"/>
          <w:lang w:val="en-US" w:eastAsia="zh-CN" w:bidi="zh-CN"/>
          <w14:ligatures w14:val="none"/>
        </w:rPr>
      </w:pPr>
      <w:r>
        <w:rPr>
          <w:rFonts w:hint="eastAsia" w:ascii="宋体" w:hAnsi="宋体" w:eastAsia="宋体" w:cs="宋体"/>
          <w:kern w:val="0"/>
          <w:sz w:val="22"/>
          <w:szCs w:val="21"/>
          <w:lang w:val="zh-CN" w:eastAsia="zh-CN" w:bidi="zh-CN"/>
          <w14:ligatures w14:val="none"/>
        </w:rPr>
        <w:t>6、评审专家按照总得分由高到低的顺序推荐中选人名单。排名第一的推荐为第一成交候选人。如果推荐的第一成交候选人向采购人来书面函退出或违反采购文件规定或不能履行合同的，则采购人视为该第一成交候选人放弃成交资格。则采购人在法律法规允许的情况下可按中选人排名顺序依次确定递补中选人资格，或重新组织采购。</w:t>
      </w:r>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微软雅黑" w:hAnsi="微软雅黑" w:eastAsia="微软雅黑" w:cs="微软雅黑"/>
          <w:b/>
          <w:bCs/>
          <w:color w:val="auto"/>
          <w:sz w:val="32"/>
          <w:szCs w:val="32"/>
          <w:lang w:val="en-US" w:eastAsia="zh-CN"/>
        </w:rPr>
      </w:pPr>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微软雅黑" w:hAnsi="微软雅黑" w:eastAsia="微软雅黑" w:cs="微软雅黑"/>
          <w:b/>
          <w:bCs/>
          <w:color w:val="auto"/>
          <w:sz w:val="32"/>
          <w:szCs w:val="32"/>
          <w:lang w:val="en-US" w:eastAsia="zh-CN"/>
        </w:rPr>
      </w:pPr>
      <w:r>
        <w:rPr>
          <w:rFonts w:hint="eastAsia" w:ascii="微软雅黑" w:hAnsi="微软雅黑" w:eastAsia="微软雅黑" w:cs="微软雅黑"/>
          <w:b/>
          <w:bCs/>
          <w:color w:val="auto"/>
          <w:sz w:val="32"/>
          <w:szCs w:val="32"/>
          <w:lang w:val="en-US" w:eastAsia="zh-CN"/>
        </w:rPr>
        <w:br w:type="page"/>
      </w:r>
      <w:bookmarkStart w:id="0" w:name="_GoBack"/>
      <w:bookmarkEnd w:id="0"/>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微软雅黑" w:hAnsi="微软雅黑" w:eastAsia="微软雅黑" w:cs="微软雅黑"/>
          <w:b/>
          <w:bCs/>
          <w:color w:val="auto"/>
          <w:sz w:val="32"/>
          <w:szCs w:val="32"/>
        </w:rPr>
      </w:pPr>
      <w:r>
        <w:rPr>
          <w:rFonts w:hint="eastAsia" w:ascii="微软雅黑" w:hAnsi="微软雅黑" w:eastAsia="微软雅黑" w:cs="微软雅黑"/>
          <w:b/>
          <w:bCs/>
          <w:color w:val="auto"/>
          <w:sz w:val="32"/>
          <w:szCs w:val="32"/>
          <w:lang w:val="en-US" w:eastAsia="zh-CN"/>
        </w:rPr>
        <w:t>中山市黄圃人民医院DRG系统CMI数据服务项目</w:t>
      </w:r>
      <w:r>
        <w:rPr>
          <w:rFonts w:hint="eastAsia" w:ascii="微软雅黑" w:hAnsi="微软雅黑" w:eastAsia="微软雅黑" w:cs="微软雅黑"/>
          <w:b/>
          <w:bCs/>
          <w:color w:val="auto"/>
          <w:sz w:val="32"/>
          <w:szCs w:val="32"/>
        </w:rPr>
        <w:t>评分表</w:t>
      </w:r>
    </w:p>
    <w:p>
      <w:pPr>
        <w:pStyle w:val="20"/>
        <w:keepNext w:val="0"/>
        <w:keepLines w:val="0"/>
        <w:pageBreakBefore w:val="0"/>
        <w:kinsoku/>
        <w:wordWrap/>
        <w:overflowPunct/>
        <w:topLinePunct w:val="0"/>
        <w:autoSpaceDE w:val="0"/>
        <w:autoSpaceDN w:val="0"/>
        <w:bidi w:val="0"/>
        <w:adjustRightInd/>
        <w:snapToGrid/>
        <w:spacing w:line="400" w:lineRule="exact"/>
        <w:textAlignment w:val="auto"/>
        <w:rPr>
          <w:rFonts w:hint="eastAsia"/>
          <w:color w:val="auto"/>
        </w:rPr>
      </w:pPr>
    </w:p>
    <w:tbl>
      <w:tblPr>
        <w:tblStyle w:val="19"/>
        <w:tblW w:w="92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591"/>
        <w:gridCol w:w="5939"/>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jc w:val="center"/>
        </w:trPr>
        <w:tc>
          <w:tcPr>
            <w:tcW w:w="916" w:type="dxa"/>
            <w:vAlign w:val="center"/>
          </w:tcPr>
          <w:p>
            <w:pPr>
              <w:pStyle w:val="14"/>
              <w:keepNext w:val="0"/>
              <w:keepLines w:val="0"/>
              <w:pageBreakBefore w:val="0"/>
              <w:tabs>
                <w:tab w:val="clear" w:pos="315"/>
                <w:tab w:val="clear" w:pos="630"/>
                <w:tab w:val="clear" w:pos="4153"/>
                <w:tab w:val="clear" w:pos="8306"/>
              </w:tabs>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项目</w:t>
            </w:r>
          </w:p>
        </w:tc>
        <w:tc>
          <w:tcPr>
            <w:tcW w:w="1591" w:type="dxa"/>
            <w:vAlign w:val="center"/>
          </w:tcPr>
          <w:p>
            <w:pPr>
              <w:pStyle w:val="14"/>
              <w:keepNext w:val="0"/>
              <w:keepLines w:val="0"/>
              <w:pageBreakBefore w:val="0"/>
              <w:tabs>
                <w:tab w:val="clear" w:pos="315"/>
                <w:tab w:val="clear" w:pos="630"/>
                <w:tab w:val="clear" w:pos="4153"/>
                <w:tab w:val="clear" w:pos="8306"/>
              </w:tabs>
              <w:kinsoku/>
              <w:wordWrap/>
              <w:overflowPunct/>
              <w:topLinePunct w:val="0"/>
              <w:autoSpaceDE w:val="0"/>
              <w:autoSpaceDN w:val="0"/>
              <w:bidi w:val="0"/>
              <w:adjustRightInd/>
              <w:snapToGrid/>
              <w:spacing w:line="400" w:lineRule="exact"/>
              <w:jc w:val="center"/>
              <w:textAlignment w:val="auto"/>
              <w:rPr>
                <w:rFonts w:ascii="宋体" w:hAnsi="宋体" w:cs="宋体"/>
                <w:b/>
                <w:bCs/>
                <w:color w:val="auto"/>
                <w:sz w:val="21"/>
                <w:szCs w:val="21"/>
              </w:rPr>
            </w:pPr>
            <w:r>
              <w:rPr>
                <w:rFonts w:hint="eastAsia" w:ascii="宋体" w:hAnsi="宋体" w:cs="宋体"/>
                <w:b/>
                <w:bCs/>
                <w:color w:val="auto"/>
                <w:sz w:val="21"/>
                <w:szCs w:val="21"/>
              </w:rPr>
              <w:t>评审因素</w:t>
            </w:r>
          </w:p>
        </w:tc>
        <w:tc>
          <w:tcPr>
            <w:tcW w:w="5939" w:type="dxa"/>
            <w:vAlign w:val="center"/>
          </w:tcPr>
          <w:p>
            <w:pPr>
              <w:pStyle w:val="14"/>
              <w:keepNext w:val="0"/>
              <w:keepLines w:val="0"/>
              <w:pageBreakBefore w:val="0"/>
              <w:tabs>
                <w:tab w:val="clear" w:pos="315"/>
                <w:tab w:val="clear" w:pos="630"/>
                <w:tab w:val="clear" w:pos="4153"/>
                <w:tab w:val="clear" w:pos="8306"/>
              </w:tabs>
              <w:kinsoku/>
              <w:wordWrap/>
              <w:overflowPunct/>
              <w:topLinePunct w:val="0"/>
              <w:autoSpaceDE w:val="0"/>
              <w:autoSpaceDN w:val="0"/>
              <w:bidi w:val="0"/>
              <w:adjustRightInd/>
              <w:snapToGrid/>
              <w:spacing w:line="400" w:lineRule="exact"/>
              <w:jc w:val="center"/>
              <w:textAlignment w:val="auto"/>
              <w:rPr>
                <w:rFonts w:ascii="宋体" w:hAnsi="宋体" w:cs="宋体"/>
                <w:b/>
                <w:bCs/>
                <w:color w:val="auto"/>
                <w:sz w:val="21"/>
                <w:szCs w:val="21"/>
              </w:rPr>
            </w:pPr>
            <w:r>
              <w:rPr>
                <w:rFonts w:hint="eastAsia" w:ascii="宋体" w:hAnsi="宋体" w:cs="宋体"/>
                <w:b/>
                <w:bCs/>
                <w:color w:val="auto"/>
                <w:sz w:val="21"/>
                <w:szCs w:val="21"/>
              </w:rPr>
              <w:t>评</w:t>
            </w:r>
            <w:r>
              <w:rPr>
                <w:rFonts w:hint="eastAsia" w:ascii="宋体" w:hAnsi="宋体" w:cs="宋体"/>
                <w:b/>
                <w:bCs/>
                <w:color w:val="auto"/>
                <w:sz w:val="21"/>
                <w:szCs w:val="21"/>
                <w:lang w:eastAsia="zh-CN"/>
              </w:rPr>
              <w:t>审</w:t>
            </w:r>
            <w:r>
              <w:rPr>
                <w:rFonts w:hint="eastAsia" w:ascii="宋体" w:hAnsi="宋体" w:cs="宋体"/>
                <w:b/>
                <w:bCs/>
                <w:color w:val="auto"/>
                <w:sz w:val="21"/>
                <w:szCs w:val="21"/>
              </w:rPr>
              <w:t>细则</w:t>
            </w:r>
          </w:p>
        </w:tc>
        <w:tc>
          <w:tcPr>
            <w:tcW w:w="809" w:type="dxa"/>
            <w:vAlign w:val="center"/>
          </w:tcPr>
          <w:p>
            <w:pPr>
              <w:pStyle w:val="14"/>
              <w:keepNext w:val="0"/>
              <w:keepLines w:val="0"/>
              <w:pageBreakBefore w:val="0"/>
              <w:tabs>
                <w:tab w:val="clear" w:pos="315"/>
                <w:tab w:val="clear" w:pos="630"/>
                <w:tab w:val="clear" w:pos="4153"/>
                <w:tab w:val="clear" w:pos="8306"/>
              </w:tabs>
              <w:kinsoku/>
              <w:wordWrap/>
              <w:overflowPunct/>
              <w:topLinePunct w:val="0"/>
              <w:autoSpaceDE w:val="0"/>
              <w:autoSpaceDN w:val="0"/>
              <w:bidi w:val="0"/>
              <w:adjustRightInd/>
              <w:snapToGrid/>
              <w:spacing w:line="400" w:lineRule="exact"/>
              <w:jc w:val="center"/>
              <w:textAlignment w:val="auto"/>
              <w:rPr>
                <w:rFonts w:ascii="宋体" w:hAnsi="宋体" w:cs="宋体"/>
                <w:b/>
                <w:bCs/>
                <w:color w:val="auto"/>
                <w:sz w:val="21"/>
                <w:szCs w:val="21"/>
              </w:rPr>
            </w:pPr>
            <w:r>
              <w:rPr>
                <w:rFonts w:hint="eastAsia" w:ascii="宋体" w:hAnsi="宋体" w:cs="宋体"/>
                <w:b/>
                <w:bCs/>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916" w:type="dxa"/>
            <w:vMerge w:val="restart"/>
            <w:vAlign w:val="center"/>
          </w:tcPr>
          <w:p>
            <w:pPr>
              <w:widowControl/>
              <w:spacing w:line="360" w:lineRule="auto"/>
              <w:jc w:val="center"/>
              <w:rPr>
                <w:rFonts w:hint="eastAsia" w:ascii="宋体" w:hAnsi="宋体" w:eastAsia="宋体" w:cs="宋体"/>
                <w:b/>
                <w:bCs/>
                <w:color w:val="auto"/>
                <w:spacing w:val="15"/>
                <w:kern w:val="0"/>
                <w:szCs w:val="21"/>
                <w:shd w:val="clear" w:color="auto" w:fill="FFFFFF"/>
                <w:lang w:eastAsia="zh-CN"/>
              </w:rPr>
            </w:pPr>
            <w:r>
              <w:rPr>
                <w:rFonts w:hint="eastAsia" w:ascii="宋体" w:hAnsi="宋体" w:eastAsia="宋体" w:cs="宋体"/>
                <w:b/>
                <w:bCs/>
                <w:color w:val="auto"/>
                <w:spacing w:val="15"/>
                <w:kern w:val="0"/>
                <w:szCs w:val="21"/>
                <w:shd w:val="clear" w:color="auto" w:fill="FFFFFF"/>
                <w:lang w:eastAsia="zh-CN"/>
              </w:rPr>
              <w:t>商务技术部分</w:t>
            </w:r>
          </w:p>
        </w:tc>
        <w:tc>
          <w:tcPr>
            <w:tcW w:w="1591"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336" w:lineRule="auto"/>
              <w:ind w:left="0" w:leftChars="0" w:firstLine="0" w:firstLineChars="0"/>
              <w:jc w:val="center"/>
              <w:textAlignment w:val="auto"/>
              <w:rPr>
                <w:rFonts w:hint="eastAsia" w:ascii="Times New Roman" w:hAnsi="Times New Roman" w:cs="Times New Roman"/>
                <w:b w:val="0"/>
                <w:bCs w:val="0"/>
                <w:color w:val="auto"/>
                <w:sz w:val="21"/>
                <w:szCs w:val="21"/>
                <w:highlight w:val="none"/>
                <w:vertAlign w:val="baseline"/>
                <w:lang w:val="en-US" w:eastAsia="zh-CN"/>
              </w:rPr>
            </w:pPr>
            <w:r>
              <w:rPr>
                <w:rFonts w:hint="default" w:ascii="宋体" w:hAnsi="宋体" w:eastAsia="宋体" w:cs="Times New Roman"/>
                <w:b/>
                <w:bCs/>
                <w:color w:val="auto"/>
                <w:szCs w:val="21"/>
                <w:lang w:val="en-US" w:eastAsia="zh-CN"/>
              </w:rPr>
              <w:t>同类项目业绩</w:t>
            </w:r>
          </w:p>
        </w:tc>
        <w:tc>
          <w:tcPr>
            <w:tcW w:w="5939"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336" w:lineRule="auto"/>
              <w:jc w:val="left"/>
              <w:textAlignment w:val="auto"/>
              <w:rPr>
                <w:rFonts w:hint="default"/>
                <w:color w:val="auto"/>
                <w:lang w:val="en-US" w:eastAsia="zh-CN"/>
              </w:rPr>
            </w:pPr>
            <w:r>
              <w:rPr>
                <w:rFonts w:hint="default"/>
                <w:color w:val="auto"/>
                <w:lang w:val="en-US" w:eastAsia="zh-CN"/>
              </w:rPr>
              <w:t>供应商202</w:t>
            </w:r>
            <w:r>
              <w:rPr>
                <w:rFonts w:hint="eastAsia"/>
                <w:color w:val="auto"/>
                <w:lang w:val="en-US" w:eastAsia="zh-CN"/>
              </w:rPr>
              <w:t>3</w:t>
            </w:r>
            <w:r>
              <w:rPr>
                <w:rFonts w:hint="default"/>
                <w:color w:val="auto"/>
                <w:lang w:val="en-US" w:eastAsia="zh-CN"/>
              </w:rPr>
              <w:t>年1月1日以来（以合同签订时间为准）承接的同类项目业绩，每</w:t>
            </w:r>
            <w:r>
              <w:rPr>
                <w:rFonts w:hint="eastAsia"/>
                <w:color w:val="auto"/>
                <w:lang w:val="en-US" w:eastAsia="zh-CN"/>
              </w:rPr>
              <w:t>提供1</w:t>
            </w:r>
            <w:r>
              <w:rPr>
                <w:rFonts w:hint="default"/>
                <w:color w:val="auto"/>
                <w:lang w:val="en-US" w:eastAsia="zh-CN"/>
              </w:rPr>
              <w:t>个得</w:t>
            </w:r>
            <w:r>
              <w:rPr>
                <w:rFonts w:hint="eastAsia"/>
                <w:color w:val="auto"/>
                <w:lang w:val="en-US" w:eastAsia="zh-CN"/>
              </w:rPr>
              <w:t>2.5</w:t>
            </w:r>
            <w:r>
              <w:rPr>
                <w:rFonts w:hint="default"/>
                <w:color w:val="auto"/>
                <w:lang w:val="en-US" w:eastAsia="zh-CN"/>
              </w:rPr>
              <w:t>分，最高</w:t>
            </w:r>
            <w:r>
              <w:rPr>
                <w:rFonts w:hint="eastAsia"/>
                <w:color w:val="auto"/>
                <w:lang w:val="en-US" w:eastAsia="zh-CN"/>
              </w:rPr>
              <w:t>得5</w:t>
            </w:r>
            <w:r>
              <w:rPr>
                <w:rFonts w:hint="default"/>
                <w:color w:val="auto"/>
                <w:lang w:val="en-US" w:eastAsia="zh-CN"/>
              </w:rPr>
              <w:t>分。</w:t>
            </w:r>
          </w:p>
          <w:p>
            <w:pPr>
              <w:keepNext w:val="0"/>
              <w:keepLines w:val="0"/>
              <w:pageBreakBefore w:val="0"/>
              <w:numPr>
                <w:ilvl w:val="0"/>
                <w:numId w:val="0"/>
              </w:numPr>
              <w:kinsoku/>
              <w:wordWrap/>
              <w:overflowPunct/>
              <w:topLinePunct w:val="0"/>
              <w:autoSpaceDE/>
              <w:autoSpaceDN/>
              <w:bidi w:val="0"/>
              <w:adjustRightInd w:val="0"/>
              <w:snapToGrid w:val="0"/>
              <w:spacing w:line="336" w:lineRule="auto"/>
              <w:ind w:left="0" w:leftChars="0" w:firstLine="0" w:firstLineChars="0"/>
              <w:jc w:val="left"/>
              <w:textAlignment w:val="auto"/>
              <w:rPr>
                <w:rFonts w:hint="eastAsia"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eastAsia="宋体" w:cs="Times New Roman"/>
                <w:b/>
                <w:bCs/>
                <w:color w:val="auto"/>
                <w:sz w:val="22"/>
                <w:szCs w:val="22"/>
                <w:highlight w:val="none"/>
                <w:vertAlign w:val="baseline"/>
                <w:lang w:val="en-US" w:eastAsia="zh-CN"/>
              </w:rPr>
              <w:t>注：需提供上述要求的合同关键页复印件（包括但不限于合同首页、盖章页、项目内容）并加盖供应商公章，未按要求提供或不提供不得分。</w:t>
            </w:r>
          </w:p>
        </w:tc>
        <w:tc>
          <w:tcPr>
            <w:tcW w:w="809"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336" w:lineRule="auto"/>
              <w:ind w:left="0" w:leftChars="0" w:firstLine="0" w:firstLineChars="0"/>
              <w:jc w:val="center"/>
              <w:textAlignment w:val="auto"/>
              <w:rPr>
                <w:rFonts w:hint="eastAsia" w:ascii="Times New Roman" w:hAnsi="Times New Roman" w:cs="Times New Roman"/>
                <w:b w:val="0"/>
                <w:bCs w:val="0"/>
                <w:color w:val="auto"/>
                <w:sz w:val="21"/>
                <w:szCs w:val="21"/>
                <w:highlight w:val="none"/>
                <w:vertAlign w:val="baseline"/>
                <w:lang w:val="en-US" w:eastAsia="zh-CN"/>
              </w:rPr>
            </w:pPr>
            <w:r>
              <w:rPr>
                <w:rFonts w:hint="eastAsia" w:ascii="Times New Roman" w:hAnsi="Times New Roman" w:cs="Times New Roman"/>
                <w:b w:val="0"/>
                <w:bCs w:val="0"/>
                <w:color w:val="auto"/>
                <w:sz w:val="21"/>
                <w:szCs w:val="21"/>
                <w:highlight w:val="none"/>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jc w:val="center"/>
        </w:trPr>
        <w:tc>
          <w:tcPr>
            <w:tcW w:w="916" w:type="dxa"/>
            <w:vMerge w:val="continue"/>
            <w:vAlign w:val="center"/>
          </w:tcPr>
          <w:p>
            <w:pPr>
              <w:widowControl/>
              <w:spacing w:line="360" w:lineRule="auto"/>
              <w:jc w:val="center"/>
              <w:rPr>
                <w:rFonts w:hint="eastAsia" w:ascii="宋体" w:hAnsi="宋体" w:eastAsia="宋体" w:cs="宋体"/>
                <w:b/>
                <w:bCs/>
                <w:color w:val="auto"/>
                <w:spacing w:val="15"/>
                <w:kern w:val="0"/>
                <w:szCs w:val="21"/>
                <w:shd w:val="clear" w:color="auto" w:fill="FFFFFF"/>
                <w:lang w:eastAsia="zh-CN"/>
              </w:rPr>
            </w:pPr>
          </w:p>
        </w:tc>
        <w:tc>
          <w:tcPr>
            <w:tcW w:w="159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宋体" w:hAnsi="宋体" w:eastAsia="宋体" w:cs="宋体"/>
                <w:color w:val="auto"/>
              </w:rPr>
            </w:pPr>
            <w:r>
              <w:rPr>
                <w:rFonts w:hint="eastAsia" w:ascii="宋体" w:hAnsi="宋体" w:eastAsia="宋体" w:cs="宋体"/>
                <w:b/>
                <w:bCs/>
                <w:color w:val="auto"/>
                <w:lang w:val="en-US" w:eastAsia="zh-CN"/>
              </w:rPr>
              <w:t>重要条款响应程度</w:t>
            </w:r>
          </w:p>
        </w:tc>
        <w:tc>
          <w:tcPr>
            <w:tcW w:w="593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宋体" w:hAnsi="宋体" w:eastAsia="宋体" w:cs="宋体"/>
                <w:color w:val="auto"/>
                <w:lang w:eastAsia="zh-CN"/>
              </w:rPr>
            </w:pPr>
            <w:r>
              <w:rPr>
                <w:rFonts w:hint="eastAsia" w:ascii="宋体" w:hAnsi="宋体" w:eastAsia="宋体" w:cs="宋体"/>
                <w:color w:val="auto"/>
              </w:rPr>
              <w:t>根据</w:t>
            </w:r>
            <w:r>
              <w:rPr>
                <w:rFonts w:hint="eastAsia" w:ascii="宋体" w:hAnsi="宋体" w:eastAsia="宋体" w:cs="宋体"/>
                <w:color w:val="auto"/>
                <w:lang w:val="en-US" w:eastAsia="zh-CN"/>
              </w:rPr>
              <w:t>供应商</w:t>
            </w:r>
            <w:r>
              <w:rPr>
                <w:rFonts w:hint="eastAsia" w:ascii="宋体" w:hAnsi="宋体" w:eastAsia="宋体" w:cs="宋体"/>
                <w:color w:val="auto"/>
              </w:rPr>
              <w:t>对本项目</w:t>
            </w:r>
            <w:r>
              <w:rPr>
                <w:rFonts w:hint="eastAsia" w:ascii="宋体" w:hAnsi="宋体" w:eastAsia="宋体" w:cs="宋体"/>
                <w:color w:val="auto"/>
                <w:lang w:eastAsia="zh-CN"/>
              </w:rPr>
              <w:t>“</w:t>
            </w:r>
            <w:r>
              <w:rPr>
                <w:rFonts w:hint="eastAsia" w:ascii="宋体" w:hAnsi="宋体" w:eastAsia="宋体" w:cs="宋体"/>
                <w:color w:val="auto"/>
                <w:lang w:val="en-US" w:eastAsia="zh-CN"/>
              </w:rPr>
              <w:t>用户需求书</w:t>
            </w:r>
            <w:r>
              <w:rPr>
                <w:rFonts w:hint="eastAsia" w:ascii="宋体" w:hAnsi="宋体" w:eastAsia="宋体" w:cs="宋体"/>
                <w:color w:val="auto"/>
                <w:lang w:eastAsia="zh-CN"/>
              </w:rPr>
              <w:t>”</w:t>
            </w:r>
            <w:r>
              <w:rPr>
                <w:rFonts w:hint="eastAsia" w:ascii="宋体" w:hAnsi="宋体" w:eastAsia="宋体" w:cs="宋体"/>
                <w:color w:val="auto"/>
                <w:lang w:val="en-US" w:eastAsia="zh-CN"/>
              </w:rPr>
              <w:t>重要条款（带“▲”号条款）响应程度进行评审，每负偏离一项扣3分，扣</w:t>
            </w:r>
            <w:r>
              <w:rPr>
                <w:rFonts w:hint="eastAsia" w:ascii="宋体" w:hAnsi="宋体" w:eastAsia="宋体" w:cs="宋体"/>
                <w:color w:val="auto"/>
              </w:rPr>
              <w:t>完为止。完全响应</w:t>
            </w:r>
            <w:r>
              <w:rPr>
                <w:rFonts w:hint="eastAsia" w:ascii="宋体" w:hAnsi="宋体" w:eastAsia="宋体" w:cs="宋体"/>
                <w:color w:val="auto"/>
                <w:lang w:val="en-US"/>
              </w:rPr>
              <w:t>最高得3</w:t>
            </w:r>
            <w:r>
              <w:rPr>
                <w:rFonts w:hint="eastAsia" w:cs="宋体"/>
                <w:color w:val="auto"/>
                <w:lang w:val="en-US" w:eastAsia="zh-CN"/>
              </w:rPr>
              <w:t>3</w:t>
            </w:r>
            <w:r>
              <w:rPr>
                <w:rFonts w:hint="eastAsia" w:ascii="宋体" w:hAnsi="宋体" w:eastAsia="宋体" w:cs="宋体"/>
                <w:color w:val="auto"/>
                <w:lang w:val="en-US"/>
              </w:rPr>
              <w:t>分</w:t>
            </w:r>
            <w:r>
              <w:rPr>
                <w:rFonts w:hint="eastAsia" w:ascii="宋体" w:hAnsi="宋体" w:eastAsia="宋体" w:cs="宋体"/>
                <w:color w:val="auto"/>
              </w:rPr>
              <w:t>。</w:t>
            </w:r>
            <w:r>
              <w:rPr>
                <w:rFonts w:hint="eastAsia" w:ascii="宋体" w:hAnsi="宋体" w:eastAsia="宋体" w:cs="宋体"/>
                <w:color w:val="auto"/>
                <w:lang w:eastAsia="zh-CN"/>
              </w:rPr>
              <w:t>（</w:t>
            </w:r>
            <w:r>
              <w:rPr>
                <w:rFonts w:hint="eastAsia" w:ascii="宋体" w:hAnsi="宋体" w:eastAsia="宋体" w:cs="宋体"/>
                <w:color w:val="auto"/>
                <w:lang w:val="en-US" w:eastAsia="zh-CN"/>
              </w:rPr>
              <w:t>本项目共1</w:t>
            </w:r>
            <w:r>
              <w:rPr>
                <w:rFonts w:hint="eastAsia" w:cs="宋体"/>
                <w:color w:val="auto"/>
                <w:lang w:val="en-US" w:eastAsia="zh-CN"/>
              </w:rPr>
              <w:t>1</w:t>
            </w:r>
            <w:r>
              <w:rPr>
                <w:rFonts w:hint="eastAsia" w:ascii="宋体" w:hAnsi="宋体" w:eastAsia="宋体" w:cs="宋体"/>
                <w:color w:val="auto"/>
                <w:lang w:val="en-US" w:eastAsia="zh-CN"/>
              </w:rPr>
              <w:t>条带“▲”号条款</w:t>
            </w:r>
            <w:r>
              <w:rPr>
                <w:rFonts w:hint="eastAsia" w:ascii="宋体" w:hAnsi="宋体" w:eastAsia="宋体" w:cs="宋体"/>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宋体" w:hAnsi="宋体" w:eastAsia="宋体" w:cs="宋体"/>
                <w:color w:val="auto"/>
                <w:lang w:val="en-US" w:eastAsia="zh-CN"/>
              </w:rPr>
            </w:pPr>
            <w:r>
              <w:rPr>
                <w:rFonts w:hint="eastAsia" w:ascii="宋体" w:hAnsi="宋体" w:eastAsia="宋体" w:cs="宋体"/>
                <w:b/>
                <w:bCs/>
                <w:color w:val="auto"/>
                <w:lang w:val="en-US" w:eastAsia="zh-CN"/>
              </w:rPr>
              <w:t>注：以供应商对重要性条款（“▲” 项）的响应</w:t>
            </w:r>
            <w:r>
              <w:rPr>
                <w:rFonts w:hint="eastAsia" w:cs="宋体"/>
                <w:b/>
                <w:bCs/>
                <w:color w:val="auto"/>
                <w:lang w:val="en-US" w:eastAsia="zh-CN"/>
              </w:rPr>
              <w:t>表填写</w:t>
            </w:r>
            <w:r>
              <w:rPr>
                <w:rFonts w:hint="eastAsia" w:ascii="宋体" w:hAnsi="宋体" w:eastAsia="宋体" w:cs="宋体"/>
                <w:b/>
                <w:bCs/>
                <w:color w:val="auto"/>
                <w:lang w:val="en-US" w:eastAsia="zh-CN"/>
              </w:rPr>
              <w:t>情况为准</w:t>
            </w:r>
            <w:r>
              <w:rPr>
                <w:rFonts w:hint="eastAsia" w:cs="宋体"/>
                <w:b/>
                <w:bCs/>
                <w:color w:val="auto"/>
                <w:lang w:val="en-US" w:eastAsia="zh-CN"/>
              </w:rPr>
              <w:t>，未填写的视为负偏离</w:t>
            </w:r>
            <w:r>
              <w:rPr>
                <w:rFonts w:hint="eastAsia" w:ascii="宋体" w:hAnsi="宋体" w:eastAsia="宋体" w:cs="宋体"/>
                <w:b/>
                <w:bCs/>
                <w:color w:val="auto"/>
                <w:lang w:val="en-US" w:eastAsia="zh-CN"/>
              </w:rPr>
              <w:t>。</w:t>
            </w:r>
          </w:p>
        </w:tc>
        <w:tc>
          <w:tcPr>
            <w:tcW w:w="809" w:type="dxa"/>
            <w:vAlign w:val="center"/>
          </w:tcPr>
          <w:p>
            <w:pPr>
              <w:keepNext w:val="0"/>
              <w:keepLines w:val="0"/>
              <w:pageBreakBefore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jc w:val="center"/>
        </w:trPr>
        <w:tc>
          <w:tcPr>
            <w:tcW w:w="916" w:type="dxa"/>
            <w:vMerge w:val="continue"/>
            <w:vAlign w:val="center"/>
          </w:tcPr>
          <w:p>
            <w:pPr>
              <w:widowControl/>
              <w:spacing w:line="360" w:lineRule="auto"/>
              <w:jc w:val="center"/>
              <w:rPr>
                <w:rFonts w:hint="eastAsia" w:ascii="宋体" w:hAnsi="宋体" w:eastAsia="宋体" w:cs="宋体"/>
                <w:b/>
                <w:bCs/>
                <w:color w:val="auto"/>
                <w:spacing w:val="15"/>
                <w:kern w:val="0"/>
                <w:szCs w:val="21"/>
                <w:shd w:val="clear" w:color="auto" w:fill="FFFFFF"/>
                <w:lang w:eastAsia="zh-CN"/>
              </w:rPr>
            </w:pPr>
          </w:p>
        </w:tc>
        <w:tc>
          <w:tcPr>
            <w:tcW w:w="1591" w:type="dxa"/>
            <w:vAlign w:val="center"/>
          </w:tcPr>
          <w:p>
            <w:pPr>
              <w:spacing w:line="276" w:lineRule="auto"/>
              <w:jc w:val="center"/>
              <w:rPr>
                <w:rFonts w:hint="eastAsia" w:ascii="宋体" w:hAnsi="宋体"/>
                <w:b/>
                <w:bCs/>
                <w:color w:val="auto"/>
                <w:szCs w:val="21"/>
              </w:rPr>
            </w:pPr>
            <w:r>
              <w:rPr>
                <w:rFonts w:hint="eastAsia"/>
                <w:b/>
                <w:bCs/>
                <w:color w:val="auto"/>
                <w:lang w:val="en-US" w:eastAsia="zh-CN"/>
              </w:rPr>
              <w:t>项目</w:t>
            </w:r>
            <w:r>
              <w:rPr>
                <w:rFonts w:hint="eastAsia"/>
                <w:b/>
                <w:bCs/>
                <w:color w:val="auto"/>
                <w:lang w:val="en-US"/>
              </w:rPr>
              <w:t>技术方案</w:t>
            </w:r>
          </w:p>
        </w:tc>
        <w:tc>
          <w:tcPr>
            <w:tcW w:w="5939" w:type="dxa"/>
            <w:vAlign w:val="center"/>
          </w:tcPr>
          <w:p>
            <w:pPr>
              <w:spacing w:line="276" w:lineRule="auto"/>
              <w:rPr>
                <w:rFonts w:hint="eastAsia"/>
                <w:color w:val="auto"/>
                <w:lang w:val="en-US"/>
              </w:rPr>
            </w:pPr>
            <w:r>
              <w:rPr>
                <w:rFonts w:hint="eastAsia"/>
                <w:color w:val="auto"/>
                <w:lang w:val="en-US"/>
              </w:rPr>
              <w:t>根据</w:t>
            </w:r>
            <w:r>
              <w:rPr>
                <w:rFonts w:hint="eastAsia"/>
                <w:color w:val="auto"/>
                <w:lang w:val="en-US" w:eastAsia="zh-CN"/>
              </w:rPr>
              <w:t>供应商</w:t>
            </w:r>
            <w:r>
              <w:rPr>
                <w:rFonts w:hint="eastAsia"/>
                <w:color w:val="auto"/>
                <w:lang w:val="en-US"/>
              </w:rPr>
              <w:t>针对本项目的采购需求提供的项目技术方案进行评审：</w:t>
            </w:r>
          </w:p>
          <w:p>
            <w:pPr>
              <w:spacing w:line="276" w:lineRule="auto"/>
              <w:rPr>
                <w:color w:val="auto"/>
                <w:lang w:val="en-US"/>
              </w:rPr>
            </w:pPr>
            <w:r>
              <w:rPr>
                <w:rFonts w:hint="eastAsia"/>
                <w:color w:val="auto"/>
                <w:lang w:val="en-US"/>
              </w:rPr>
              <w:t>1.项目整体建设方案完整，方案中的建设目标、总体建设内容完全满足采购需求，得</w:t>
            </w:r>
            <w:r>
              <w:rPr>
                <w:rFonts w:hint="eastAsia"/>
                <w:color w:val="auto"/>
                <w:lang w:val="en-US" w:eastAsia="zh-CN"/>
              </w:rPr>
              <w:t>20</w:t>
            </w:r>
            <w:r>
              <w:rPr>
                <w:rFonts w:hint="eastAsia"/>
                <w:color w:val="auto"/>
                <w:lang w:val="en-US"/>
              </w:rPr>
              <w:t xml:space="preserve">分: </w:t>
            </w:r>
          </w:p>
          <w:p>
            <w:pPr>
              <w:spacing w:line="276" w:lineRule="auto"/>
              <w:rPr>
                <w:color w:val="auto"/>
                <w:lang w:val="en-US"/>
              </w:rPr>
            </w:pPr>
            <w:r>
              <w:rPr>
                <w:rFonts w:hint="eastAsia"/>
                <w:color w:val="auto"/>
                <w:lang w:val="en-US"/>
              </w:rPr>
              <w:t>2.项目整体建设方案</w:t>
            </w:r>
            <w:r>
              <w:rPr>
                <w:rFonts w:hint="eastAsia"/>
                <w:color w:val="auto"/>
                <w:lang w:val="en-US" w:eastAsia="zh-CN"/>
              </w:rPr>
              <w:t>一般</w:t>
            </w:r>
            <w:r>
              <w:rPr>
                <w:rFonts w:hint="eastAsia"/>
                <w:color w:val="auto"/>
                <w:lang w:val="en-US"/>
              </w:rPr>
              <w:t>，方案中的建设目标、总体建设内容部分满足采购需求，得</w:t>
            </w:r>
            <w:r>
              <w:rPr>
                <w:rFonts w:hint="eastAsia"/>
                <w:color w:val="auto"/>
                <w:lang w:val="en-US" w:eastAsia="zh-CN"/>
              </w:rPr>
              <w:t>13</w:t>
            </w:r>
            <w:r>
              <w:rPr>
                <w:rFonts w:hint="eastAsia"/>
                <w:color w:val="auto"/>
                <w:lang w:val="en-US"/>
              </w:rPr>
              <w:t xml:space="preserve">分; </w:t>
            </w:r>
          </w:p>
          <w:p>
            <w:pPr>
              <w:spacing w:line="276" w:lineRule="auto"/>
              <w:rPr>
                <w:color w:val="auto"/>
                <w:lang w:val="en-US"/>
              </w:rPr>
            </w:pPr>
            <w:r>
              <w:rPr>
                <w:rFonts w:hint="eastAsia"/>
                <w:color w:val="auto"/>
                <w:lang w:val="en-US"/>
              </w:rPr>
              <w:t>3.项目整体建设方案简单，方案中的建设目标、总体建设内容无法满足采购需求,得</w:t>
            </w:r>
            <w:r>
              <w:rPr>
                <w:rFonts w:hint="eastAsia"/>
                <w:color w:val="auto"/>
                <w:lang w:val="en-US" w:eastAsia="zh-CN"/>
              </w:rPr>
              <w:t>6</w:t>
            </w:r>
            <w:r>
              <w:rPr>
                <w:rFonts w:hint="eastAsia"/>
                <w:color w:val="auto"/>
                <w:lang w:val="en-US"/>
              </w:rPr>
              <w:t xml:space="preserve">分; </w:t>
            </w:r>
          </w:p>
          <w:p>
            <w:pPr>
              <w:spacing w:line="276" w:lineRule="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color w:val="auto"/>
                <w:lang w:val="en-US"/>
              </w:rPr>
              <w:t>4.无提供方案不得分。</w:t>
            </w:r>
          </w:p>
        </w:tc>
        <w:tc>
          <w:tcPr>
            <w:tcW w:w="809" w:type="dxa"/>
            <w:vAlign w:val="center"/>
          </w:tcPr>
          <w:p>
            <w:pPr>
              <w:keepNext w:val="0"/>
              <w:keepLines w:val="0"/>
              <w:pageBreakBefore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jc w:val="center"/>
        </w:trPr>
        <w:tc>
          <w:tcPr>
            <w:tcW w:w="916" w:type="dxa"/>
            <w:vMerge w:val="continue"/>
            <w:vAlign w:val="center"/>
          </w:tcPr>
          <w:p>
            <w:pPr>
              <w:widowControl/>
              <w:spacing w:line="360" w:lineRule="auto"/>
              <w:jc w:val="center"/>
              <w:rPr>
                <w:rFonts w:hint="eastAsia" w:ascii="宋体" w:hAnsi="宋体" w:eastAsia="宋体" w:cs="宋体"/>
                <w:b/>
                <w:bCs/>
                <w:color w:val="auto"/>
                <w:spacing w:val="15"/>
                <w:kern w:val="0"/>
                <w:szCs w:val="21"/>
                <w:shd w:val="clear" w:color="auto" w:fill="FFFFFF"/>
                <w:lang w:eastAsia="zh-CN"/>
              </w:rPr>
            </w:pPr>
          </w:p>
        </w:tc>
        <w:tc>
          <w:tcPr>
            <w:tcW w:w="1591" w:type="dxa"/>
            <w:vAlign w:val="center"/>
          </w:tcPr>
          <w:p>
            <w:pPr>
              <w:spacing w:line="276" w:lineRule="auto"/>
              <w:jc w:val="center"/>
              <w:rPr>
                <w:rFonts w:hint="eastAsia" w:ascii="宋体" w:hAnsi="宋体"/>
                <w:b/>
                <w:bCs/>
                <w:color w:val="auto"/>
                <w:szCs w:val="21"/>
              </w:rPr>
            </w:pPr>
            <w:r>
              <w:rPr>
                <w:rFonts w:hint="eastAsia"/>
                <w:b/>
                <w:bCs/>
                <w:color w:val="auto"/>
                <w:lang w:val="en-US"/>
              </w:rPr>
              <w:t>项目实施方案</w:t>
            </w:r>
          </w:p>
        </w:tc>
        <w:tc>
          <w:tcPr>
            <w:tcW w:w="5939" w:type="dxa"/>
            <w:vAlign w:val="center"/>
          </w:tcPr>
          <w:p>
            <w:pPr>
              <w:spacing w:line="276" w:lineRule="auto"/>
              <w:rPr>
                <w:rFonts w:hint="eastAsia"/>
                <w:color w:val="auto"/>
                <w:lang w:val="en-US"/>
              </w:rPr>
            </w:pPr>
            <w:r>
              <w:rPr>
                <w:rFonts w:hint="eastAsia"/>
                <w:color w:val="auto"/>
                <w:lang w:val="en-US"/>
              </w:rPr>
              <w:t>根据</w:t>
            </w:r>
            <w:r>
              <w:rPr>
                <w:rFonts w:hint="eastAsia"/>
                <w:color w:val="auto"/>
                <w:lang w:val="en-US" w:eastAsia="zh-CN"/>
              </w:rPr>
              <w:t>供应商</w:t>
            </w:r>
            <w:r>
              <w:rPr>
                <w:rFonts w:hint="eastAsia"/>
                <w:color w:val="auto"/>
                <w:lang w:val="en-US"/>
              </w:rPr>
              <w:t>针对本项目的采购需求提供的项目</w:t>
            </w:r>
            <w:r>
              <w:rPr>
                <w:rFonts w:hint="eastAsia"/>
                <w:color w:val="auto"/>
                <w:lang w:val="en-US" w:eastAsia="zh-CN"/>
              </w:rPr>
              <w:t>实施</w:t>
            </w:r>
            <w:r>
              <w:rPr>
                <w:rFonts w:hint="eastAsia"/>
                <w:color w:val="auto"/>
                <w:lang w:val="en-US"/>
              </w:rPr>
              <w:t>方案进行评审：</w:t>
            </w:r>
          </w:p>
          <w:p>
            <w:pPr>
              <w:spacing w:line="276" w:lineRule="auto"/>
              <w:rPr>
                <w:rFonts w:hint="eastAsia"/>
                <w:color w:val="auto"/>
                <w:lang w:val="en-US"/>
              </w:rPr>
            </w:pPr>
            <w:r>
              <w:rPr>
                <w:rFonts w:hint="eastAsia"/>
                <w:color w:val="auto"/>
                <w:lang w:val="en-US"/>
              </w:rPr>
              <w:t>1.</w:t>
            </w:r>
            <w:r>
              <w:rPr>
                <w:rFonts w:hint="eastAsia"/>
                <w:color w:val="auto"/>
                <w:lang w:val="en-US" w:eastAsia="zh-CN"/>
              </w:rPr>
              <w:t>项目</w:t>
            </w:r>
            <w:r>
              <w:rPr>
                <w:rFonts w:hint="eastAsia"/>
                <w:color w:val="auto"/>
                <w:lang w:val="en-US"/>
              </w:rPr>
              <w:t>实施方案完善，</w:t>
            </w:r>
            <w:r>
              <w:rPr>
                <w:rFonts w:hint="eastAsia"/>
                <w:color w:val="auto"/>
                <w:lang w:val="en-US" w:eastAsia="zh-CN"/>
              </w:rPr>
              <w:t>方案内容</w:t>
            </w:r>
            <w:r>
              <w:rPr>
                <w:rFonts w:hint="eastAsia"/>
                <w:color w:val="auto"/>
                <w:lang w:val="en-US"/>
              </w:rPr>
              <w:t>全面、培训计划合理可行的，得</w:t>
            </w:r>
            <w:r>
              <w:rPr>
                <w:rFonts w:hint="eastAsia"/>
                <w:color w:val="auto"/>
                <w:lang w:val="en-US" w:eastAsia="zh-CN"/>
              </w:rPr>
              <w:t>20</w:t>
            </w:r>
            <w:r>
              <w:rPr>
                <w:rFonts w:hint="eastAsia"/>
                <w:color w:val="auto"/>
                <w:lang w:val="en-US"/>
              </w:rPr>
              <w:t xml:space="preserve">分； </w:t>
            </w:r>
          </w:p>
          <w:p>
            <w:pPr>
              <w:spacing w:line="276" w:lineRule="auto"/>
              <w:rPr>
                <w:rFonts w:hint="eastAsia"/>
                <w:color w:val="auto"/>
                <w:lang w:val="en-US"/>
              </w:rPr>
            </w:pPr>
            <w:r>
              <w:rPr>
                <w:rFonts w:hint="eastAsia"/>
                <w:color w:val="auto"/>
                <w:lang w:val="en-US"/>
              </w:rPr>
              <w:t>2.</w:t>
            </w:r>
            <w:r>
              <w:rPr>
                <w:rFonts w:hint="eastAsia"/>
                <w:color w:val="auto"/>
                <w:lang w:val="en-US" w:eastAsia="zh-CN"/>
              </w:rPr>
              <w:t>项目</w:t>
            </w:r>
            <w:r>
              <w:rPr>
                <w:rFonts w:hint="eastAsia"/>
                <w:color w:val="auto"/>
                <w:lang w:val="en-US"/>
              </w:rPr>
              <w:t>实施方案一般，方案内容</w:t>
            </w:r>
            <w:r>
              <w:rPr>
                <w:rFonts w:hint="eastAsia"/>
                <w:color w:val="auto"/>
                <w:lang w:val="en-US" w:eastAsia="zh-CN"/>
              </w:rPr>
              <w:t>不全面</w:t>
            </w:r>
            <w:r>
              <w:rPr>
                <w:rFonts w:hint="eastAsia"/>
                <w:color w:val="auto"/>
                <w:lang w:val="en-US"/>
              </w:rPr>
              <w:t>、培训计划部分可行的，得</w:t>
            </w:r>
            <w:r>
              <w:rPr>
                <w:rFonts w:hint="eastAsia"/>
                <w:color w:val="auto"/>
                <w:lang w:val="en-US" w:eastAsia="zh-CN"/>
              </w:rPr>
              <w:t>13</w:t>
            </w:r>
            <w:r>
              <w:rPr>
                <w:rFonts w:hint="eastAsia"/>
                <w:color w:val="auto"/>
                <w:lang w:val="en-US"/>
              </w:rPr>
              <w:t xml:space="preserve">分； </w:t>
            </w:r>
          </w:p>
          <w:p>
            <w:pPr>
              <w:spacing w:line="276" w:lineRule="auto"/>
              <w:rPr>
                <w:rFonts w:hint="eastAsia"/>
                <w:color w:val="auto"/>
                <w:lang w:val="en-US"/>
              </w:rPr>
            </w:pPr>
            <w:r>
              <w:rPr>
                <w:rFonts w:hint="eastAsia"/>
                <w:color w:val="auto"/>
                <w:lang w:val="en-US"/>
              </w:rPr>
              <w:t>3.</w:t>
            </w:r>
            <w:r>
              <w:rPr>
                <w:rFonts w:hint="eastAsia"/>
                <w:color w:val="auto"/>
                <w:lang w:val="en-US" w:eastAsia="zh-CN"/>
              </w:rPr>
              <w:t>项目</w:t>
            </w:r>
            <w:r>
              <w:rPr>
                <w:rFonts w:hint="eastAsia"/>
                <w:color w:val="auto"/>
                <w:lang w:val="en-US"/>
              </w:rPr>
              <w:t>实施方案</w:t>
            </w:r>
            <w:r>
              <w:rPr>
                <w:rFonts w:hint="eastAsia"/>
                <w:color w:val="auto"/>
                <w:lang w:val="en-US" w:eastAsia="zh-CN"/>
              </w:rPr>
              <w:t>差</w:t>
            </w:r>
            <w:r>
              <w:rPr>
                <w:rFonts w:hint="eastAsia"/>
                <w:color w:val="auto"/>
                <w:lang w:val="en-US"/>
              </w:rPr>
              <w:t>，方案内容简</w:t>
            </w:r>
            <w:r>
              <w:rPr>
                <w:rFonts w:hint="eastAsia"/>
                <w:color w:val="auto"/>
                <w:lang w:val="en-US" w:eastAsia="zh-CN"/>
              </w:rPr>
              <w:t>略</w:t>
            </w:r>
            <w:r>
              <w:rPr>
                <w:rFonts w:hint="eastAsia"/>
                <w:color w:val="auto"/>
                <w:lang w:val="en-US"/>
              </w:rPr>
              <w:t>、培训计划实行性差的，得</w:t>
            </w:r>
            <w:r>
              <w:rPr>
                <w:rFonts w:hint="eastAsia"/>
                <w:color w:val="auto"/>
                <w:lang w:val="en-US" w:eastAsia="zh-CN"/>
              </w:rPr>
              <w:t>6</w:t>
            </w:r>
            <w:r>
              <w:rPr>
                <w:rFonts w:hint="eastAsia"/>
                <w:color w:val="auto"/>
                <w:lang w:val="en-US"/>
              </w:rPr>
              <w:t xml:space="preserve">分； </w:t>
            </w:r>
          </w:p>
          <w:p>
            <w:pPr>
              <w:spacing w:line="276" w:lineRule="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color w:val="auto"/>
                <w:lang w:val="en-US"/>
              </w:rPr>
              <w:t>4.无提供方案不得分。</w:t>
            </w:r>
          </w:p>
        </w:tc>
        <w:tc>
          <w:tcPr>
            <w:tcW w:w="809" w:type="dxa"/>
            <w:vAlign w:val="center"/>
          </w:tcPr>
          <w:p>
            <w:pPr>
              <w:keepNext w:val="0"/>
              <w:keepLines w:val="0"/>
              <w:pageBreakBefore w:val="0"/>
              <w:kinsoku/>
              <w:wordWrap/>
              <w:overflowPunct/>
              <w:topLinePunct w:val="0"/>
              <w:autoSpaceDE/>
              <w:autoSpaceDN/>
              <w:bidi w:val="0"/>
              <w:adjustRightInd w:val="0"/>
              <w:snapToGrid w:val="0"/>
              <w:spacing w:line="336" w:lineRule="auto"/>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16" w:type="dxa"/>
            <w:vMerge w:val="continue"/>
            <w:vAlign w:val="center"/>
          </w:tcPr>
          <w:p>
            <w:pPr>
              <w:widowControl/>
              <w:spacing w:line="360" w:lineRule="auto"/>
              <w:jc w:val="center"/>
              <w:rPr>
                <w:rFonts w:hint="eastAsia" w:ascii="宋体" w:hAnsi="宋体" w:eastAsia="宋体" w:cs="宋体"/>
                <w:b/>
                <w:bCs/>
                <w:color w:val="auto"/>
                <w:spacing w:val="15"/>
                <w:kern w:val="0"/>
                <w:szCs w:val="21"/>
                <w:shd w:val="clear" w:color="auto" w:fill="FFFFFF"/>
                <w:lang w:eastAsia="zh-CN"/>
              </w:rPr>
            </w:pPr>
          </w:p>
        </w:tc>
        <w:tc>
          <w:tcPr>
            <w:tcW w:w="1591" w:type="dxa"/>
            <w:vAlign w:val="center"/>
          </w:tcPr>
          <w:p>
            <w:pPr>
              <w:spacing w:line="276" w:lineRule="auto"/>
              <w:jc w:val="center"/>
              <w:rPr>
                <w:rFonts w:hint="default" w:eastAsia="宋体"/>
                <w:b/>
                <w:bCs/>
                <w:color w:val="auto"/>
                <w:lang w:val="en-US" w:eastAsia="zh-CN"/>
              </w:rPr>
            </w:pPr>
            <w:r>
              <w:rPr>
                <w:rFonts w:hint="eastAsia"/>
                <w:b/>
                <w:bCs/>
                <w:color w:val="auto"/>
                <w:lang w:val="en-US" w:eastAsia="zh-CN"/>
              </w:rPr>
              <w:t>售后服务方案</w:t>
            </w:r>
          </w:p>
        </w:tc>
        <w:tc>
          <w:tcPr>
            <w:tcW w:w="5939" w:type="dxa"/>
            <w:vAlign w:val="center"/>
          </w:tcPr>
          <w:p>
            <w:pPr>
              <w:spacing w:line="276" w:lineRule="auto"/>
              <w:rPr>
                <w:rFonts w:hint="eastAsia"/>
                <w:color w:val="auto"/>
              </w:rPr>
            </w:pPr>
            <w:r>
              <w:rPr>
                <w:rFonts w:hint="eastAsia"/>
                <w:color w:val="auto"/>
              </w:rPr>
              <w:t>根据</w:t>
            </w:r>
            <w:r>
              <w:rPr>
                <w:rFonts w:hint="eastAsia"/>
                <w:color w:val="auto"/>
                <w:lang w:val="en-US" w:eastAsia="zh-CN"/>
              </w:rPr>
              <w:t>供应商</w:t>
            </w:r>
            <w:r>
              <w:rPr>
                <w:rFonts w:hint="eastAsia"/>
                <w:color w:val="auto"/>
                <w:lang w:val="en-US"/>
              </w:rPr>
              <w:t>针对本项目的采购需求</w:t>
            </w:r>
            <w:r>
              <w:rPr>
                <w:rFonts w:hint="eastAsia"/>
                <w:color w:val="auto"/>
              </w:rPr>
              <w:t>提供</w:t>
            </w:r>
            <w:r>
              <w:rPr>
                <w:rFonts w:hint="eastAsia" w:ascii="宋体" w:hAnsi="宋体" w:eastAsia="宋体" w:cs="宋体"/>
                <w:color w:val="auto"/>
              </w:rPr>
              <w:t>的</w:t>
            </w:r>
            <w:r>
              <w:rPr>
                <w:rFonts w:hint="eastAsia" w:ascii="宋体" w:hAnsi="宋体" w:eastAsia="宋体" w:cs="宋体"/>
                <w:color w:val="auto"/>
                <w:lang w:val="en-US" w:eastAsia="zh-CN"/>
              </w:rPr>
              <w:t>售后服务方案</w:t>
            </w:r>
            <w:r>
              <w:rPr>
                <w:rFonts w:hint="eastAsia"/>
                <w:color w:val="auto"/>
              </w:rPr>
              <w:t xml:space="preserve">进行评审: </w:t>
            </w:r>
          </w:p>
          <w:p>
            <w:pPr>
              <w:spacing w:line="276" w:lineRule="auto"/>
              <w:rPr>
                <w:rFonts w:hint="eastAsia"/>
                <w:color w:val="auto"/>
              </w:rPr>
            </w:pPr>
            <w:r>
              <w:rPr>
                <w:rFonts w:hint="eastAsia"/>
                <w:color w:val="auto"/>
              </w:rPr>
              <w:t>1.</w:t>
            </w:r>
            <w:r>
              <w:rPr>
                <w:rFonts w:hint="eastAsia"/>
                <w:color w:val="auto"/>
                <w:lang w:eastAsia="zh-CN"/>
              </w:rPr>
              <w:t>售后服务方案</w:t>
            </w:r>
            <w:r>
              <w:rPr>
                <w:rFonts w:hint="eastAsia"/>
                <w:color w:val="auto"/>
              </w:rPr>
              <w:t>考虑充分周全，能及时解决突发情况，</w:t>
            </w:r>
            <w:r>
              <w:rPr>
                <w:rFonts w:hint="eastAsia"/>
                <w:color w:val="auto"/>
                <w:lang w:val="en-US"/>
              </w:rPr>
              <w:t>能</w:t>
            </w:r>
            <w:r>
              <w:rPr>
                <w:rFonts w:hint="eastAsia"/>
                <w:color w:val="auto"/>
              </w:rPr>
              <w:t>保障采购人日常工作顺利进行的，得</w:t>
            </w:r>
            <w:r>
              <w:rPr>
                <w:rFonts w:hint="eastAsia"/>
                <w:color w:val="auto"/>
                <w:lang w:val="en-US"/>
              </w:rPr>
              <w:t>1</w:t>
            </w:r>
            <w:r>
              <w:rPr>
                <w:rFonts w:hint="eastAsia"/>
                <w:color w:val="auto"/>
                <w:lang w:val="en-US" w:eastAsia="zh-CN"/>
              </w:rPr>
              <w:t>2</w:t>
            </w:r>
            <w:r>
              <w:rPr>
                <w:rFonts w:hint="eastAsia"/>
                <w:color w:val="auto"/>
              </w:rPr>
              <w:t>分；</w:t>
            </w:r>
          </w:p>
          <w:p>
            <w:pPr>
              <w:spacing w:line="276" w:lineRule="auto"/>
              <w:rPr>
                <w:rFonts w:hint="eastAsia"/>
                <w:color w:val="auto"/>
              </w:rPr>
            </w:pPr>
            <w:r>
              <w:rPr>
                <w:rFonts w:hint="eastAsia"/>
                <w:color w:val="auto"/>
              </w:rPr>
              <w:t>2.</w:t>
            </w:r>
            <w:r>
              <w:rPr>
                <w:rFonts w:hint="eastAsia"/>
                <w:color w:val="auto"/>
                <w:lang w:eastAsia="zh-CN"/>
              </w:rPr>
              <w:t>售后服务方案</w:t>
            </w:r>
            <w:r>
              <w:rPr>
                <w:rFonts w:hint="eastAsia"/>
                <w:color w:val="auto"/>
              </w:rPr>
              <w:t>考虑比较周全，能及时解决突发情况，较能保障采购人日常工作顺利进行的，得</w:t>
            </w:r>
            <w:r>
              <w:rPr>
                <w:rFonts w:hint="eastAsia"/>
                <w:color w:val="auto"/>
                <w:lang w:val="en-US" w:eastAsia="zh-CN"/>
              </w:rPr>
              <w:t>8</w:t>
            </w:r>
            <w:r>
              <w:rPr>
                <w:rFonts w:hint="eastAsia"/>
                <w:color w:val="auto"/>
              </w:rPr>
              <w:t>分；</w:t>
            </w:r>
          </w:p>
          <w:p>
            <w:pPr>
              <w:spacing w:line="276" w:lineRule="auto"/>
              <w:rPr>
                <w:rFonts w:hint="eastAsia"/>
                <w:color w:val="auto"/>
              </w:rPr>
            </w:pPr>
            <w:r>
              <w:rPr>
                <w:rFonts w:hint="eastAsia"/>
                <w:color w:val="auto"/>
              </w:rPr>
              <w:t>3.</w:t>
            </w:r>
            <w:r>
              <w:rPr>
                <w:rFonts w:hint="eastAsia"/>
                <w:color w:val="auto"/>
                <w:lang w:eastAsia="zh-CN"/>
              </w:rPr>
              <w:t>售后服务方案</w:t>
            </w:r>
            <w:r>
              <w:rPr>
                <w:rFonts w:hint="eastAsia"/>
                <w:color w:val="auto"/>
              </w:rPr>
              <w:t>考虑不周全，不能解决突发情况需求，不能保障采购人日常工作顺利进行的，得</w:t>
            </w:r>
            <w:r>
              <w:rPr>
                <w:rFonts w:hint="eastAsia"/>
                <w:color w:val="auto"/>
                <w:lang w:val="en-US" w:eastAsia="zh-CN"/>
              </w:rPr>
              <w:t>4</w:t>
            </w:r>
            <w:r>
              <w:rPr>
                <w:rFonts w:hint="eastAsia"/>
                <w:color w:val="auto"/>
              </w:rPr>
              <w:t>分；</w:t>
            </w:r>
          </w:p>
          <w:p>
            <w:pPr>
              <w:spacing w:line="276" w:lineRule="auto"/>
              <w:rPr>
                <w:rFonts w:hint="eastAsia"/>
                <w:color w:val="auto"/>
                <w:lang w:val="en-US"/>
              </w:rPr>
            </w:pPr>
            <w:r>
              <w:rPr>
                <w:rFonts w:hint="eastAsia"/>
                <w:color w:val="auto"/>
                <w:lang w:val="en-US"/>
              </w:rPr>
              <w:t>4.无提供方案不得分。</w:t>
            </w:r>
          </w:p>
        </w:tc>
        <w:tc>
          <w:tcPr>
            <w:tcW w:w="809" w:type="dxa"/>
            <w:vAlign w:val="center"/>
          </w:tcPr>
          <w:p>
            <w:pPr>
              <w:keepNext w:val="0"/>
              <w:keepLines w:val="0"/>
              <w:pageBreakBefore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916" w:type="dxa"/>
            <w:vAlign w:val="center"/>
          </w:tcPr>
          <w:p>
            <w:pPr>
              <w:widowControl/>
              <w:spacing w:line="360" w:lineRule="auto"/>
              <w:jc w:val="center"/>
              <w:rPr>
                <w:rFonts w:hint="default" w:ascii="宋体" w:hAnsi="宋体" w:cs="宋体"/>
                <w:b/>
                <w:bCs/>
                <w:color w:val="auto"/>
                <w:spacing w:val="15"/>
                <w:kern w:val="0"/>
                <w:szCs w:val="21"/>
                <w:shd w:val="clear" w:color="auto" w:fill="FFFFFF"/>
                <w:lang w:val="en-US" w:eastAsia="zh-CN"/>
              </w:rPr>
            </w:pPr>
            <w:r>
              <w:rPr>
                <w:rFonts w:hint="eastAsia" w:ascii="宋体" w:hAnsi="宋体" w:cs="宋体"/>
                <w:b/>
                <w:bCs/>
                <w:color w:val="auto"/>
                <w:spacing w:val="15"/>
                <w:kern w:val="0"/>
                <w:szCs w:val="21"/>
                <w:shd w:val="clear" w:color="auto" w:fill="FFFFFF"/>
                <w:lang w:val="en-US" w:eastAsia="zh-CN"/>
              </w:rPr>
              <w:t>价格部分</w:t>
            </w:r>
          </w:p>
        </w:tc>
        <w:tc>
          <w:tcPr>
            <w:tcW w:w="1591" w:type="dxa"/>
            <w:vAlign w:val="center"/>
          </w:tcPr>
          <w:p>
            <w:pPr>
              <w:jc w:val="center"/>
              <w:rPr>
                <w:rFonts w:hint="eastAsia"/>
                <w:b/>
                <w:bCs/>
                <w:color w:val="auto"/>
                <w:szCs w:val="21"/>
                <w:highlight w:val="none"/>
              </w:rPr>
            </w:pPr>
            <w:r>
              <w:rPr>
                <w:rFonts w:hint="eastAsia" w:ascii="宋体" w:hAnsi="宋体" w:eastAsia="宋体" w:cs="宋体"/>
                <w:b/>
                <w:bCs/>
                <w:color w:val="auto"/>
                <w:szCs w:val="21"/>
              </w:rPr>
              <w:t>响应报价</w:t>
            </w:r>
          </w:p>
        </w:tc>
        <w:tc>
          <w:tcPr>
            <w:tcW w:w="5939" w:type="dxa"/>
            <w:vAlign w:val="top"/>
          </w:tcPr>
          <w:p>
            <w:pPr>
              <w:pStyle w:val="43"/>
              <w:keepNext w:val="0"/>
              <w:keepLines w:val="0"/>
              <w:widowControl/>
              <w:suppressLineNumbers w:val="0"/>
              <w:spacing w:before="0" w:beforeAutospacing="0" w:after="0" w:afterAutospacing="0" w:line="216" w:lineRule="auto"/>
              <w:ind w:left="0" w:right="0" w:firstLine="0" w:firstLineChars="0"/>
              <w:rPr>
                <w:rFonts w:hint="eastAsia" w:ascii="宋体" w:hAnsi="宋体" w:eastAsia="宋体" w:cs="宋体"/>
                <w:color w:val="auto"/>
                <w:kern w:val="0"/>
                <w:sz w:val="22"/>
                <w:szCs w:val="22"/>
                <w:lang w:val="zh-CN" w:eastAsia="zh-CN" w:bidi="zh-CN"/>
                <w14:ligatures w14:val="none"/>
              </w:rPr>
            </w:pPr>
            <w:r>
              <w:rPr>
                <w:rFonts w:hint="eastAsia" w:ascii="宋体" w:hAnsi="宋体" w:eastAsia="宋体" w:cs="宋体"/>
                <w:color w:val="auto"/>
                <w:kern w:val="0"/>
                <w:sz w:val="22"/>
                <w:szCs w:val="22"/>
                <w:lang w:val="zh-CN" w:eastAsia="zh-CN" w:bidi="zh-CN"/>
                <w14:ligatures w14:val="none"/>
              </w:rPr>
              <w:t>响应报价得分＝（评审基准价/响应报价）×价格分值</w:t>
            </w:r>
          </w:p>
          <w:p>
            <w:pPr>
              <w:pStyle w:val="43"/>
              <w:keepNext w:val="0"/>
              <w:keepLines w:val="0"/>
              <w:widowControl/>
              <w:suppressLineNumbers w:val="0"/>
              <w:spacing w:before="0" w:beforeAutospacing="0" w:after="0" w:afterAutospacing="0" w:line="216" w:lineRule="auto"/>
              <w:ind w:left="0" w:right="0" w:firstLine="0" w:firstLineChars="0"/>
              <w:rPr>
                <w:rFonts w:hint="eastAsia"/>
                <w:color w:val="auto"/>
                <w:lang w:val="en-US" w:eastAsia="zh-CN"/>
              </w:rPr>
            </w:pPr>
            <w:r>
              <w:rPr>
                <w:rFonts w:hint="eastAsia" w:ascii="宋体" w:hAnsi="宋体" w:eastAsia="宋体" w:cs="宋体"/>
                <w:color w:val="auto"/>
                <w:kern w:val="0"/>
                <w:sz w:val="22"/>
                <w:szCs w:val="22"/>
                <w:lang w:val="zh-CN" w:eastAsia="zh-CN" w:bidi="zh-CN"/>
                <w14:ligatures w14:val="none"/>
              </w:rPr>
              <w:t>（注：满足采购文件要求且响应价格最低的响应报价为评审基准价。最低报价不是成交的唯一依据。）</w:t>
            </w:r>
          </w:p>
        </w:tc>
        <w:tc>
          <w:tcPr>
            <w:tcW w:w="809" w:type="dxa"/>
            <w:vAlign w:val="center"/>
          </w:tcPr>
          <w:p>
            <w:pPr>
              <w:spacing w:line="360" w:lineRule="auto"/>
              <w:jc w:val="center"/>
              <w:rPr>
                <w:rFonts w:hint="default" w:ascii="宋体" w:hAnsi="宋体" w:cs="宋体"/>
                <w:color w:val="auto"/>
                <w:szCs w:val="21"/>
                <w:highlight w:val="none"/>
                <w:lang w:val="en-US" w:eastAsia="zh-CN"/>
              </w:rPr>
            </w:pPr>
            <w:r>
              <w:rPr>
                <w:rFonts w:hint="eastAsia"/>
                <w:color w:val="auto"/>
                <w:lang w:val="en-US" w:eastAsia="zh-CN"/>
              </w:rPr>
              <w:t>10</w:t>
            </w:r>
            <w:r>
              <w:rPr>
                <w:rFonts w:hint="eastAsia" w:ascii="宋体" w:hAnsi="宋体" w:cs="宋体"/>
                <w:color w:val="auto"/>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446" w:type="dxa"/>
            <w:gridSpan w:val="3"/>
            <w:vAlign w:val="center"/>
          </w:tcPr>
          <w:p>
            <w:pPr>
              <w:spacing w:line="360" w:lineRule="auto"/>
              <w:jc w:val="center"/>
              <w:rPr>
                <w:rFonts w:ascii="宋体" w:hAnsi="宋体"/>
                <w:color w:val="auto"/>
                <w:szCs w:val="21"/>
              </w:rPr>
            </w:pPr>
            <w:r>
              <w:rPr>
                <w:rFonts w:hint="eastAsia" w:ascii="宋体" w:hAnsi="宋体"/>
                <w:color w:val="auto"/>
                <w:szCs w:val="21"/>
              </w:rPr>
              <w:t>合计</w:t>
            </w:r>
          </w:p>
        </w:tc>
        <w:tc>
          <w:tcPr>
            <w:tcW w:w="809" w:type="dxa"/>
            <w:vAlign w:val="center"/>
          </w:tcPr>
          <w:p>
            <w:pPr>
              <w:spacing w:line="360" w:lineRule="auto"/>
              <w:jc w:val="center"/>
              <w:rPr>
                <w:rFonts w:hint="eastAsia" w:ascii="宋体" w:hAnsi="宋体" w:eastAsia="宋体"/>
                <w:color w:val="auto"/>
                <w:lang w:eastAsia="zh-CN"/>
              </w:rPr>
            </w:pPr>
            <w:r>
              <w:rPr>
                <w:rFonts w:hint="eastAsia" w:ascii="Times New Roman" w:hAnsi="Times New Roman" w:eastAsia="宋体" w:cs="Times New Roman"/>
                <w:color w:val="auto"/>
                <w:lang w:val="en-US" w:eastAsia="zh-CN"/>
              </w:rPr>
              <w:t>100</w:t>
            </w:r>
            <w:r>
              <w:rPr>
                <w:rFonts w:hint="eastAsia" w:ascii="宋体" w:hAnsi="宋体"/>
                <w:color w:val="auto"/>
                <w:lang w:eastAsia="zh-CN"/>
              </w:rPr>
              <w:t>分</w:t>
            </w:r>
          </w:p>
        </w:tc>
      </w:tr>
    </w:tbl>
    <w:p>
      <w:pPr>
        <w:pStyle w:val="12"/>
        <w:rPr>
          <w:rFonts w:hint="eastAsia" w:ascii="宋体" w:hAnsi="宋体"/>
          <w:b/>
          <w:bCs/>
          <w:color w:val="auto"/>
          <w:szCs w:val="21"/>
          <w:highlight w:val="none"/>
          <w:lang w:val="en-US" w:eastAsia="zh-CN"/>
        </w:rPr>
      </w:pPr>
    </w:p>
    <w:p>
      <w:pPr>
        <w:pStyle w:val="12"/>
        <w:rPr>
          <w:rFonts w:hint="eastAsia"/>
          <w:color w:val="auto"/>
        </w:rPr>
      </w:pPr>
      <w:r>
        <w:rPr>
          <w:rFonts w:hint="eastAsia" w:ascii="宋体" w:hAnsi="宋体"/>
          <w:b w:val="0"/>
          <w:bCs w:val="0"/>
          <w:color w:val="auto"/>
          <w:szCs w:val="21"/>
          <w:highlight w:val="none"/>
          <w:lang w:val="en-US" w:eastAsia="zh-CN"/>
        </w:rPr>
        <w:t>　　</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Dark Courier"/>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Dark Courier">
    <w:panose1 w:val="02070409020205020404"/>
    <w:charset w:val="00"/>
    <w:family w:val="auto"/>
    <w:pitch w:val="default"/>
    <w:sig w:usb0="00000000" w:usb1="00000000" w:usb2="00000000" w:usb3="00000000" w:csb0="00000093" w:csb1="00000000"/>
  </w:font>
  <w:font w:name="等线 Light">
    <w:altName w:val="Dark Courier"/>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7C"/>
    <w:rsid w:val="000943EE"/>
    <w:rsid w:val="000D74CB"/>
    <w:rsid w:val="006D3331"/>
    <w:rsid w:val="00841D86"/>
    <w:rsid w:val="00A553C9"/>
    <w:rsid w:val="00A832B9"/>
    <w:rsid w:val="00AB521A"/>
    <w:rsid w:val="00ED30A6"/>
    <w:rsid w:val="00FA007C"/>
    <w:rsid w:val="03A31482"/>
    <w:rsid w:val="0419409A"/>
    <w:rsid w:val="0BC90E1E"/>
    <w:rsid w:val="0C2B6E7C"/>
    <w:rsid w:val="12F10AA8"/>
    <w:rsid w:val="16254828"/>
    <w:rsid w:val="16AE7042"/>
    <w:rsid w:val="17022D68"/>
    <w:rsid w:val="1E4F15D7"/>
    <w:rsid w:val="21F116E5"/>
    <w:rsid w:val="252648F3"/>
    <w:rsid w:val="2BBF4B53"/>
    <w:rsid w:val="2E6576F5"/>
    <w:rsid w:val="36BA2678"/>
    <w:rsid w:val="37522040"/>
    <w:rsid w:val="38B8687A"/>
    <w:rsid w:val="495656B5"/>
    <w:rsid w:val="4AE97B73"/>
    <w:rsid w:val="4C3F1173"/>
    <w:rsid w:val="59CA7F41"/>
    <w:rsid w:val="5A10384E"/>
    <w:rsid w:val="5A371C4E"/>
    <w:rsid w:val="613B7E09"/>
    <w:rsid w:val="64075551"/>
    <w:rsid w:val="64702AD3"/>
    <w:rsid w:val="767E61C3"/>
    <w:rsid w:val="791D2FEC"/>
    <w:rsid w:val="79DA031F"/>
    <w:rsid w:val="7A1D4E7A"/>
    <w:rsid w:val="7E7C1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tabs>
        <w:tab w:val="decimal" w:pos="315"/>
        <w:tab w:val="left" w:pos="630"/>
      </w:tabs>
      <w:autoSpaceDE w:val="0"/>
      <w:autoSpaceDN w:val="0"/>
      <w:spacing w:after="0" w:line="240" w:lineRule="auto"/>
    </w:pPr>
    <w:rPr>
      <w:rFonts w:ascii="宋体" w:hAnsi="宋体" w:eastAsia="宋体" w:cs="宋体"/>
      <w:kern w:val="0"/>
      <w:sz w:val="22"/>
      <w:szCs w:val="22"/>
      <w:lang w:val="zh-CN" w:eastAsia="zh-CN" w:bidi="zh-CN"/>
      <w14:ligatures w14:val="none"/>
    </w:rPr>
  </w:style>
  <w:style w:type="paragraph" w:styleId="3">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12">
    <w:name w:val="Body Text"/>
    <w:basedOn w:val="1"/>
    <w:link w:val="42"/>
    <w:semiHidden/>
    <w:unhideWhenUsed/>
    <w:qFormat/>
    <w:uiPriority w:val="99"/>
    <w:pPr>
      <w:spacing w:after="120"/>
    </w:pPr>
  </w:style>
  <w:style w:type="paragraph" w:styleId="13">
    <w:name w:val="Date"/>
    <w:basedOn w:val="1"/>
    <w:next w:val="1"/>
    <w:link w:val="41"/>
    <w:qFormat/>
    <w:uiPriority w:val="0"/>
    <w:pPr>
      <w:adjustRightInd w:val="0"/>
      <w:textAlignment w:val="baseline"/>
    </w:pPr>
    <w:rPr>
      <w:rFonts w:hAnsi="Times New Roman" w:cs="Times New Roman"/>
      <w:sz w:val="28"/>
      <w:szCs w:val="20"/>
      <w:lang w:bidi="ar-SA"/>
    </w:rPr>
  </w:style>
  <w:style w:type="paragraph" w:styleId="14">
    <w:name w:val="footer"/>
    <w:basedOn w:val="1"/>
    <w:link w:val="40"/>
    <w:unhideWhenUsed/>
    <w:qFormat/>
    <w:uiPriority w:val="99"/>
    <w:pPr>
      <w:tabs>
        <w:tab w:val="center" w:pos="4153"/>
        <w:tab w:val="right" w:pos="8306"/>
      </w:tabs>
      <w:snapToGrid w:val="0"/>
    </w:pPr>
    <w:rPr>
      <w:sz w:val="18"/>
      <w:szCs w:val="18"/>
    </w:rPr>
  </w:style>
  <w:style w:type="paragraph" w:styleId="15">
    <w:name w:val="header"/>
    <w:basedOn w:val="1"/>
    <w:link w:val="39"/>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customStyle="1" w:styleId="20">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character" w:customStyle="1" w:styleId="21">
    <w:name w:val="标题 1 字符"/>
    <w:basedOn w:val="18"/>
    <w:link w:val="3"/>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8"/>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8"/>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8"/>
    <w:link w:val="6"/>
    <w:semiHidden/>
    <w:qFormat/>
    <w:uiPriority w:val="9"/>
    <w:rPr>
      <w:rFonts w:cstheme="majorBidi"/>
      <w:color w:val="104862" w:themeColor="accent1" w:themeShade="BF"/>
      <w:sz w:val="28"/>
      <w:szCs w:val="28"/>
    </w:rPr>
  </w:style>
  <w:style w:type="character" w:customStyle="1" w:styleId="25">
    <w:name w:val="标题 5 字符"/>
    <w:basedOn w:val="18"/>
    <w:link w:val="7"/>
    <w:semiHidden/>
    <w:qFormat/>
    <w:uiPriority w:val="9"/>
    <w:rPr>
      <w:rFonts w:cstheme="majorBidi"/>
      <w:color w:val="104862" w:themeColor="accent1" w:themeShade="BF"/>
      <w:sz w:val="24"/>
    </w:rPr>
  </w:style>
  <w:style w:type="character" w:customStyle="1" w:styleId="26">
    <w:name w:val="标题 6 字符"/>
    <w:basedOn w:val="18"/>
    <w:link w:val="8"/>
    <w:semiHidden/>
    <w:qFormat/>
    <w:uiPriority w:val="9"/>
    <w:rPr>
      <w:rFonts w:cstheme="majorBidi"/>
      <w:b/>
      <w:bCs/>
      <w:color w:val="104862" w:themeColor="accent1" w:themeShade="BF"/>
    </w:rPr>
  </w:style>
  <w:style w:type="character" w:customStyle="1" w:styleId="27">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8"/>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8"/>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8"/>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8"/>
    <w:link w:val="36"/>
    <w:qFormat/>
    <w:uiPriority w:val="30"/>
    <w:rPr>
      <w:i/>
      <w:iCs/>
      <w:color w:val="104862" w:themeColor="accent1" w:themeShade="BF"/>
    </w:rPr>
  </w:style>
  <w:style w:type="character" w:customStyle="1" w:styleId="38">
    <w:name w:val="Intense Reference"/>
    <w:basedOn w:val="18"/>
    <w:qFormat/>
    <w:uiPriority w:val="32"/>
    <w:rPr>
      <w:b/>
      <w:bCs/>
      <w:smallCaps/>
      <w:color w:val="104862" w:themeColor="accent1" w:themeShade="BF"/>
      <w:spacing w:val="5"/>
    </w:rPr>
  </w:style>
  <w:style w:type="character" w:customStyle="1" w:styleId="39">
    <w:name w:val="页眉 字符"/>
    <w:basedOn w:val="18"/>
    <w:link w:val="15"/>
    <w:qFormat/>
    <w:uiPriority w:val="99"/>
    <w:rPr>
      <w:sz w:val="18"/>
      <w:szCs w:val="18"/>
    </w:rPr>
  </w:style>
  <w:style w:type="character" w:customStyle="1" w:styleId="40">
    <w:name w:val="页脚 字符"/>
    <w:basedOn w:val="18"/>
    <w:link w:val="14"/>
    <w:qFormat/>
    <w:uiPriority w:val="99"/>
    <w:rPr>
      <w:sz w:val="18"/>
      <w:szCs w:val="18"/>
    </w:rPr>
  </w:style>
  <w:style w:type="character" w:customStyle="1" w:styleId="41">
    <w:name w:val="日期 字符"/>
    <w:basedOn w:val="18"/>
    <w:link w:val="13"/>
    <w:qFormat/>
    <w:uiPriority w:val="0"/>
    <w:rPr>
      <w:rFonts w:ascii="宋体" w:hAnsi="Times New Roman" w:eastAsia="宋体" w:cs="Times New Roman"/>
      <w:kern w:val="0"/>
      <w:sz w:val="28"/>
      <w:szCs w:val="20"/>
      <w:lang w:val="zh-CN"/>
      <w14:ligatures w14:val="none"/>
    </w:rPr>
  </w:style>
  <w:style w:type="character" w:customStyle="1" w:styleId="42">
    <w:name w:val="正文文本 字符"/>
    <w:basedOn w:val="18"/>
    <w:link w:val="12"/>
    <w:semiHidden/>
    <w:qFormat/>
    <w:uiPriority w:val="99"/>
    <w:rPr>
      <w:rFonts w:ascii="宋体" w:hAnsi="宋体" w:eastAsia="宋体" w:cs="宋体"/>
      <w:kern w:val="0"/>
      <w:szCs w:val="22"/>
      <w:lang w:val="zh-CN" w:bidi="zh-CN"/>
      <w14:ligatures w14:val="none"/>
    </w:rPr>
  </w:style>
  <w:style w:type="paragraph" w:customStyle="1" w:styleId="43">
    <w:name w:val="正文缩进2格"/>
    <w:basedOn w:val="1"/>
    <w:qFormat/>
    <w:uiPriority w:val="0"/>
    <w:pPr>
      <w:widowControl w:val="0"/>
      <w:spacing w:line="600" w:lineRule="exact"/>
      <w:ind w:firstLine="639" w:firstLineChars="206"/>
      <w:jc w:val="both"/>
    </w:pPr>
    <w:rPr>
      <w:rFonts w:ascii="仿宋_GB2312" w:hAnsi="宋体" w:eastAsia="仿宋_GB2312"/>
      <w:kern w:val="2"/>
      <w:sz w:val="3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117</Words>
  <Characters>673</Characters>
  <Lines>5</Lines>
  <Paragraphs>1</Paragraphs>
  <ScaleCrop>false</ScaleCrop>
  <LinksUpToDate>false</LinksUpToDate>
  <CharactersWithSpaces>789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2024-07-19T08:56:00Z</dcterms:created>
  <dc:creator>M0861</dc:creator>
  <cp:lastModifiedBy>赖宇娟</cp:lastModifiedBy>
  <dcterms:modified xsi:type="dcterms:W3CDTF">2026-06-16T01:23:53Z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83D15171D62D40E2A225B34467174549_12</vt:lpwstr>
  </property>
</Properties>
</file>