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宋体" w:cs="Times New Roman"/>
          <w:b/>
          <w:color w:val="auto"/>
          <w:sz w:val="28"/>
          <w:szCs w:val="28"/>
          <w:lang w:val="en-US" w:eastAsia="zh-CN"/>
        </w:rPr>
      </w:pPr>
      <w:r>
        <w:rPr>
          <w:rFonts w:hint="eastAsia" w:ascii="Times New Roman" w:hAnsi="Times New Roman" w:eastAsia="宋体" w:cs="Times New Roman"/>
          <w:b/>
          <w:color w:val="auto"/>
          <w:sz w:val="28"/>
          <w:szCs w:val="28"/>
          <w:lang w:eastAsia="zh-CN"/>
        </w:rPr>
        <w:t>附件</w:t>
      </w:r>
      <w:r>
        <w:rPr>
          <w:rFonts w:hint="eastAsia" w:ascii="Times New Roman" w:hAnsi="Times New Roman" w:eastAsia="宋体" w:cs="Times New Roman"/>
          <w:b/>
          <w:color w:val="auto"/>
          <w:sz w:val="28"/>
          <w:szCs w:val="28"/>
          <w:lang w:val="en-US" w:eastAsia="zh-CN"/>
        </w:rPr>
        <w:t>1：</w:t>
      </w:r>
    </w:p>
    <w:p>
      <w:pPr>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用户需求书</w:t>
      </w:r>
    </w:p>
    <w:p>
      <w:pPr>
        <w:pStyle w:val="20"/>
        <w:pageBreakBefore w:val="0"/>
        <w:kinsoku/>
        <w:wordWrap/>
        <w:overflowPunct/>
        <w:topLinePunct w:val="0"/>
        <w:autoSpaceDE/>
        <w:autoSpaceDN/>
        <w:bidi w:val="0"/>
        <w:adjustRightInd/>
        <w:snapToGrid/>
        <w:spacing w:before="156" w:line="560" w:lineRule="exact"/>
        <w:ind w:firstLine="0" w:firstLineChars="0"/>
        <w:textAlignment w:val="auto"/>
        <w:rPr>
          <w:b/>
          <w:color w:val="auto"/>
          <w:sz w:val="28"/>
          <w:szCs w:val="28"/>
        </w:rPr>
      </w:pPr>
    </w:p>
    <w:p>
      <w:pPr>
        <w:pStyle w:val="20"/>
        <w:keepNext w:val="0"/>
        <w:keepLines w:val="0"/>
        <w:pageBreakBefore w:val="0"/>
        <w:widowControl w:val="0"/>
        <w:kinsoku/>
        <w:wordWrap/>
        <w:overflowPunct/>
        <w:topLinePunct w:val="0"/>
        <w:autoSpaceDE/>
        <w:autoSpaceDN/>
        <w:bidi w:val="0"/>
        <w:adjustRightInd/>
        <w:snapToGrid/>
        <w:spacing w:before="156" w:line="560" w:lineRule="exact"/>
        <w:ind w:firstLine="56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1、成交供应商必须按国家、行业的标准及采购文件的要求对本项目提供相应的货物及服务。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2、《用户需求书》中凡有“</w:t>
      </w:r>
      <w:bookmarkStart w:id="0" w:name="_Hlk200400849"/>
      <w:r>
        <w:rPr>
          <w:rFonts w:hint="eastAsia" w:ascii="宋体" w:hAnsi="宋体" w:eastAsia="宋体" w:cs="宋体"/>
          <w:color w:val="auto"/>
          <w:kern w:val="2"/>
          <w:sz w:val="24"/>
          <w:szCs w:val="24"/>
          <w:lang w:val="en-US" w:eastAsia="zh-CN" w:bidi="ar-SA"/>
        </w:rPr>
        <w:t>★</w:t>
      </w:r>
      <w:bookmarkEnd w:id="0"/>
      <w:r>
        <w:rPr>
          <w:rFonts w:hint="eastAsia" w:ascii="宋体" w:hAnsi="宋体" w:eastAsia="宋体" w:cs="宋体"/>
          <w:color w:val="auto"/>
          <w:kern w:val="2"/>
          <w:sz w:val="24"/>
          <w:szCs w:val="24"/>
          <w:lang w:val="en-US" w:eastAsia="zh-CN" w:bidi="ar-SA"/>
        </w:rPr>
        <w:t>”标识的内容条款(如有)被视为实质性响应项目、指标；</w:t>
      </w:r>
      <w:bookmarkStart w:id="1" w:name="_Hlk200412117"/>
      <w:r>
        <w:rPr>
          <w:rFonts w:hint="eastAsia" w:ascii="宋体" w:hAnsi="宋体" w:eastAsia="宋体" w:cs="宋体"/>
          <w:color w:val="auto"/>
          <w:kern w:val="2"/>
          <w:sz w:val="24"/>
          <w:szCs w:val="24"/>
          <w:lang w:val="en-US" w:eastAsia="zh-CN" w:bidi="ar-SA"/>
        </w:rPr>
        <w:t>响应供应商必须对此做出回答并完全满足这些要求不可以出现任何负偏离，如果出现负偏离将被视为无效响应。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用户需求书》中凡有“▲”号条款为重要技术条款，供应商须按要求对其进行逐条响应，当出现负偏离或未响应，对应项将不予以计分，不会作无效投标（响应）处理；若要求提供证明材料，还须按要求提供证明材料，否则不予计分。</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5、本项目不允许提交备选响应文件，不允许联合体响应、转包或分包。</w:t>
      </w:r>
    </w:p>
    <w:p>
      <w:pPr>
        <w:pStyle w:val="2"/>
        <w:rPr>
          <w:rFonts w:hint="eastAsia"/>
          <w:color w:val="auto"/>
          <w:sz w:val="24"/>
          <w:szCs w:val="2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项目概况</w:t>
      </w:r>
      <w:bookmarkStart w:id="14" w:name="_GoBack"/>
      <w:bookmarkEnd w:id="14"/>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项目名称：中山市黄圃人民医院DRG系统CMI数据服务项目。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（二）项目编号：PYCG-YW-202606-13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（三）</w:t>
      </w:r>
      <w:bookmarkStart w:id="2" w:name="_Toc14360"/>
      <w:bookmarkStart w:id="3" w:name="_Toc4762965"/>
      <w:r>
        <w:rPr>
          <w:rFonts w:hint="eastAsia" w:ascii="宋体" w:hAnsi="宋体" w:eastAsia="宋体" w:cs="宋体"/>
          <w:b w:val="0"/>
          <w:bCs w:val="0"/>
          <w:color w:val="auto"/>
          <w:kern w:val="2"/>
          <w:sz w:val="24"/>
          <w:szCs w:val="24"/>
          <w:lang w:val="en-US" w:eastAsia="zh-CN" w:bidi="ar-SA"/>
        </w:rPr>
        <w:t>预算金额：</w:t>
      </w:r>
      <w:r>
        <w:rPr>
          <w:rFonts w:hint="eastAsia" w:ascii="宋体" w:hAnsi="宋体" w:eastAsia="宋体" w:cs="宋体"/>
          <w:b w:val="0"/>
          <w:bCs w:val="0"/>
          <w:color w:val="auto"/>
          <w:kern w:val="2"/>
          <w:sz w:val="24"/>
          <w:szCs w:val="24"/>
          <w:lang w:val="en-US" w:eastAsia="zh-CN" w:bidi="ar-SA"/>
        </w:rPr>
        <w:t>48960元</w:t>
      </w:r>
      <w:r>
        <w:rPr>
          <w:rFonts w:hint="eastAsia" w:ascii="宋体" w:hAnsi="宋体" w:eastAsia="宋体" w:cs="宋体"/>
          <w:b w:val="0"/>
          <w:bCs w:val="0"/>
          <w:color w:val="auto"/>
          <w:kern w:val="2"/>
          <w:sz w:val="24"/>
          <w:szCs w:val="24"/>
          <w:lang w:val="en-US" w:eastAsia="zh-CN" w:bidi="ar-SA"/>
        </w:rPr>
        <w:t>，响应报价超过预算金额的按无效响应处理。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olor w:val="auto"/>
          <w:lang w:val="en-US" w:eastAsia="zh-CN"/>
        </w:rPr>
      </w:pPr>
      <w:r>
        <w:rPr>
          <w:rFonts w:hint="eastAsia" w:ascii="宋体" w:hAnsi="宋体" w:eastAsia="宋体" w:cs="宋体"/>
          <w:b w:val="0"/>
          <w:bCs w:val="0"/>
          <w:color w:val="auto"/>
          <w:kern w:val="2"/>
          <w:sz w:val="24"/>
          <w:szCs w:val="24"/>
          <w:lang w:val="en-US" w:eastAsia="zh-CN" w:bidi="ar-SA"/>
        </w:rPr>
        <w:t>（四）</w:t>
      </w:r>
      <w:r>
        <w:rPr>
          <w:rFonts w:hint="eastAsia" w:ascii="宋体" w:hAnsi="宋体" w:eastAsia="宋体" w:cs="宋体"/>
          <w:color w:val="auto"/>
          <w:sz w:val="24"/>
          <w:szCs w:val="24"/>
          <w:highlight w:val="none"/>
          <w:lang w:val="en-US" w:eastAsia="zh-CN"/>
        </w:rPr>
        <w:t>服务期限：1年（具体起止时间以合同约定为准）。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（五）</w:t>
      </w:r>
      <w:r>
        <w:rPr>
          <w:rFonts w:hint="eastAsia" w:ascii="宋体" w:hAnsi="宋体" w:eastAsia="宋体" w:cs="宋体"/>
          <w:color w:val="auto"/>
          <w:sz w:val="24"/>
          <w:szCs w:val="24"/>
          <w:highlight w:val="none"/>
          <w:lang w:val="en-US" w:eastAsia="zh-CN"/>
        </w:rPr>
        <w:t>项目实施地点：采购人指定地点。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olor w:val="auto"/>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b w:val="0"/>
          <w:bCs w:val="0"/>
          <w:color w:val="auto"/>
          <w:kern w:val="2"/>
          <w:sz w:val="24"/>
          <w:szCs w:val="24"/>
          <w:lang w:val="en-US" w:eastAsia="zh-CN" w:bidi="ar-SA"/>
        </w:rPr>
        <w:t>交付内容：</w:t>
      </w:r>
    </w:p>
    <w:tbl>
      <w:tblPr>
        <w:tblStyle w:val="16"/>
        <w:tblW w:w="8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93"/>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序号</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内容</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CMI测算服务</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color w:val="auto"/>
                <w:vertAlign w:val="baseline"/>
                <w:lang w:val="en-US" w:eastAsia="zh-CN"/>
              </w:rPr>
            </w:pPr>
            <w:r>
              <w:rPr>
                <w:rFonts w:hint="eastAsia" w:asciiTheme="majorEastAsia" w:hAnsiTheme="majorEastAsia" w:eastAsiaTheme="majorEastAsia" w:cstheme="majorEastAsia"/>
                <w:b w:val="0"/>
                <w:bCs w:val="0"/>
                <w:color w:val="auto"/>
                <w:kern w:val="2"/>
                <w:sz w:val="24"/>
                <w:szCs w:val="24"/>
                <w:lang w:val="en-US" w:eastAsia="zh-CN" w:bidi="ar-SA"/>
              </w:rPr>
              <w:t>预计使用CMI分组器协助分析统计16次及以上数据(含2026年下半年1次，2025年及2026年一整年各1次，2026年7月-2027年6月每月1次，2027年上半年1次)。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DRG报表服务</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color w:val="auto"/>
                <w:vertAlign w:val="baseline"/>
                <w:lang w:val="en-US" w:eastAsia="zh-CN"/>
              </w:rPr>
            </w:pPr>
            <w:r>
              <w:rPr>
                <w:rFonts w:hint="eastAsia" w:asciiTheme="majorEastAsia" w:hAnsiTheme="majorEastAsia" w:eastAsiaTheme="majorEastAsia" w:cstheme="majorEastAsia"/>
                <w:b w:val="0"/>
                <w:bCs w:val="0"/>
                <w:color w:val="auto"/>
                <w:kern w:val="2"/>
                <w:sz w:val="24"/>
                <w:szCs w:val="24"/>
                <w:lang w:val="en-US" w:eastAsia="zh-CN" w:bidi="ar-SA"/>
              </w:rPr>
              <w:t>提供对应服务的系统功能供医院查询及导出，如：医疗能力、服务效率、质量安全、学科建设、DRG入组费用、DRG病种监测等报表模块。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临床端入组</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color w:val="auto"/>
                <w:vertAlign w:val="baseline"/>
                <w:lang w:val="en-US" w:eastAsia="zh-CN"/>
              </w:rPr>
            </w:pPr>
            <w:r>
              <w:rPr>
                <w:rFonts w:hint="eastAsia" w:asciiTheme="majorEastAsia" w:hAnsiTheme="majorEastAsia" w:eastAsiaTheme="majorEastAsia" w:cstheme="majorEastAsia"/>
                <w:b w:val="0"/>
                <w:bCs w:val="0"/>
                <w:color w:val="auto"/>
                <w:kern w:val="2"/>
                <w:sz w:val="24"/>
                <w:szCs w:val="24"/>
                <w:lang w:val="en-US" w:eastAsia="zh-CN" w:bidi="ar-SA"/>
              </w:rPr>
              <w:t>支持对接医院HIS工作站，能为医院提供在院患者的DRG入组测算，供临床医生在工作站点击查看。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DRG服务研发及维护</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color w:val="auto"/>
                <w:vertAlign w:val="baseline"/>
                <w:lang w:val="en-US" w:eastAsia="zh-CN"/>
              </w:rPr>
            </w:pPr>
            <w:r>
              <w:rPr>
                <w:rFonts w:hint="eastAsia" w:ascii="宋体" w:hAnsi="宋体" w:eastAsia="宋体" w:cs="宋体"/>
                <w:i w:val="0"/>
                <w:iCs w:val="0"/>
                <w:color w:val="auto"/>
                <w:kern w:val="0"/>
                <w:sz w:val="24"/>
                <w:szCs w:val="24"/>
                <w:u w:val="none"/>
                <w:lang w:val="en-US" w:eastAsia="zh-CN" w:bidi="ar"/>
              </w:rPr>
              <w:t>服务期内结合医院需求及应用场景，提供相关配套的研发服务，并基于研发成果提供维护服务。</w:t>
            </w:r>
          </w:p>
        </w:tc>
      </w:tr>
      <w:bookmarkEnd w:id="2"/>
      <w:bookmarkEnd w:id="3"/>
    </w:tbl>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系统运行的安全性和稳定性是业务系统正常运行的重要保障。在系统设计和建设中要符合国家有关信息安全方面的法律、法规及技术要求，强化信息安全管理，制定和完善相关的应急处理预案，保证系统稳定运行。</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（二）系统应建立数据备份和恢复机制，确保数据丢失时可以及时恢复。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（三）系统需支持在高并发大数据量情况下的运行效率和稳定性。本系统作为医院信息化系统中的关键业务系统之一，系统的稳定性和可靠性将关系到整个医院经营管理日常工作。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接口费用：成交供应商在项目系统上线前应完成与第三方系统接口对接，因对接产生的一切费用由成交供应商承担。对接接口方式、标准必须按采购人要求，上述内容所产生的费用均包含在响应报价内，不再另行收取其他费用。</w:t>
      </w:r>
      <w:r>
        <w:rPr>
          <w:rFonts w:hint="eastAsia" w:ascii="宋体" w:hAnsi="宋体" w:eastAsia="宋体" w:cs="宋体"/>
          <w:b/>
          <w:bCs/>
          <w:color w:val="auto"/>
          <w:kern w:val="2"/>
          <w:sz w:val="24"/>
          <w:szCs w:val="24"/>
          <w:highlight w:val="none"/>
          <w:lang w:val="en-US" w:eastAsia="zh-CN" w:bidi="ar-SA"/>
        </w:rPr>
        <w:t>（提供承诺函并加盖供应商公章，格式见附件4）</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（一）服务内容： 医院</w:t>
      </w:r>
      <w:r>
        <w:rPr>
          <w:rFonts w:hint="eastAsia" w:ascii="宋体" w:hAnsi="宋体" w:eastAsia="宋体" w:cs="宋体"/>
          <w:color w:val="auto"/>
          <w:kern w:val="2"/>
          <w:sz w:val="24"/>
          <w:szCs w:val="24"/>
          <w:lang w:val="en-US" w:eastAsia="zh-CN" w:bidi="ar-SA"/>
        </w:rPr>
        <w:t>DRG系统CMI数据</w:t>
      </w:r>
      <w:r>
        <w:rPr>
          <w:rFonts w:hint="eastAsia" w:ascii="宋体" w:hAnsi="宋体" w:eastAsia="宋体" w:cs="宋体"/>
          <w:color w:val="auto"/>
          <w:sz w:val="24"/>
          <w:szCs w:val="24"/>
          <w:highlight w:val="none"/>
          <w:lang w:val="en-US" w:eastAsia="zh-CN"/>
        </w:rPr>
        <w:t>服务及交付DRG系统</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内容详</w:t>
      </w:r>
      <w:r>
        <w:rPr>
          <w:rFonts w:hint="eastAsia" w:ascii="宋体" w:hAnsi="宋体" w:eastAsia="宋体" w:cs="宋体"/>
          <w:b w:val="0"/>
          <w:bCs w:val="0"/>
          <w:color w:val="auto"/>
          <w:kern w:val="2"/>
          <w:sz w:val="24"/>
          <w:szCs w:val="24"/>
          <w:lang w:val="en-US" w:eastAsia="zh-CN" w:bidi="ar-SA"/>
        </w:rPr>
        <w:t>见</w:t>
      </w:r>
      <w:r>
        <w:rPr>
          <w:rFonts w:hint="eastAsia" w:ascii="宋体" w:hAnsi="宋体" w:eastAsia="宋体" w:cs="宋体"/>
          <w:b w:val="0"/>
          <w:bCs w:val="0"/>
          <w:color w:val="auto"/>
          <w:kern w:val="2"/>
          <w:sz w:val="24"/>
          <w:szCs w:val="24"/>
          <w:lang w:val="en-US" w:eastAsia="zh-Hans" w:bidi="ar-SA"/>
        </w:rPr>
        <w:t>附</w:t>
      </w:r>
      <w:r>
        <w:rPr>
          <w:rFonts w:hint="eastAsia" w:ascii="宋体" w:hAnsi="宋体" w:eastAsia="宋体" w:cs="宋体"/>
          <w:b w:val="0"/>
          <w:bCs w:val="0"/>
          <w:color w:val="auto"/>
          <w:kern w:val="2"/>
          <w:sz w:val="24"/>
          <w:szCs w:val="24"/>
          <w:lang w:val="en-US" w:eastAsia="zh-CN" w:bidi="ar-SA"/>
        </w:rPr>
        <w:t>表</w:t>
      </w:r>
      <w:r>
        <w:rPr>
          <w:rFonts w:hint="eastAsia" w:ascii="宋体" w:hAnsi="宋体" w:eastAsia="宋体" w:cs="宋体"/>
          <w:b w:val="0"/>
          <w:bCs w:val="0"/>
          <w:color w:val="auto"/>
          <w:sz w:val="24"/>
          <w:szCs w:val="24"/>
          <w:highlight w:val="none"/>
          <w:lang w:val="en-US" w:eastAsia="zh-CN"/>
        </w:rPr>
        <w:t>：DRG系统CMI数据服务需求</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、培训、支撑维护工作。</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（二）服务要求： 供应商须按照合同约定的服务内容，按时按质完成相关系统服务工作，做好系统培训及交付工作，支撑采购人合理使用本系统。</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(三)▲1年服务期结束后，供应商可向采购人交付</w:t>
      </w:r>
      <w:r>
        <w:rPr>
          <w:rFonts w:hint="eastAsia" w:ascii="宋体" w:hAnsi="宋体" w:eastAsia="宋体" w:cs="宋体"/>
          <w:color w:val="auto"/>
          <w:kern w:val="2"/>
          <w:sz w:val="24"/>
          <w:szCs w:val="24"/>
          <w:lang w:val="en-US" w:eastAsia="zh-CN" w:bidi="ar-SA"/>
        </w:rPr>
        <w:t>DRG-CMI数据服务系统</w:t>
      </w:r>
      <w:r>
        <w:rPr>
          <w:rFonts w:hint="eastAsia" w:ascii="宋体" w:hAnsi="宋体" w:eastAsia="宋体" w:cs="宋体"/>
          <w:color w:val="auto"/>
          <w:sz w:val="24"/>
          <w:szCs w:val="24"/>
          <w:highlight w:val="none"/>
          <w:lang w:val="en-US" w:eastAsia="zh-CN"/>
        </w:rPr>
        <w:t>的永久、合法、非独占使用权。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（一）报价要求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供应商的报价为完成项目所有服务内容的</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各项税费及合同实施过程中</w:t>
      </w:r>
      <w:r>
        <w:rPr>
          <w:rFonts w:hint="eastAsia" w:ascii="宋体" w:hAnsi="宋体" w:eastAsia="宋体" w:cs="宋体"/>
          <w:color w:val="auto"/>
          <w:sz w:val="24"/>
          <w:szCs w:val="24"/>
          <w:lang w:val="en-US" w:eastAsia="zh-CN"/>
        </w:rPr>
        <w:t>可预见和</w:t>
      </w:r>
      <w:r>
        <w:rPr>
          <w:rFonts w:hint="eastAsia" w:ascii="宋体" w:hAnsi="宋体" w:eastAsia="宋体" w:cs="宋体"/>
          <w:color w:val="auto"/>
          <w:sz w:val="24"/>
          <w:szCs w:val="24"/>
        </w:rPr>
        <w:t>不可预见</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合同履行期间采购人不再额外支付其他任何费用，</w:t>
      </w:r>
      <w:r>
        <w:rPr>
          <w:rFonts w:hint="eastAsia" w:ascii="宋体" w:hAnsi="宋体" w:eastAsia="宋体" w:cs="宋体"/>
          <w:color w:val="auto"/>
          <w:sz w:val="24"/>
          <w:szCs w:val="24"/>
          <w:lang w:val="en-US" w:eastAsia="zh-CN"/>
        </w:rPr>
        <w:t>合同价在</w:t>
      </w:r>
      <w:r>
        <w:rPr>
          <w:rFonts w:hint="eastAsia" w:ascii="宋体" w:hAnsi="宋体" w:eastAsia="宋体" w:cs="宋体"/>
          <w:color w:val="auto"/>
          <w:sz w:val="24"/>
          <w:szCs w:val="24"/>
        </w:rPr>
        <w:t>合同期内</w:t>
      </w:r>
      <w:r>
        <w:rPr>
          <w:rFonts w:hint="eastAsia" w:ascii="宋体" w:hAnsi="宋体" w:eastAsia="宋体" w:cs="宋体"/>
          <w:color w:val="auto"/>
          <w:sz w:val="24"/>
          <w:szCs w:val="24"/>
          <w:lang w:val="en-US" w:eastAsia="zh-CN"/>
        </w:rPr>
        <w:t>固定不变</w:t>
      </w:r>
      <w:r>
        <w:rPr>
          <w:rFonts w:hint="eastAsia" w:ascii="宋体" w:hAnsi="宋体" w:eastAsia="宋体" w:cs="宋体"/>
          <w:color w:val="auto"/>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付款方式</w:t>
      </w:r>
      <w:r>
        <w:rPr>
          <w:rFonts w:hint="eastAsia" w:ascii="宋体" w:hAnsi="宋体" w:eastAsia="宋体" w:cs="宋体"/>
          <w:b/>
          <w:bCs/>
          <w:color w:val="auto"/>
          <w:sz w:val="24"/>
          <w:szCs w:val="24"/>
          <w:lang w:val="en-US" w:eastAsia="zh-CN"/>
        </w:rPr>
        <w:t>及服务考核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以银行转账方式分两期支付</w:t>
      </w:r>
      <w:r>
        <w:rPr>
          <w:rFonts w:hint="eastAsia" w:asciiTheme="minorEastAsia" w:hAnsi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第一期付款：</w:t>
      </w:r>
      <w:r>
        <w:rPr>
          <w:rFonts w:hint="eastAsia" w:asciiTheme="minorEastAsia" w:hAnsiTheme="minorEastAsia" w:eastAsiaTheme="minorEastAsia" w:cstheme="minorEastAsia"/>
          <w:color w:val="auto"/>
          <w:sz w:val="24"/>
          <w:szCs w:val="24"/>
          <w:highlight w:val="none"/>
          <w:lang w:val="en-US" w:eastAsia="zh-CN"/>
        </w:rPr>
        <w:t>合同签订生效后6个月，成交供应商按合同要求完成本阶段相关工作</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color w:val="auto"/>
          <w:sz w:val="24"/>
          <w:szCs w:val="24"/>
          <w:highlight w:val="none"/>
          <w:lang w:val="en-US" w:eastAsia="zh-CN"/>
        </w:rPr>
        <w:t>通过</w:t>
      </w:r>
      <w:r>
        <w:rPr>
          <w:rFonts w:hint="eastAsia" w:asciiTheme="minorEastAsia" w:hAnsiTheme="minorEastAsia" w:eastAsiaTheme="minorEastAsia" w:cstheme="minorEastAsia"/>
          <w:color w:val="auto"/>
          <w:sz w:val="24"/>
          <w:szCs w:val="24"/>
          <w:lang w:val="en-US" w:eastAsia="zh-CN"/>
        </w:rPr>
        <w:t>采购人的</w:t>
      </w:r>
      <w:r>
        <w:rPr>
          <w:rFonts w:hint="eastAsia" w:asciiTheme="minorEastAsia" w:hAnsiTheme="minorEastAsia" w:eastAsiaTheme="minorEastAsia" w:cstheme="minorEastAsia"/>
          <w:color w:val="auto"/>
          <w:sz w:val="24"/>
          <w:szCs w:val="24"/>
          <w:highlight w:val="none"/>
          <w:lang w:val="en-US" w:eastAsia="zh-CN"/>
        </w:rPr>
        <w:t>验收合格</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lang w:val="en-US" w:eastAsia="zh-CN"/>
        </w:rPr>
        <w:t>采购人在收到成交供应商开具的合同总额的【40%】的正规发票后【60】日内向成交供应商支付该笔款项。</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服务验收方式：</w:t>
      </w:r>
      <w:r>
        <w:rPr>
          <w:rFonts w:hint="eastAsia" w:asciiTheme="minorEastAsia" w:hAnsiTheme="minorEastAsia" w:eastAsiaTheme="minorEastAsia" w:cstheme="minorEastAsia"/>
          <w:color w:val="auto"/>
          <w:sz w:val="24"/>
          <w:szCs w:val="24"/>
          <w:highlight w:val="none"/>
        </w:rPr>
        <w:t>经</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lang w:val="en-US" w:eastAsia="zh-CN"/>
        </w:rPr>
        <w:t>验收合格支付</w:t>
      </w:r>
      <w:r>
        <w:rPr>
          <w:rFonts w:hint="eastAsia" w:asciiTheme="minorEastAsia" w:hAnsiTheme="minorEastAsia" w:eastAsiaTheme="minorEastAsia" w:cstheme="minorEastAsia"/>
          <w:color w:val="auto"/>
          <w:sz w:val="24"/>
          <w:szCs w:val="24"/>
          <w:lang w:val="en-US" w:eastAsia="zh-CN"/>
        </w:rPr>
        <w:t>第一期付款，</w:t>
      </w:r>
      <w:r>
        <w:rPr>
          <w:rFonts w:hint="eastAsia" w:asciiTheme="minorEastAsia" w:hAnsiTheme="minorEastAsia" w:eastAsiaTheme="minorEastAsia" w:cstheme="minorEastAsia"/>
          <w:color w:val="auto"/>
          <w:sz w:val="24"/>
          <w:szCs w:val="24"/>
        </w:rPr>
        <w:t>若验收不合格</w:t>
      </w:r>
      <w:r>
        <w:rPr>
          <w:rFonts w:hint="eastAsia" w:asciiTheme="minorEastAsia" w:hAnsiTheme="minorEastAsia" w:eastAsiaTheme="minorEastAsia" w:cstheme="minorEastAsia"/>
          <w:color w:val="auto"/>
          <w:kern w:val="28"/>
          <w:sz w:val="24"/>
          <w:szCs w:val="24"/>
          <w:highlight w:val="none"/>
          <w:lang w:val="en-US" w:eastAsia="zh-CN"/>
        </w:rPr>
        <w:t>给予7个自然日限期整改，</w:t>
      </w:r>
      <w:r>
        <w:rPr>
          <w:rFonts w:hint="eastAsia" w:asciiTheme="minorEastAsia" w:hAnsiTheme="minorEastAsia" w:eastAsiaTheme="minorEastAsia" w:cstheme="minorEastAsia"/>
          <w:color w:val="auto"/>
          <w:sz w:val="24"/>
          <w:szCs w:val="24"/>
        </w:rPr>
        <w:t>再次验收不合格</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rPr>
        <w:t>有权解除合同并要求</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承担违约责任。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第二期付款：</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按合同要求完成本服务相关工作，</w:t>
      </w:r>
      <w:r>
        <w:rPr>
          <w:rFonts w:hint="eastAsia" w:asciiTheme="minorEastAsia" w:hAnsi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lang w:val="en-US" w:eastAsia="zh-CN"/>
        </w:rPr>
        <w:t>合同到期后</w:t>
      </w:r>
      <w:r>
        <w:rPr>
          <w:rFonts w:hint="eastAsia" w:asciiTheme="minorEastAsia" w:hAnsiTheme="minorEastAsia" w:cstheme="minorEastAsia"/>
          <w:color w:val="auto"/>
          <w:sz w:val="24"/>
          <w:szCs w:val="24"/>
          <w:lang w:val="en-US" w:eastAsia="zh-CN"/>
        </w:rPr>
        <w:t>1个月内由采购人组织</w:t>
      </w:r>
      <w:r>
        <w:rPr>
          <w:rFonts w:hint="eastAsia" w:asciiTheme="minorEastAsia" w:hAnsiTheme="minorEastAsia" w:eastAsiaTheme="minorEastAsia" w:cstheme="minorEastAsia"/>
          <w:color w:val="auto"/>
          <w:sz w:val="24"/>
          <w:szCs w:val="24"/>
          <w:lang w:val="en-US" w:eastAsia="zh-CN"/>
        </w:rPr>
        <w:t>服务考核评级</w:t>
      </w:r>
      <w:r>
        <w:rPr>
          <w:rFonts w:hint="eastAsia" w:asciiTheme="minorEastAsia" w:hAnsiTheme="minorEastAsia" w:cstheme="minorEastAsia"/>
          <w:color w:val="auto"/>
          <w:sz w:val="24"/>
          <w:szCs w:val="24"/>
          <w:lang w:val="en-US" w:eastAsia="zh-CN"/>
        </w:rPr>
        <w:t>，考核评级结果和第二期付款比例挂钩，第二期付款基数为</w:t>
      </w:r>
      <w:r>
        <w:rPr>
          <w:rFonts w:hint="eastAsia" w:asciiTheme="minorEastAsia" w:hAnsiTheme="minorEastAsia" w:eastAsiaTheme="minorEastAsia" w:cstheme="minorEastAsia"/>
          <w:color w:val="auto"/>
          <w:sz w:val="24"/>
          <w:szCs w:val="24"/>
          <w:lang w:val="en-US" w:eastAsia="zh-CN"/>
        </w:rPr>
        <w:t>合同总</w:t>
      </w:r>
      <w:r>
        <w:rPr>
          <w:rFonts w:hint="eastAsia" w:asciiTheme="minorEastAsia" w:hAnsiTheme="minorEastAsia" w:cstheme="minorEastAsia"/>
          <w:color w:val="auto"/>
          <w:sz w:val="24"/>
          <w:szCs w:val="24"/>
          <w:lang w:val="en-US" w:eastAsia="zh-CN"/>
        </w:rPr>
        <w:t>额</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经</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考核评级后【3】个工作日内，</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向</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提供</w:t>
      </w:r>
      <w:r>
        <w:rPr>
          <w:rFonts w:hint="eastAsia" w:asciiTheme="minorEastAsia" w:hAnsiTheme="minorEastAsia" w:cstheme="minorEastAsia"/>
          <w:color w:val="auto"/>
          <w:sz w:val="24"/>
          <w:szCs w:val="24"/>
          <w:lang w:val="en-US" w:eastAsia="zh-CN"/>
        </w:rPr>
        <w:t>支付金额等额</w:t>
      </w:r>
      <w:r>
        <w:rPr>
          <w:rFonts w:hint="eastAsia" w:asciiTheme="minorEastAsia" w:hAnsiTheme="minorEastAsia" w:eastAsiaTheme="minorEastAsia" w:cstheme="minorEastAsia"/>
          <w:color w:val="auto"/>
          <w:sz w:val="24"/>
          <w:szCs w:val="24"/>
          <w:lang w:val="en-US" w:eastAsia="zh-CN"/>
        </w:rPr>
        <w:t>的正规发票，</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在收到</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正规发票【60】日内向</w:t>
      </w:r>
      <w:r>
        <w:rPr>
          <w:rFonts w:hint="eastAsia" w:asciiTheme="minorEastAsia" w:hAnsi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lang w:val="en-US" w:eastAsia="zh-CN"/>
        </w:rPr>
        <w:t>支付</w:t>
      </w:r>
      <w:r>
        <w:rPr>
          <w:rFonts w:hint="eastAsia" w:ascii="宋体" w:hAnsi="宋体" w:eastAsia="宋体" w:cs="宋体"/>
          <w:color w:val="auto"/>
          <w:sz w:val="24"/>
          <w:szCs w:val="24"/>
          <w:lang w:val="en-US" w:eastAsia="zh-CN"/>
        </w:rPr>
        <w:t>该笔款项</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服务考核评级方式：</w:t>
      </w:r>
      <w:r>
        <w:rPr>
          <w:rFonts w:hint="eastAsia" w:asciiTheme="minorEastAsia" w:hAnsiTheme="minorEastAsia" w:cstheme="minorEastAsia"/>
          <w:color w:val="auto"/>
          <w:sz w:val="24"/>
          <w:szCs w:val="24"/>
          <w:lang w:val="en-US" w:eastAsia="zh-CN"/>
        </w:rPr>
        <w:t>考核</w:t>
      </w:r>
      <w:r>
        <w:rPr>
          <w:rFonts w:hint="eastAsia" w:asciiTheme="minorEastAsia" w:hAnsiTheme="minorEastAsia" w:eastAsiaTheme="minorEastAsia" w:cstheme="minorEastAsia"/>
          <w:color w:val="auto"/>
          <w:sz w:val="24"/>
          <w:szCs w:val="24"/>
          <w:lang w:val="en-US" w:eastAsia="zh-CN"/>
        </w:rPr>
        <w:t>供应商提供给采购人的年度患者DRG入组与</w:t>
      </w:r>
      <w:r>
        <w:rPr>
          <w:rFonts w:hint="eastAsia" w:asciiTheme="minorEastAsia" w:hAnsiTheme="minorEastAsia" w:cstheme="minorEastAsia"/>
          <w:color w:val="auto"/>
          <w:sz w:val="24"/>
          <w:szCs w:val="24"/>
          <w:lang w:val="en-US" w:eastAsia="zh-CN"/>
        </w:rPr>
        <w:t>广东省</w:t>
      </w:r>
      <w:r>
        <w:rPr>
          <w:rFonts w:hint="eastAsia" w:asciiTheme="minorEastAsia" w:hAnsiTheme="minorEastAsia" w:eastAsiaTheme="minorEastAsia" w:cstheme="minorEastAsia"/>
          <w:color w:val="auto"/>
          <w:sz w:val="24"/>
          <w:szCs w:val="24"/>
          <w:lang w:val="en-US" w:eastAsia="zh-CN"/>
        </w:rPr>
        <w:t>卫</w:t>
      </w:r>
      <w:r>
        <w:rPr>
          <w:rFonts w:hint="eastAsia" w:asciiTheme="minorEastAsia" w:hAnsiTheme="minorEastAsia" w:cstheme="minorEastAsia"/>
          <w:color w:val="auto"/>
          <w:sz w:val="24"/>
          <w:szCs w:val="24"/>
          <w:lang w:val="en-US" w:eastAsia="zh-CN"/>
        </w:rPr>
        <w:t>生</w:t>
      </w:r>
      <w:r>
        <w:rPr>
          <w:rFonts w:hint="eastAsia" w:asciiTheme="minorEastAsia" w:hAnsiTheme="minorEastAsia" w:eastAsiaTheme="minorEastAsia" w:cstheme="minorEastAsia"/>
          <w:color w:val="auto"/>
          <w:sz w:val="24"/>
          <w:szCs w:val="24"/>
          <w:lang w:val="en-US" w:eastAsia="zh-CN"/>
        </w:rPr>
        <w:t>健</w:t>
      </w:r>
      <w:r>
        <w:rPr>
          <w:rFonts w:hint="eastAsia" w:asciiTheme="minorEastAsia" w:hAnsiTheme="minorEastAsia" w:cstheme="minorEastAsia"/>
          <w:color w:val="auto"/>
          <w:sz w:val="24"/>
          <w:szCs w:val="24"/>
          <w:lang w:val="en-US" w:eastAsia="zh-CN"/>
        </w:rPr>
        <w:t>康统计信息网络直报系统反馈</w:t>
      </w:r>
      <w:r>
        <w:rPr>
          <w:rFonts w:hint="eastAsia" w:asciiTheme="minorEastAsia" w:hAnsiTheme="minorEastAsia" w:eastAsiaTheme="minorEastAsia" w:cstheme="minorEastAsia"/>
          <w:color w:val="auto"/>
          <w:sz w:val="24"/>
          <w:szCs w:val="24"/>
          <w:lang w:val="en-US" w:eastAsia="zh-CN"/>
        </w:rPr>
        <w:t>的患者DRG入组是否一致，按符合率评级，具体如下：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(1)评级A：DRG入组符合率≥95%，</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lang w:val="en-US" w:eastAsia="zh-CN"/>
        </w:rPr>
        <w:t>比例100%。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(2)评级B：DRG入组符合率≥90%，</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lang w:val="en-US" w:eastAsia="zh-CN"/>
        </w:rPr>
        <w:t>支付比例70%。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(3)评级C：DRG入组符合率≥80%，</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lang w:val="en-US" w:eastAsia="zh-CN"/>
        </w:rPr>
        <w:t>支付比例50%。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(4)评级D：DRG入组符合率＜80%，不支付</w:t>
      </w:r>
      <w:r>
        <w:rPr>
          <w:rFonts w:hint="eastAsia" w:asciiTheme="minorEastAsia" w:hAnsiTheme="minorEastAsia" w:cstheme="minorEastAsia"/>
          <w:color w:val="auto"/>
          <w:sz w:val="24"/>
          <w:szCs w:val="24"/>
          <w:lang w:val="en-US" w:eastAsia="zh-CN"/>
        </w:rPr>
        <w:t>第二</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cstheme="minorEastAsia"/>
          <w:color w:val="auto"/>
          <w:sz w:val="24"/>
          <w:szCs w:val="24"/>
          <w:lang w:val="en-US" w:eastAsia="zh-CN"/>
        </w:rPr>
        <w:t>款项</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2、因采购人使用的是财政性资金，采购人申请汇款审批之日视为付款之日，若审批延迟则相应费用到账延迟，且不视为采购人违约。  </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（三）售后服务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default" w:eastAsiaTheme="minorEastAsia"/>
          <w:color w:val="auto"/>
          <w:sz w:val="24"/>
          <w:szCs w:val="24"/>
          <w:lang w:val="en-US" w:eastAsia="zh-CN"/>
        </w:rPr>
      </w:pPr>
      <w:r>
        <w:rPr>
          <w:rFonts w:hint="eastAsia" w:ascii="宋体" w:hAnsi="宋体" w:eastAsia="宋体" w:cs="宋体"/>
          <w:color w:val="auto"/>
          <w:sz w:val="24"/>
          <w:szCs w:val="24"/>
          <w:lang w:val="en-US" w:eastAsia="zh-CN"/>
        </w:rPr>
        <w:t>提供 7×24 小时热线电话、远程网络、现场等服务方式。热线电话和远程网络提供技术咨询和即时服务，1小时内给予明确的响应并提出解决方案；现场服务适用于排解重大故障，应在接到医院服务请求后 3 小时内到达现场解决。</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val="en-US"/>
        </w:rPr>
        <w:t>）</w:t>
      </w:r>
      <w:r>
        <w:rPr>
          <w:rFonts w:hint="eastAsia" w:ascii="宋体" w:hAnsi="宋体" w:eastAsia="宋体" w:cs="宋体"/>
          <w:b/>
          <w:bCs/>
          <w:color w:val="auto"/>
          <w:sz w:val="24"/>
          <w:szCs w:val="24"/>
          <w:lang w:val="en-US" w:eastAsia="zh-CN"/>
        </w:rPr>
        <w:t>违约责任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1、供应商如不履行合同条款或不按合同约定履行条款的其它情况，均属违约，由供应商承担违约责任，赔偿因其违约造成的损失，并支付合同价款总额 5 %的违约金。</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2、由于供应商的原因，导致双方签订的合同终止，供应商因此而遭受的损失，将由供应商独立承担，采购人对此不负任何责任，也不作任何赔偿。</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3、供应商未能按时完成合同项目内容，每有1次，须向采购人支付合同金额的1%的违约金。供应商超过5次不能履行合同约定的，采购人有权终止合同且供应商向采购人支付合同金额 10% 的违约金。</w:t>
      </w:r>
    </w:p>
    <w:p>
      <w:pPr>
        <w:pageBreakBefore w:val="0"/>
        <w:kinsoku/>
        <w:wordWrap/>
        <w:overflowPunct/>
        <w:topLinePunct w:val="0"/>
        <w:autoSpaceDE/>
        <w:autoSpaceDN/>
        <w:bidi w:val="0"/>
        <w:adjustRightInd/>
        <w:snapToGrid/>
        <w:spacing w:line="560" w:lineRule="exact"/>
        <w:ind w:firstLine="422" w:firstLineChars="200"/>
        <w:jc w:val="left"/>
        <w:textAlignment w:val="auto"/>
        <w:rPr>
          <w:rFonts w:hint="eastAsia" w:ascii="Times New Roman" w:hAnsi="Times New Roman" w:eastAsia="宋体" w:cs="Times New Roman"/>
          <w:b/>
          <w:bCs/>
          <w:color w:val="auto"/>
          <w:sz w:val="21"/>
          <w:szCs w:val="21"/>
          <w:highlight w:val="none"/>
          <w:lang w:eastAsia="zh-CN"/>
        </w:rPr>
      </w:pPr>
    </w:p>
    <w:p>
      <w:pPr>
        <w:pStyle w:val="2"/>
        <w:pageBreakBefore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color w:val="auto"/>
          <w:sz w:val="21"/>
          <w:szCs w:val="21"/>
          <w:highlight w:val="none"/>
        </w:rPr>
      </w:pPr>
    </w:p>
    <w:p>
      <w:pPr>
        <w:pStyle w:val="8"/>
        <w:pageBreakBefore w:val="0"/>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eastAsia="宋体" w:cs="Times New Roman"/>
          <w:b/>
          <w:bCs/>
          <w:color w:val="auto"/>
          <w:sz w:val="21"/>
          <w:szCs w:val="21"/>
          <w:highlight w:val="none"/>
        </w:rPr>
        <w:sectPr>
          <w:headerReference r:id="rId4" w:type="first"/>
          <w:footerReference r:id="rId7" w:type="first"/>
          <w:footerReference r:id="rId5" w:type="default"/>
          <w:headerReference r:id="rId3" w:type="even"/>
          <w:footerReference r:id="rId6" w:type="even"/>
          <w:pgSz w:w="11906" w:h="16838"/>
          <w:pgMar w:top="1100" w:right="1519" w:bottom="1100" w:left="1519" w:header="851" w:footer="992" w:gutter="0"/>
          <w:pgNumType w:fmt="decimal"/>
          <w:cols w:space="425" w:num="1"/>
          <w:docGrid w:type="lines" w:linePitch="312" w:charSpace="0"/>
        </w:sect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附表1：</w:t>
      </w:r>
      <w:r>
        <w:rPr>
          <w:rFonts w:hint="eastAsia" w:ascii="宋体" w:hAnsi="宋体" w:eastAsia="宋体" w:cs="宋体"/>
          <w:b/>
          <w:bCs/>
          <w:i w:val="0"/>
          <w:iCs w:val="0"/>
          <w:color w:val="auto"/>
          <w:kern w:val="0"/>
          <w:sz w:val="28"/>
          <w:szCs w:val="28"/>
          <w:u w:val="none"/>
          <w:lang w:val="en-US" w:eastAsia="zh-CN" w:bidi="ar"/>
        </w:rPr>
        <w:t>中山市黄圃人民医院DRG系统CMI数据服务验收表</w:t>
      </w:r>
    </w:p>
    <w:tbl>
      <w:tblPr>
        <w:tblStyle w:val="15"/>
        <w:tblW w:w="14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2"/>
        <w:gridCol w:w="507"/>
        <w:gridCol w:w="4693"/>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 w:hRule="atLeast"/>
        </w:trPr>
        <w:tc>
          <w:tcPr>
            <w:tcW w:w="14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中山市黄圃人民医院DRG系统CMI数据服务验收表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验收项目及内容</w:t>
            </w:r>
          </w:p>
        </w:tc>
        <w:tc>
          <w:tcPr>
            <w:tcW w:w="5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中山市黄圃人民医院DRG系统CMI数据服务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系统上线/运维服务时间</w:t>
            </w:r>
          </w:p>
        </w:tc>
        <w:tc>
          <w:tcPr>
            <w:tcW w:w="5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合同标的</w:t>
            </w:r>
          </w:p>
        </w:tc>
        <w:tc>
          <w:tcPr>
            <w:tcW w:w="5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DRG系统CMI数据服务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合同金额</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合同签订时间</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服务厂商</w:t>
            </w:r>
          </w:p>
        </w:tc>
        <w:tc>
          <w:tcPr>
            <w:tcW w:w="5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联系人</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联系电话</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14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Style w:val="26"/>
                <w:color w:val="auto"/>
                <w:lang w:val="en-US" w:eastAsia="zh-CN" w:bidi="ar"/>
              </w:rPr>
              <w:br w:type="textWrapping"/>
            </w:r>
            <w:r>
              <w:rPr>
                <w:rStyle w:val="26"/>
                <w:color w:val="auto"/>
                <w:lang w:val="en-US" w:eastAsia="zh-CN" w:bidi="ar"/>
              </w:rPr>
              <w:t>医院采购部门（＿＿＿＿＿＿）验收意见：</w:t>
            </w:r>
            <w:r>
              <w:rPr>
                <w:rStyle w:val="27"/>
                <w:color w:val="auto"/>
                <w:lang w:val="en-US" w:eastAsia="zh-CN" w:bidi="ar"/>
              </w:rPr>
              <w:t>本项目于</w:t>
            </w:r>
            <w:r>
              <w:rPr>
                <w:rStyle w:val="28"/>
                <w:color w:val="auto"/>
                <w:lang w:val="en-US" w:eastAsia="zh-CN" w:bidi="ar"/>
              </w:rPr>
              <w:t xml:space="preserve">             </w:t>
            </w:r>
            <w:r>
              <w:rPr>
                <w:rStyle w:val="27"/>
                <w:color w:val="auto"/>
                <w:lang w:val="en-US" w:eastAsia="zh-CN" w:bidi="ar"/>
              </w:rPr>
              <w:t>采购，于</w:t>
            </w:r>
            <w:r>
              <w:rPr>
                <w:rStyle w:val="28"/>
                <w:color w:val="auto"/>
                <w:lang w:val="en-US" w:eastAsia="zh-CN" w:bidi="ar"/>
              </w:rPr>
              <w:t xml:space="preserve">            </w:t>
            </w:r>
            <w:r>
              <w:rPr>
                <w:rStyle w:val="27"/>
                <w:color w:val="auto"/>
                <w:lang w:val="en-US" w:eastAsia="zh-CN" w:bidi="ar"/>
              </w:rPr>
              <w:t>完成上线，</w:t>
            </w:r>
            <w:r>
              <w:rPr>
                <w:rStyle w:val="29"/>
                <w:color w:val="auto"/>
                <w:lang w:val="en-US" w:eastAsia="zh-CN" w:bidi="ar"/>
              </w:rPr>
              <w:br w:type="textWrapping"/>
            </w:r>
            <w:r>
              <w:rPr>
                <w:rStyle w:val="29"/>
                <w:color w:val="auto"/>
                <w:lang w:val="en-US" w:eastAsia="zh-CN" w:bidi="ar"/>
              </w:rPr>
              <w:br w:type="textWrapping"/>
            </w:r>
            <w:r>
              <w:rPr>
                <w:rStyle w:val="29"/>
                <w:color w:val="auto"/>
                <w:lang w:val="en-US" w:eastAsia="zh-CN" w:bidi="ar"/>
              </w:rPr>
              <w:t xml:space="preserve"> </w:t>
            </w:r>
            <w:r>
              <w:rPr>
                <w:rStyle w:val="29"/>
                <w:color w:val="auto"/>
                <w:lang w:val="en-US" w:eastAsia="zh-CN" w:bidi="ar"/>
              </w:rPr>
              <w:br w:type="textWrapping"/>
            </w:r>
            <w:r>
              <w:rPr>
                <w:rStyle w:val="27"/>
                <w:color w:val="auto"/>
                <w:lang w:val="en-US" w:eastAsia="zh-CN" w:bidi="ar"/>
              </w:rPr>
              <w:t>工程师/技术员：             负责人：                    科室盖章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1" w:hRule="atLeast"/>
        </w:trPr>
        <w:tc>
          <w:tcPr>
            <w:tcW w:w="14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Style w:val="26"/>
                <w:color w:val="auto"/>
                <w:lang w:val="en-US" w:eastAsia="zh-CN" w:bidi="ar"/>
              </w:rPr>
              <w:br w:type="textWrapping"/>
            </w:r>
            <w:r>
              <w:rPr>
                <w:rStyle w:val="26"/>
                <w:color w:val="auto"/>
                <w:lang w:val="en-US" w:eastAsia="zh-CN" w:bidi="ar"/>
              </w:rPr>
              <w:t>医院使用部门（＿＿＿＿＿＿）验收意见：</w:t>
            </w:r>
            <w:r>
              <w:rPr>
                <w:rStyle w:val="27"/>
                <w:color w:val="auto"/>
                <w:lang w:val="en-US" w:eastAsia="zh-CN" w:bidi="ar"/>
              </w:rPr>
              <w:br w:type="textWrapping"/>
            </w:r>
            <w:r>
              <w:rPr>
                <w:rStyle w:val="27"/>
                <w:color w:val="auto"/>
                <w:lang w:val="en-US" w:eastAsia="zh-CN" w:bidi="ar"/>
              </w:rPr>
              <w:t>负责人：                                               科室盖章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5" w:hRule="atLeast"/>
        </w:trPr>
        <w:tc>
          <w:tcPr>
            <w:tcW w:w="14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Style w:val="26"/>
                <w:color w:val="auto"/>
                <w:lang w:val="en-US" w:eastAsia="zh-CN" w:bidi="ar"/>
              </w:rPr>
              <w:br w:type="textWrapping"/>
            </w:r>
            <w:r>
              <w:rPr>
                <w:rStyle w:val="26"/>
                <w:color w:val="auto"/>
                <w:lang w:val="en-US" w:eastAsia="zh-CN" w:bidi="ar"/>
              </w:rPr>
              <w:t>服务厂商意见：</w:t>
            </w:r>
            <w:r>
              <w:rPr>
                <w:rStyle w:val="27"/>
                <w:color w:val="auto"/>
                <w:lang w:val="en-US" w:eastAsia="zh-CN" w:bidi="ar"/>
              </w:rPr>
              <w:br w:type="textWrapping"/>
            </w:r>
            <w:r>
              <w:rPr>
                <w:rStyle w:val="29"/>
                <w:color w:val="auto"/>
                <w:lang w:val="en-US" w:eastAsia="zh-CN" w:bidi="ar"/>
              </w:rPr>
              <w:br w:type="textWrapping"/>
            </w:r>
            <w:r>
              <w:rPr>
                <w:rStyle w:val="29"/>
                <w:color w:val="auto"/>
                <w:lang w:val="en-US" w:eastAsia="zh-CN" w:bidi="ar"/>
              </w:rPr>
              <w:br w:type="textWrapping"/>
            </w:r>
            <w:r>
              <w:rPr>
                <w:rStyle w:val="27"/>
                <w:color w:val="auto"/>
                <w:lang w:val="en-US" w:eastAsia="zh-CN" w:bidi="ar"/>
              </w:rPr>
              <w:t>负责人：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7" w:hRule="atLeast"/>
        </w:trPr>
        <w:tc>
          <w:tcPr>
            <w:tcW w:w="14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Style w:val="26"/>
                <w:color w:val="auto"/>
                <w:lang w:val="en-US" w:eastAsia="zh-CN" w:bidi="ar"/>
              </w:rPr>
              <w:t>备注：</w:t>
            </w:r>
            <w:r>
              <w:rPr>
                <w:rStyle w:val="26"/>
                <w:color w:val="auto"/>
                <w:lang w:val="en-US" w:eastAsia="zh-CN" w:bidi="ar"/>
              </w:rPr>
              <w:br w:type="textWrapping"/>
            </w:r>
            <w:r>
              <w:rPr>
                <w:rStyle w:val="27"/>
                <w:color w:val="auto"/>
                <w:lang w:val="en-US" w:eastAsia="zh-CN" w:bidi="ar"/>
              </w:rPr>
              <w:t>1、此验收表为数据服务结算重要依据之一，必须在认真验收的基础上填写，不得用铅笔签批；</w:t>
            </w:r>
            <w:r>
              <w:rPr>
                <w:rStyle w:val="27"/>
                <w:color w:val="auto"/>
                <w:lang w:val="en-US" w:eastAsia="zh-CN" w:bidi="ar"/>
              </w:rPr>
              <w:br w:type="textWrapping"/>
            </w:r>
            <w:r>
              <w:rPr>
                <w:rStyle w:val="27"/>
                <w:color w:val="auto"/>
                <w:lang w:val="en-US" w:eastAsia="zh-CN" w:bidi="ar"/>
              </w:rPr>
              <w:t>2、采购人员不得参加验收；</w:t>
            </w:r>
            <w:r>
              <w:rPr>
                <w:rStyle w:val="27"/>
                <w:color w:val="auto"/>
                <w:lang w:val="en-US" w:eastAsia="zh-CN" w:bidi="ar"/>
              </w:rPr>
              <w:br w:type="textWrapping"/>
            </w:r>
            <w:r>
              <w:rPr>
                <w:rStyle w:val="27"/>
                <w:color w:val="auto"/>
                <w:lang w:val="en-US" w:eastAsia="zh-CN" w:bidi="ar"/>
              </w:rPr>
              <w:t>3、软件说明书归使用部门保管；</w:t>
            </w:r>
            <w:r>
              <w:rPr>
                <w:rStyle w:val="27"/>
                <w:color w:val="auto"/>
                <w:lang w:val="en-US" w:eastAsia="zh-CN" w:bidi="ar"/>
              </w:rPr>
              <w:br w:type="textWrapping"/>
            </w:r>
            <w:r>
              <w:rPr>
                <w:rStyle w:val="27"/>
                <w:color w:val="auto"/>
                <w:lang w:val="en-US" w:eastAsia="zh-CN" w:bidi="ar"/>
              </w:rPr>
              <w:t>4、视情况增加。</w:t>
            </w:r>
          </w:p>
        </w:tc>
      </w:tr>
    </w:tbl>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highlight w:val="none"/>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highlight w:val="none"/>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附表2：</w:t>
      </w:r>
      <w:r>
        <w:rPr>
          <w:rFonts w:hint="eastAsia" w:ascii="宋体" w:hAnsi="宋体" w:eastAsia="宋体" w:cs="宋体"/>
          <w:b/>
          <w:bCs/>
          <w:i w:val="0"/>
          <w:iCs w:val="0"/>
          <w:color w:val="auto"/>
          <w:kern w:val="0"/>
          <w:sz w:val="28"/>
          <w:szCs w:val="28"/>
          <w:u w:val="none"/>
          <w:lang w:val="en-US" w:eastAsia="zh-CN" w:bidi="ar"/>
        </w:rPr>
        <w:t>中山市黄圃人民医院DRG系统CMI数据服务考核评级表</w:t>
      </w:r>
    </w:p>
    <w:tbl>
      <w:tblPr>
        <w:tblStyle w:val="15"/>
        <w:tblW w:w="14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00"/>
        <w:gridCol w:w="2805"/>
        <w:gridCol w:w="1215"/>
        <w:gridCol w:w="1215"/>
        <w:gridCol w:w="1440"/>
        <w:gridCol w:w="1215"/>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99" w:hRule="atLeast"/>
        </w:trPr>
        <w:tc>
          <w:tcPr>
            <w:tcW w:w="140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中山市黄圃人民医院DRG系统CMI数据服务考核评级表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验收项目及内容</w:t>
            </w:r>
          </w:p>
        </w:tc>
        <w:tc>
          <w:tcPr>
            <w:tcW w:w="1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中山市黄圃人民医院DRG系统CMI数据服务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系统上线/运维服务时间</w:t>
            </w:r>
          </w:p>
        </w:tc>
        <w:tc>
          <w:tcPr>
            <w:tcW w:w="1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合同标的</w:t>
            </w:r>
          </w:p>
        </w:tc>
        <w:tc>
          <w:tcPr>
            <w:tcW w:w="1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DRG系统CMI数据服务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合同金额</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合同签订时间</w:t>
            </w:r>
          </w:p>
        </w:tc>
        <w:tc>
          <w:tcPr>
            <w:tcW w:w="6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服务厂商</w:t>
            </w:r>
          </w:p>
        </w:tc>
        <w:tc>
          <w:tcPr>
            <w:tcW w:w="1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联系人</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联系电话</w:t>
            </w:r>
          </w:p>
        </w:tc>
        <w:tc>
          <w:tcPr>
            <w:tcW w:w="6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返回</w:t>
            </w:r>
            <w:r>
              <w:rPr>
                <w:rFonts w:hint="eastAsia" w:ascii="宋体" w:hAnsi="宋体" w:eastAsia="宋体" w:cs="宋体"/>
                <w:i w:val="0"/>
                <w:iCs w:val="0"/>
                <w:color w:val="auto"/>
                <w:kern w:val="0"/>
                <w:sz w:val="32"/>
                <w:szCs w:val="32"/>
                <w:u w:val="none"/>
                <w:lang w:val="en-US" w:eastAsia="zh-CN" w:bidi="ar"/>
              </w:rPr>
              <w:br w:type="textWrapping"/>
            </w:r>
            <w:r>
              <w:rPr>
                <w:rFonts w:hint="eastAsia" w:ascii="宋体" w:hAnsi="宋体" w:eastAsia="宋体" w:cs="宋体"/>
                <w:i w:val="0"/>
                <w:iCs w:val="0"/>
                <w:color w:val="auto"/>
                <w:kern w:val="0"/>
                <w:sz w:val="32"/>
                <w:szCs w:val="32"/>
                <w:u w:val="none"/>
                <w:lang w:val="en-US" w:eastAsia="zh-CN" w:bidi="ar"/>
              </w:rPr>
              <w:t>诊断相关组数</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乙方提供</w:t>
            </w:r>
            <w:r>
              <w:rPr>
                <w:rFonts w:hint="eastAsia" w:ascii="宋体" w:hAnsi="宋体" w:eastAsia="宋体" w:cs="宋体"/>
                <w:i w:val="0"/>
                <w:iCs w:val="0"/>
                <w:color w:val="auto"/>
                <w:kern w:val="0"/>
                <w:sz w:val="32"/>
                <w:szCs w:val="32"/>
                <w:u w:val="none"/>
                <w:lang w:val="en-US" w:eastAsia="zh-CN" w:bidi="ar"/>
              </w:rPr>
              <w:br w:type="textWrapping"/>
            </w:r>
            <w:r>
              <w:rPr>
                <w:rFonts w:hint="eastAsia" w:ascii="宋体" w:hAnsi="宋体" w:eastAsia="宋体" w:cs="宋体"/>
                <w:i w:val="0"/>
                <w:iCs w:val="0"/>
                <w:color w:val="auto"/>
                <w:kern w:val="0"/>
                <w:sz w:val="32"/>
                <w:szCs w:val="32"/>
                <w:u w:val="none"/>
                <w:lang w:val="en-US" w:eastAsia="zh-CN" w:bidi="ar"/>
              </w:rPr>
              <w:t>诊断相关组数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符合率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返回</w:t>
            </w:r>
            <w:r>
              <w:rPr>
                <w:rFonts w:hint="eastAsia" w:ascii="宋体" w:hAnsi="宋体" w:eastAsia="宋体" w:cs="宋体"/>
                <w:i w:val="0"/>
                <w:iCs w:val="0"/>
                <w:color w:val="auto"/>
                <w:kern w:val="0"/>
                <w:sz w:val="32"/>
                <w:szCs w:val="32"/>
                <w:u w:val="none"/>
                <w:lang w:val="en-US" w:eastAsia="zh-CN" w:bidi="ar"/>
              </w:rPr>
              <w:br w:type="textWrapping"/>
            </w:r>
            <w:r>
              <w:rPr>
                <w:rFonts w:hint="eastAsia" w:ascii="宋体" w:hAnsi="宋体" w:eastAsia="宋体" w:cs="宋体"/>
                <w:i w:val="0"/>
                <w:iCs w:val="0"/>
                <w:color w:val="auto"/>
                <w:kern w:val="0"/>
                <w:sz w:val="32"/>
                <w:szCs w:val="32"/>
                <w:u w:val="none"/>
                <w:lang w:val="en-US" w:eastAsia="zh-CN" w:bidi="ar"/>
              </w:rPr>
              <w:t>CMI值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乙方提供</w:t>
            </w:r>
            <w:r>
              <w:rPr>
                <w:rFonts w:hint="eastAsia" w:ascii="宋体" w:hAnsi="宋体" w:eastAsia="宋体" w:cs="宋体"/>
                <w:i w:val="0"/>
                <w:iCs w:val="0"/>
                <w:color w:val="auto"/>
                <w:kern w:val="0"/>
                <w:sz w:val="32"/>
                <w:szCs w:val="32"/>
                <w:u w:val="none"/>
                <w:lang w:val="en-US" w:eastAsia="zh-CN" w:bidi="ar"/>
              </w:rPr>
              <w:br w:type="textWrapping"/>
            </w:r>
            <w:r>
              <w:rPr>
                <w:rFonts w:hint="eastAsia" w:ascii="宋体" w:hAnsi="宋体" w:eastAsia="宋体" w:cs="宋体"/>
                <w:i w:val="0"/>
                <w:iCs w:val="0"/>
                <w:color w:val="auto"/>
                <w:kern w:val="0"/>
                <w:sz w:val="32"/>
                <w:szCs w:val="32"/>
                <w:u w:val="none"/>
                <w:lang w:val="en-US" w:eastAsia="zh-CN" w:bidi="ar"/>
              </w:rPr>
              <w:t>CMI值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符合率</w:t>
            </w: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c>
          <w:tcPr>
            <w:tcW w:w="342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trPr>
        <w:tc>
          <w:tcPr>
            <w:tcW w:w="1401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br w:type="textWrapping"/>
            </w:r>
            <w:r>
              <w:rPr>
                <w:rFonts w:hint="eastAsia" w:ascii="宋体" w:hAnsi="宋体" w:eastAsia="宋体" w:cs="宋体"/>
                <w:b/>
                <w:bCs/>
                <w:i w:val="0"/>
                <w:iCs w:val="0"/>
                <w:color w:val="auto"/>
                <w:kern w:val="0"/>
                <w:sz w:val="32"/>
                <w:szCs w:val="32"/>
                <w:u w:val="none"/>
                <w:lang w:val="en-US" w:eastAsia="zh-CN" w:bidi="ar"/>
              </w:rPr>
              <w:t>医院采购部门（＿＿＿＿＿＿）考核评级意见：</w:t>
            </w:r>
            <w:r>
              <w:rPr>
                <w:rStyle w:val="30"/>
                <w:color w:val="auto"/>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Style w:val="30"/>
                <w:color w:val="auto"/>
                <w:lang w:val="en-US" w:eastAsia="zh-CN" w:bidi="ar"/>
              </w:rPr>
              <w:t>负责人：                          科室盖章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trPr>
        <w:tc>
          <w:tcPr>
            <w:tcW w:w="1401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br w:type="textWrapping"/>
            </w:r>
            <w:r>
              <w:rPr>
                <w:rFonts w:hint="eastAsia" w:ascii="宋体" w:hAnsi="宋体" w:eastAsia="宋体" w:cs="宋体"/>
                <w:b/>
                <w:bCs/>
                <w:i w:val="0"/>
                <w:iCs w:val="0"/>
                <w:color w:val="auto"/>
                <w:kern w:val="0"/>
                <w:sz w:val="32"/>
                <w:szCs w:val="32"/>
                <w:u w:val="none"/>
                <w:lang w:val="en-US" w:eastAsia="zh-CN" w:bidi="ar"/>
              </w:rPr>
              <w:t>医院使用部门（＿＿＿＿＿＿）考核评级意见：</w:t>
            </w:r>
            <w:r>
              <w:rPr>
                <w:rStyle w:val="30"/>
                <w:color w:val="auto"/>
                <w:lang w:val="en-US" w:eastAsia="zh-CN" w:bidi="ar"/>
              </w:rPr>
              <w:br w:type="textWrapping"/>
            </w:r>
            <w:r>
              <w:rPr>
                <w:rStyle w:val="30"/>
                <w:color w:val="auto"/>
                <w:lang w:val="en-US" w:eastAsia="zh-CN" w:bidi="ar"/>
              </w:rPr>
              <w:br w:type="textWrapping"/>
            </w:r>
            <w:r>
              <w:rPr>
                <w:rStyle w:val="30"/>
                <w:color w:val="auto"/>
                <w:lang w:val="en-US" w:eastAsia="zh-CN" w:bidi="ar"/>
              </w:rPr>
              <w:br w:type="textWrapping"/>
            </w:r>
            <w:r>
              <w:rPr>
                <w:rStyle w:val="30"/>
                <w:color w:val="auto"/>
                <w:lang w:val="en-US" w:eastAsia="zh-CN" w:bidi="ar"/>
              </w:rPr>
              <w:t>负责人：                          科室盖章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trPr>
        <w:tc>
          <w:tcPr>
            <w:tcW w:w="1401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br w:type="textWrapping"/>
            </w:r>
            <w:r>
              <w:rPr>
                <w:rFonts w:hint="eastAsia" w:ascii="宋体" w:hAnsi="宋体" w:eastAsia="宋体" w:cs="宋体"/>
                <w:b/>
                <w:bCs/>
                <w:i w:val="0"/>
                <w:iCs w:val="0"/>
                <w:color w:val="auto"/>
                <w:kern w:val="0"/>
                <w:sz w:val="32"/>
                <w:szCs w:val="32"/>
                <w:u w:val="none"/>
                <w:lang w:val="en-US" w:eastAsia="zh-CN" w:bidi="ar"/>
              </w:rPr>
              <w:t>服务公司意见：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Style w:val="30"/>
                <w:color w:val="auto"/>
                <w:lang w:val="en-US" w:eastAsia="zh-CN" w:bidi="ar"/>
              </w:rPr>
              <w:t>负责人：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0" w:hRule="atLeast"/>
        </w:trPr>
        <w:tc>
          <w:tcPr>
            <w:tcW w:w="1401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备注：</w:t>
            </w:r>
            <w:r>
              <w:rPr>
                <w:rFonts w:hint="eastAsia" w:ascii="宋体" w:hAnsi="宋体" w:eastAsia="宋体" w:cs="宋体"/>
                <w:b/>
                <w:bCs/>
                <w:i w:val="0"/>
                <w:iCs w:val="0"/>
                <w:color w:val="auto"/>
                <w:kern w:val="0"/>
                <w:sz w:val="32"/>
                <w:szCs w:val="32"/>
                <w:u w:val="none"/>
                <w:lang w:val="en-US" w:eastAsia="zh-CN" w:bidi="ar"/>
              </w:rPr>
              <w:br w:type="textWrapping"/>
            </w:r>
            <w:r>
              <w:rPr>
                <w:rStyle w:val="30"/>
                <w:color w:val="auto"/>
                <w:lang w:val="en-US" w:eastAsia="zh-CN" w:bidi="ar"/>
              </w:rPr>
              <w:t>1、此评级表为数据服务结算重要依据之一，必须在认真评级的基础上填写，不得用铅笔签批；</w:t>
            </w:r>
            <w:r>
              <w:rPr>
                <w:rStyle w:val="30"/>
                <w:color w:val="auto"/>
                <w:lang w:val="en-US" w:eastAsia="zh-CN" w:bidi="ar"/>
              </w:rPr>
              <w:br w:type="textWrapping"/>
            </w:r>
            <w:r>
              <w:rPr>
                <w:rStyle w:val="30"/>
                <w:color w:val="auto"/>
                <w:lang w:val="en-US" w:eastAsia="zh-CN" w:bidi="ar"/>
              </w:rPr>
              <w:t>2、采购人员不得参加评级；</w:t>
            </w:r>
            <w:r>
              <w:rPr>
                <w:rStyle w:val="30"/>
                <w:color w:val="auto"/>
                <w:lang w:val="en-US" w:eastAsia="zh-CN" w:bidi="ar"/>
              </w:rPr>
              <w:br w:type="textWrapping"/>
            </w:r>
            <w:r>
              <w:rPr>
                <w:rStyle w:val="30"/>
                <w:color w:val="auto"/>
                <w:lang w:val="en-US" w:eastAsia="zh-CN" w:bidi="ar"/>
              </w:rPr>
              <w:t>3、考核评级表归使用部门保管；</w:t>
            </w:r>
            <w:r>
              <w:rPr>
                <w:rStyle w:val="30"/>
                <w:color w:val="auto"/>
                <w:lang w:val="en-US" w:eastAsia="zh-CN" w:bidi="ar"/>
              </w:rPr>
              <w:br w:type="textWrapping"/>
            </w:r>
            <w:r>
              <w:rPr>
                <w:rStyle w:val="30"/>
                <w:color w:val="auto"/>
                <w:lang w:val="en-US" w:eastAsia="zh-CN" w:bidi="ar"/>
              </w:rPr>
              <w:t>4、视情况增加。</w:t>
            </w:r>
            <w:r>
              <w:rPr>
                <w:rStyle w:val="30"/>
                <w:color w:val="auto"/>
                <w:lang w:val="en-US" w:eastAsia="zh-CN" w:bidi="ar"/>
              </w:rPr>
              <w:br w:type="textWrapping"/>
            </w:r>
            <w:r>
              <w:rPr>
                <w:rStyle w:val="30"/>
                <w:color w:val="auto"/>
                <w:lang w:val="en-US" w:eastAsia="zh-CN" w:bidi="ar"/>
              </w:rPr>
              <w:t>5、按符合率评级，具体如下：</w:t>
            </w:r>
            <w:r>
              <w:rPr>
                <w:rStyle w:val="30"/>
                <w:color w:val="auto"/>
                <w:lang w:val="en-US" w:eastAsia="zh-CN" w:bidi="ar"/>
              </w:rPr>
              <w:br w:type="textWrapping"/>
            </w:r>
            <w:r>
              <w:rPr>
                <w:rStyle w:val="30"/>
                <w:color w:val="auto"/>
                <w:lang w:val="en-US" w:eastAsia="zh-CN" w:bidi="ar"/>
              </w:rPr>
              <w:t>(1)评级A：DRG入组符合率≥95%，第二期付款比例100%。</w:t>
            </w:r>
            <w:r>
              <w:rPr>
                <w:rStyle w:val="30"/>
                <w:color w:val="auto"/>
                <w:lang w:val="en-US" w:eastAsia="zh-CN" w:bidi="ar"/>
              </w:rPr>
              <w:br w:type="textWrapping"/>
            </w:r>
            <w:r>
              <w:rPr>
                <w:rStyle w:val="30"/>
                <w:color w:val="auto"/>
                <w:lang w:val="en-US" w:eastAsia="zh-CN" w:bidi="ar"/>
              </w:rPr>
              <w:t>(2)评级B：DRG入组符合率≥90%，第二期付款支付比例70%。</w:t>
            </w:r>
            <w:r>
              <w:rPr>
                <w:rStyle w:val="30"/>
                <w:color w:val="auto"/>
                <w:lang w:val="en-US" w:eastAsia="zh-CN" w:bidi="ar"/>
              </w:rPr>
              <w:br w:type="textWrapping"/>
            </w:r>
            <w:r>
              <w:rPr>
                <w:rStyle w:val="30"/>
                <w:color w:val="auto"/>
                <w:lang w:val="en-US" w:eastAsia="zh-CN" w:bidi="ar"/>
              </w:rPr>
              <w:t>(3)评级C：DRG入组符合率≥80%，第二期付款支付比例50%。</w:t>
            </w:r>
            <w:r>
              <w:rPr>
                <w:rStyle w:val="30"/>
                <w:color w:val="auto"/>
                <w:lang w:val="en-US" w:eastAsia="zh-CN" w:bidi="ar"/>
              </w:rPr>
              <w:br w:type="textWrapping"/>
            </w:r>
            <w:r>
              <w:rPr>
                <w:rStyle w:val="30"/>
                <w:color w:val="auto"/>
                <w:lang w:val="en-US" w:eastAsia="zh-CN" w:bidi="ar"/>
              </w:rPr>
              <w:t>(4)评级D：DRG入组符合率＜80%，不支付第二期款项。</w:t>
            </w:r>
          </w:p>
        </w:tc>
      </w:tr>
    </w:tbl>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附表3：</w:t>
      </w:r>
      <w:r>
        <w:rPr>
          <w:rFonts w:hint="eastAsia" w:ascii="宋体" w:hAnsi="宋体" w:eastAsia="宋体" w:cs="宋体"/>
          <w:b/>
          <w:bCs/>
          <w:color w:val="auto"/>
          <w:kern w:val="2"/>
          <w:sz w:val="28"/>
          <w:szCs w:val="28"/>
          <w:lang w:val="en-US" w:eastAsia="zh-CN" w:bidi="ar-SA"/>
        </w:rPr>
        <w:t>DRG系统CMI数据服务需求</w:t>
      </w:r>
    </w:p>
    <w:tbl>
      <w:tblPr>
        <w:tblStyle w:val="16"/>
        <w:tblW w:w="15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264"/>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201" w:type="dxa"/>
            <w:vAlign w:val="center"/>
          </w:tcPr>
          <w:p>
            <w:pPr>
              <w:pStyle w:val="6"/>
              <w:keepNext w:val="0"/>
              <w:keepLines w:val="0"/>
              <w:pageBreakBefore w:val="0"/>
              <w:widowControl w:val="0"/>
              <w:kinsoku/>
              <w:wordWrap/>
              <w:overflowPunct/>
              <w:topLinePunct w:val="0"/>
              <w:autoSpaceDE/>
              <w:autoSpaceDN/>
              <w:bidi w:val="0"/>
              <w:adjustRightInd/>
              <w:snapToGrid/>
              <w:spacing w:before="160" w:after="160" w:line="560" w:lineRule="exact"/>
              <w:ind w:firstLine="0" w:firstLineChars="0"/>
              <w:jc w:val="center"/>
              <w:textAlignment w:val="auto"/>
              <w:outlineLvl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功能</w:t>
            </w:r>
            <w:r>
              <w:rPr>
                <w:rFonts w:hint="eastAsia" w:asciiTheme="minorEastAsia" w:hAnsiTheme="minorEastAsia" w:cstheme="minorEastAsia"/>
                <w:b/>
                <w:bCs/>
                <w:color w:val="auto"/>
                <w:sz w:val="24"/>
                <w:szCs w:val="24"/>
                <w:vertAlign w:val="baseline"/>
                <w:lang w:val="en-US" w:eastAsia="zh-CN"/>
              </w:rPr>
              <w:t>要求</w:t>
            </w:r>
          </w:p>
        </w:tc>
        <w:tc>
          <w:tcPr>
            <w:tcW w:w="13846" w:type="dxa"/>
            <w:gridSpan w:val="2"/>
            <w:vAlign w:val="center"/>
          </w:tcPr>
          <w:p>
            <w:pPr>
              <w:pStyle w:val="6"/>
              <w:keepNext w:val="0"/>
              <w:keepLines w:val="0"/>
              <w:pageBreakBefore w:val="0"/>
              <w:widowControl w:val="0"/>
              <w:kinsoku/>
              <w:wordWrap/>
              <w:overflowPunct/>
              <w:topLinePunct w:val="0"/>
              <w:autoSpaceDE/>
              <w:autoSpaceDN/>
              <w:bidi w:val="0"/>
              <w:adjustRightInd/>
              <w:snapToGrid/>
              <w:spacing w:before="160" w:after="160" w:line="560" w:lineRule="exact"/>
              <w:ind w:firstLine="0" w:firstLineChars="0"/>
              <w:jc w:val="center"/>
              <w:textAlignment w:val="auto"/>
              <w:outlineLvl w:val="0"/>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具体</w:t>
            </w:r>
            <w:r>
              <w:rPr>
                <w:rFonts w:hint="eastAsia" w:asciiTheme="minorEastAsia" w:hAnsiTheme="minorEastAsia" w:eastAsiaTheme="minorEastAsia" w:cstheme="minorEastAsia"/>
                <w:b/>
                <w:bCs/>
                <w:color w:val="auto"/>
                <w:sz w:val="24"/>
                <w:szCs w:val="24"/>
                <w:vertAlign w:val="baseline"/>
                <w:lang w:val="en-US" w:eastAsia="zh-CN"/>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数据采集</w:t>
            </w: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数据采集是系统的基础性功能，DRG评价是基于医院病案管理系统中经质控的住院病案首页数据作为数据分析依据</w:t>
            </w:r>
            <w:r>
              <w:rPr>
                <w:rFonts w:hint="eastAsia" w:asciiTheme="minorEastAsia" w:hAnsiTheme="minorEastAsia" w:cstheme="minorEastAsia"/>
                <w:color w:val="auto"/>
                <w:sz w:val="24"/>
                <w:szCs w:val="24"/>
                <w:vertAlign w:val="baseline"/>
                <w:lang w:val="en-US" w:eastAsia="zh-CN"/>
              </w:rPr>
              <w:t>。</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rPr>
              <w:t>病案首页数据</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：支持与院内病案系统</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HIS系统</w:t>
            </w:r>
            <w:r>
              <w:rPr>
                <w:rFonts w:hint="eastAsia" w:asciiTheme="minorEastAsia" w:hAnsiTheme="minorEastAsia" w:eastAsiaTheme="minorEastAsia" w:cstheme="minorEastAsia"/>
                <w:color w:val="auto"/>
                <w:sz w:val="24"/>
                <w:szCs w:val="24"/>
              </w:rPr>
              <w:t>对接，实现自动</w:t>
            </w:r>
            <w:r>
              <w:rPr>
                <w:rFonts w:hint="eastAsia" w:asciiTheme="minorEastAsia" w:hAnsiTheme="minorEastAsia" w:eastAsiaTheme="minorEastAsia" w:cstheme="minorEastAsia"/>
                <w:color w:val="auto"/>
                <w:sz w:val="24"/>
                <w:szCs w:val="24"/>
                <w:lang w:val="en-US" w:eastAsia="zh-CN"/>
              </w:rPr>
              <w:t>同步</w:t>
            </w:r>
            <w:r>
              <w:rPr>
                <w:rFonts w:hint="eastAsia" w:asciiTheme="minorEastAsia" w:hAnsiTheme="minorEastAsia" w:eastAsiaTheme="minorEastAsia" w:cstheme="minorEastAsia"/>
                <w:color w:val="auto"/>
                <w:sz w:val="24"/>
                <w:szCs w:val="24"/>
              </w:rPr>
              <w:t>功能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查看所有</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文件的信息，并可下载已</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的数据文件，方便医院进行查找和核对。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rPr>
              <w:t>病案首页数据清洗：系统通过ETL工具自动对不合格数据进行清洗及校验。并对不合格病案数据进行自动提示。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数据量查询：按月进行统计，可查询院内病案首页的数据量。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DRG分组服务</w:t>
            </w:r>
          </w:p>
        </w:tc>
        <w:tc>
          <w:tcPr>
            <w:tcW w:w="5264" w:type="dxa"/>
            <w:vMerge w:val="restar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C</w:t>
            </w:r>
            <w:r>
              <w:rPr>
                <w:rFonts w:hint="eastAsia" w:asciiTheme="minorEastAsia" w:hAnsiTheme="minorEastAsia" w:cstheme="minorEastAsia"/>
                <w:color w:val="auto"/>
                <w:sz w:val="24"/>
                <w:szCs w:val="24"/>
                <w:vertAlign w:val="baseline"/>
                <w:lang w:val="en-US" w:eastAsia="zh-CN"/>
              </w:rPr>
              <w:t>HS</w:t>
            </w:r>
            <w:r>
              <w:rPr>
                <w:rFonts w:hint="eastAsia" w:asciiTheme="minorEastAsia" w:hAnsiTheme="minorEastAsia" w:eastAsiaTheme="minorEastAsia" w:cstheme="minorEastAsia"/>
                <w:color w:val="auto"/>
                <w:sz w:val="24"/>
                <w:szCs w:val="24"/>
                <w:vertAlign w:val="baseline"/>
                <w:lang w:val="en-US" w:eastAsia="zh-CN"/>
              </w:rPr>
              <w:t>_DR</w:t>
            </w:r>
            <w:r>
              <w:rPr>
                <w:rFonts w:hint="eastAsia" w:asciiTheme="minorEastAsia" w:hAnsiTheme="minorEastAsia" w:cstheme="minorEastAsia"/>
                <w:color w:val="auto"/>
                <w:sz w:val="24"/>
                <w:szCs w:val="24"/>
                <w:vertAlign w:val="baseline"/>
                <w:lang w:val="en-US" w:eastAsia="zh-CN"/>
              </w:rPr>
              <w:t>G及CN_DRG</w:t>
            </w:r>
            <w:r>
              <w:rPr>
                <w:rFonts w:hint="eastAsia" w:asciiTheme="minorEastAsia" w:hAnsiTheme="minorEastAsia" w:eastAsiaTheme="minorEastAsia" w:cstheme="minorEastAsia"/>
                <w:color w:val="auto"/>
                <w:sz w:val="24"/>
                <w:szCs w:val="24"/>
                <w:vertAlign w:val="baseline"/>
                <w:lang w:val="en-US" w:eastAsia="zh-CN"/>
              </w:rPr>
              <w:t>分组</w:t>
            </w:r>
            <w:r>
              <w:rPr>
                <w:rFonts w:hint="eastAsia" w:asciiTheme="minorEastAsia" w:hAnsiTheme="minorEastAsia" w:cstheme="minorEastAsia"/>
                <w:color w:val="auto"/>
                <w:sz w:val="24"/>
                <w:szCs w:val="24"/>
                <w:vertAlign w:val="baseline"/>
                <w:lang w:val="en-US" w:eastAsia="zh-CN"/>
              </w:rPr>
              <w:t>测算</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eastAsia="宋体" w:asciiTheme="minorEastAsia" w:hAnsi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vertAlign w:val="baseline"/>
                <w:lang w:val="en-US" w:eastAsia="zh-CN"/>
              </w:rPr>
              <w:t>部署院内分组器，提供稳定的分组服务，可以针对</w:t>
            </w:r>
            <w:r>
              <w:rPr>
                <w:rFonts w:hint="eastAsia" w:asciiTheme="minorEastAsia" w:hAnsiTheme="minorEastAsia" w:cstheme="minorEastAsia"/>
                <w:color w:val="auto"/>
                <w:sz w:val="24"/>
                <w:szCs w:val="24"/>
                <w:vertAlign w:val="baseline"/>
                <w:lang w:val="en-US" w:eastAsia="zh-CN"/>
              </w:rPr>
              <w:t>在院患者（HIS数据源）、出院患者（病案数据源）</w:t>
            </w:r>
            <w:r>
              <w:rPr>
                <w:rFonts w:hint="eastAsia" w:asciiTheme="minorEastAsia" w:hAnsiTheme="minorEastAsia" w:eastAsiaTheme="minorEastAsia" w:cstheme="minorEastAsia"/>
                <w:color w:val="auto"/>
                <w:sz w:val="24"/>
                <w:szCs w:val="24"/>
                <w:vertAlign w:val="baseline"/>
                <w:lang w:val="en-US" w:eastAsia="zh-CN"/>
              </w:rPr>
              <w:t>进行预分组，提前预测疾病所属DRG组。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eastAsia="宋体" w:asciiTheme="minorEastAsia" w:hAnsiTheme="minorEastAsia" w:cstheme="minorEastAsia"/>
                <w:color w:val="auto"/>
                <w:sz w:val="24"/>
                <w:szCs w:val="24"/>
                <w:vertAlign w:val="baseline"/>
                <w:lang w:val="en-US" w:eastAsia="zh-CN"/>
              </w:rPr>
            </w:pPr>
            <w:bookmarkStart w:id="4" w:name="_Toc61512736"/>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未入组病例分析</w:t>
            </w:r>
            <w:bookmarkEnd w:id="4"/>
            <w:r>
              <w:rPr>
                <w:rFonts w:hint="eastAsia" w:ascii="宋体" w:hAnsi="宋体" w:eastAsia="宋体" w:cs="宋体"/>
                <w:color w:val="auto"/>
                <w:sz w:val="24"/>
                <w:szCs w:val="24"/>
                <w:lang w:eastAsia="zh-CN"/>
              </w:rPr>
              <w:t>：通过系统批量逻辑校验功能，可根据维护的病案首页规则对首页错误进行提示，协助编码员对病案质量填写进行筛查。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lang w:val="en-US" w:eastAsia="zh-CN"/>
              </w:rPr>
              <w:t>在院/出院患者</w:t>
            </w: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vertAlign w:val="baseline"/>
                <w:lang w:val="en-US" w:eastAsia="zh-CN"/>
              </w:rPr>
              <w:t>DRG组合查询</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患者DRG入组测算</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标杆值平均费用、平均住院日、药占比、耗材比指标对比</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风险等级提醒</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支持保存多个入组方案</w:t>
            </w:r>
            <w:r>
              <w:rPr>
                <w:rFonts w:hint="eastAsia" w:asciiTheme="minorEastAsia" w:hAnsiTheme="minorEastAsia" w:cstheme="minorEastAsia"/>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lang w:val="en-US" w:eastAsia="zh-CN"/>
              </w:rPr>
              <w:t>在院患者DIP/DRG联动</w:t>
            </w: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cstheme="minorEastAsia"/>
                <w:color w:val="auto"/>
                <w:sz w:val="24"/>
                <w:szCs w:val="24"/>
                <w:vertAlign w:val="baseline"/>
                <w:lang w:val="en-US" w:eastAsia="zh-CN"/>
              </w:rPr>
              <w:t>支持接入在院患者的DIP入组结果，在同一个界面内展示当前患者的DIP入组、DRG入组信息，供临床关注DIP结余及RW权重。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DRG绩效评价</w:t>
            </w: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医疗能力</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系统支持根据的病案首页数据对全院数据DRG指标</w:t>
            </w:r>
            <w:r>
              <w:rPr>
                <w:rFonts w:hint="eastAsia" w:ascii="宋体" w:hAnsi="宋体" w:eastAsia="宋体" w:cs="宋体"/>
                <w:color w:val="auto"/>
                <w:sz w:val="24"/>
                <w:szCs w:val="24"/>
                <w:lang w:val="en-US" w:eastAsia="zh-CN"/>
              </w:rPr>
              <w:t>统计</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支持图形快速展示，管理者通过点选不同指标值进行快速切换。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支持图片下载导出功能。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科室/医生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收费病种数量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住院术种数量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DRG组数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总权重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CMI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时间消耗指数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费用消耗指数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低风险死亡率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异地疑难病例占比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CD型占比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支持同比、环比、标杆比等多种比较维度</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服务效率</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系统支持时间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科室/医生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CMI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药占比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耗材占比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DRG组标杆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差额</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支持各科室手术分析，对于科室开展手术以DRG维度进行评价分析，自动计算手术率、各科室手术平均难度情况。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权重分布分析：</w:t>
            </w:r>
            <w:r>
              <w:rPr>
                <w:rFonts w:hint="eastAsia" w:ascii="宋体" w:hAnsi="宋体" w:eastAsia="宋体" w:cs="宋体"/>
                <w:color w:val="auto"/>
                <w:sz w:val="24"/>
                <w:szCs w:val="24"/>
              </w:rPr>
              <w:t>RW(0-1.5)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RW(1.5-5)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RW(5-10)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RW(10+)</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三级手术例数、三级手术占比、四级手术例数、四级手术占比。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质量安全</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系统支持逻辑下钻，支持下钻到内部病区，对于内部科室进行评价。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支持以DRG指标及工作指标对各个内部科室、病区进行评价比对。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支持显示DRG组数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低风险死亡率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中低风险死亡率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非医嘱离院率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未治愈率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回原住地率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重返人数</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支持无风险组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中低风险组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中高风险组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高风险组</w:t>
            </w:r>
            <w:r>
              <w:rPr>
                <w:rFonts w:hint="eastAsia" w:ascii="宋体" w:hAnsi="宋体" w:eastAsia="宋体" w:cs="宋体"/>
                <w:color w:val="auto"/>
                <w:sz w:val="24"/>
                <w:szCs w:val="24"/>
                <w:lang w:val="en-US" w:eastAsia="zh-CN"/>
              </w:rPr>
              <w:t>等死亡率统计。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支持DRG组、风险值、权重系数、出院人数、死亡病例数、病死率、例均费用(元)、平均住院日、抗菌药物使用人数占比、重返人数占比。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学科建设</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系统支持逻辑下钻，支持下钻到主诊组，对于</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内部各个诊疗组进行评价。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支持显示DRG组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权重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药占比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耗材占比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支持统计主要诊断大类(MDC)、入组病例数、入组占比、源盖DRG组数、覆盖占比、总权重、CMI、例均费用、平均住院日、低风险组死亡率、死亡率。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支持统计科室、未入组病例数、入组病例数、DRG组数、内科组、外科组、非手术操作组。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系统支持医师间进行按指标比对。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C</w:t>
            </w:r>
            <w:r>
              <w:rPr>
                <w:rFonts w:hint="eastAsia" w:asciiTheme="minorEastAsia" w:hAnsiTheme="minorEastAsia" w:cstheme="minorEastAsia"/>
                <w:color w:val="auto"/>
                <w:sz w:val="24"/>
                <w:szCs w:val="24"/>
                <w:vertAlign w:val="baseline"/>
                <w:lang w:val="en-US" w:eastAsia="zh-CN"/>
              </w:rPr>
              <w:t>HS</w:t>
            </w:r>
            <w:r>
              <w:rPr>
                <w:rFonts w:hint="eastAsia" w:asciiTheme="minorEastAsia" w:hAnsiTheme="minorEastAsia" w:eastAsiaTheme="minorEastAsia" w:cstheme="minorEastAsia"/>
                <w:color w:val="auto"/>
                <w:sz w:val="24"/>
                <w:szCs w:val="24"/>
                <w:vertAlign w:val="baseline"/>
                <w:lang w:val="en-US" w:eastAsia="zh-CN"/>
              </w:rPr>
              <w:t>_DR</w:t>
            </w:r>
            <w:r>
              <w:rPr>
                <w:rFonts w:hint="eastAsia" w:asciiTheme="minorEastAsia" w:hAnsiTheme="minorEastAsia" w:cstheme="minorEastAsia"/>
                <w:color w:val="auto"/>
                <w:sz w:val="24"/>
                <w:szCs w:val="24"/>
                <w:vertAlign w:val="baseline"/>
                <w:lang w:val="en-US" w:eastAsia="zh-CN"/>
              </w:rPr>
              <w:t>G及CN_DRG</w:t>
            </w:r>
            <w:r>
              <w:rPr>
                <w:rFonts w:hint="eastAsia" w:asciiTheme="minorEastAsia" w:hAnsiTheme="minorEastAsia" w:eastAsiaTheme="minorEastAsia" w:cstheme="minorEastAsia"/>
                <w:color w:val="auto"/>
                <w:sz w:val="24"/>
                <w:szCs w:val="24"/>
                <w:vertAlign w:val="baseline"/>
                <w:lang w:val="en-US" w:eastAsia="zh-CN"/>
              </w:rPr>
              <w:t>分组</w:t>
            </w:r>
            <w:r>
              <w:rPr>
                <w:rFonts w:hint="eastAsia" w:asciiTheme="minorEastAsia" w:hAnsiTheme="minorEastAsia" w:cstheme="minorEastAsia"/>
                <w:color w:val="auto"/>
                <w:sz w:val="24"/>
                <w:szCs w:val="24"/>
                <w:vertAlign w:val="baseline"/>
                <w:lang w:val="en-US" w:eastAsia="zh-CN"/>
              </w:rPr>
              <w:t>测算</w:t>
            </w:r>
            <w:r>
              <w:rPr>
                <w:rFonts w:hint="eastAsia" w:asciiTheme="minorEastAsia" w:hAnsiTheme="minorEastAsia" w:eastAsiaTheme="minorEastAsia" w:cstheme="minorEastAsia"/>
                <w:color w:val="auto"/>
                <w:sz w:val="24"/>
                <w:szCs w:val="24"/>
                <w:vertAlign w:val="baseline"/>
                <w:lang w:val="en-US" w:eastAsia="zh-CN"/>
              </w:rPr>
              <w:t>入组费用</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支持科室费用分析、科室费用分布。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w:t>
            </w:r>
            <w:r>
              <w:rPr>
                <w:rFonts w:hint="eastAsia" w:ascii="宋体" w:hAnsi="宋体" w:eastAsia="宋体" w:cs="宋体"/>
                <w:color w:val="auto"/>
                <w:sz w:val="24"/>
                <w:szCs w:val="24"/>
                <w:lang w:val="en-US" w:eastAsia="zh-CN"/>
              </w:rPr>
              <w:t>病例</w:t>
            </w:r>
            <w:r>
              <w:rPr>
                <w:rFonts w:hint="eastAsia" w:ascii="宋体" w:hAnsi="宋体" w:eastAsia="宋体" w:cs="宋体"/>
                <w:color w:val="auto"/>
                <w:sz w:val="24"/>
                <w:szCs w:val="24"/>
              </w:rPr>
              <w:t>费用与</w:t>
            </w:r>
            <w:r>
              <w:rPr>
                <w:rFonts w:hint="eastAsia" w:ascii="宋体" w:hAnsi="宋体" w:eastAsia="宋体" w:cs="宋体"/>
                <w:color w:val="auto"/>
                <w:sz w:val="24"/>
                <w:szCs w:val="24"/>
                <w:lang w:val="en-US" w:eastAsia="zh-CN"/>
              </w:rPr>
              <w:t>病组</w:t>
            </w:r>
            <w:r>
              <w:rPr>
                <w:rFonts w:hint="eastAsia" w:ascii="宋体" w:hAnsi="宋体" w:eastAsia="宋体" w:cs="宋体"/>
                <w:color w:val="auto"/>
                <w:sz w:val="24"/>
                <w:szCs w:val="24"/>
              </w:rPr>
              <w:t>标杆</w:t>
            </w:r>
            <w:r>
              <w:rPr>
                <w:rFonts w:hint="eastAsia" w:ascii="宋体" w:hAnsi="宋体" w:eastAsia="宋体" w:cs="宋体"/>
                <w:color w:val="auto"/>
                <w:sz w:val="24"/>
                <w:szCs w:val="24"/>
                <w:lang w:val="en-US" w:eastAsia="zh-CN"/>
              </w:rPr>
              <w:t>数值</w:t>
            </w:r>
            <w:r>
              <w:rPr>
                <w:rFonts w:hint="eastAsia" w:ascii="宋体" w:hAnsi="宋体" w:eastAsia="宋体" w:cs="宋体"/>
                <w:color w:val="auto"/>
                <w:sz w:val="24"/>
                <w:szCs w:val="24"/>
              </w:rPr>
              <w:t>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支持与</w:t>
            </w:r>
            <w:r>
              <w:rPr>
                <w:rFonts w:hint="eastAsia" w:ascii="宋体" w:hAnsi="宋体" w:eastAsia="宋体" w:cs="宋体"/>
                <w:color w:val="auto"/>
                <w:sz w:val="24"/>
                <w:szCs w:val="24"/>
                <w:lang w:val="en-US" w:eastAsia="zh-CN"/>
              </w:rPr>
              <w:t>DIP</w:t>
            </w:r>
            <w:r>
              <w:rPr>
                <w:rFonts w:hint="eastAsia" w:ascii="宋体" w:hAnsi="宋体" w:eastAsia="宋体" w:cs="宋体"/>
                <w:color w:val="auto"/>
                <w:sz w:val="24"/>
                <w:szCs w:val="24"/>
              </w:rPr>
              <w:t>系统无缝对接，</w:t>
            </w:r>
            <w:r>
              <w:rPr>
                <w:rFonts w:hint="eastAsia" w:ascii="宋体" w:hAnsi="宋体" w:eastAsia="宋体" w:cs="宋体"/>
                <w:color w:val="auto"/>
                <w:sz w:val="24"/>
                <w:szCs w:val="24"/>
                <w:lang w:val="en-US" w:eastAsia="zh-CN"/>
              </w:rPr>
              <w:t>测算</w:t>
            </w:r>
            <w:r>
              <w:rPr>
                <w:rFonts w:hint="eastAsia" w:ascii="宋体" w:hAnsi="宋体" w:eastAsia="宋体" w:cs="宋体"/>
                <w:color w:val="auto"/>
                <w:sz w:val="24"/>
                <w:szCs w:val="24"/>
                <w:lang w:eastAsia="zh-CN"/>
              </w:rPr>
              <w:t>DRG</w:t>
            </w:r>
            <w:r>
              <w:rPr>
                <w:rFonts w:hint="eastAsia" w:ascii="宋体" w:hAnsi="宋体" w:eastAsia="宋体" w:cs="宋体"/>
                <w:color w:val="auto"/>
                <w:sz w:val="24"/>
                <w:szCs w:val="24"/>
                <w:lang w:val="en-US" w:eastAsia="zh-CN"/>
              </w:rPr>
              <w:t>组结余</w:t>
            </w:r>
            <w:r>
              <w:rPr>
                <w:rFonts w:hint="eastAsia" w:ascii="宋体" w:hAnsi="宋体" w:eastAsia="宋体" w:cs="宋体"/>
                <w:color w:val="auto"/>
                <w:sz w:val="24"/>
                <w:szCs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DRG病种监测</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系统支持按DRG病种监测。以病种角度分析全院各科室、病区、主诊组、医师覆盖情况。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支持按照相同DRG病组各科室、病区、主诊组、医师存在的差异。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支持分析不同DRG病组按不同指标存在的差异，有利于医院优化DRG病组。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系统设置</w:t>
            </w:r>
          </w:p>
        </w:tc>
        <w:tc>
          <w:tcPr>
            <w:tcW w:w="5264"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权限管理</w:t>
            </w:r>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支持按照权限将账户分配至临床科室，供临床科室调阅分析本科室费用构成及盈亏情况，追踪本科室问题病例。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bookmarkStart w:id="5" w:name="_Toc1315983307"/>
            <w:bookmarkStart w:id="6" w:name="_Toc4414734"/>
            <w:bookmarkStart w:id="7" w:name="_Toc516074407"/>
            <w:bookmarkStart w:id="8" w:name="_Toc545208369"/>
            <w:bookmarkStart w:id="9" w:name="_Toc61512741"/>
            <w:r>
              <w:rPr>
                <w:rFonts w:hint="eastAsia" w:ascii="宋体" w:hAnsi="宋体" w:eastAsia="宋体" w:cs="宋体"/>
                <w:color w:val="auto"/>
                <w:sz w:val="24"/>
                <w:szCs w:val="24"/>
              </w:rPr>
              <w:t>日志管理</w:t>
            </w:r>
            <w:bookmarkEnd w:id="5"/>
            <w:bookmarkEnd w:id="6"/>
            <w:bookmarkEnd w:id="7"/>
            <w:bookmarkEnd w:id="8"/>
            <w:bookmarkEnd w:id="9"/>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系统支持记录完备的日志，对于在编码过程中的操作在后台均有日志进行记录，保障操作过程有据可循。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01"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264" w:type="dxa"/>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bookmarkStart w:id="10" w:name="_Toc4414735"/>
            <w:bookmarkStart w:id="11" w:name="_Toc4336034"/>
            <w:bookmarkStart w:id="12" w:name="_Toc61512742"/>
            <w:bookmarkStart w:id="13" w:name="_Toc797360296"/>
            <w:r>
              <w:rPr>
                <w:rFonts w:hint="eastAsia" w:ascii="宋体" w:hAnsi="宋体" w:eastAsia="宋体" w:cs="宋体"/>
                <w:color w:val="auto"/>
                <w:sz w:val="24"/>
                <w:szCs w:val="24"/>
              </w:rPr>
              <w:t>系统设置</w:t>
            </w:r>
            <w:bookmarkEnd w:id="10"/>
            <w:bookmarkEnd w:id="11"/>
            <w:bookmarkEnd w:id="12"/>
            <w:bookmarkEnd w:id="13"/>
          </w:p>
        </w:tc>
        <w:tc>
          <w:tcPr>
            <w:tcW w:w="85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0"/>
                <w:sz w:val="24"/>
                <w:szCs w:val="24"/>
              </w:rPr>
              <w:t>系统支持维护医师信息，内部科室病房信息，</w:t>
            </w:r>
            <w:r>
              <w:rPr>
                <w:rFonts w:hint="eastAsia" w:ascii="宋体" w:hAnsi="宋体" w:eastAsia="宋体" w:cs="宋体"/>
                <w:color w:val="auto"/>
                <w:kern w:val="0"/>
                <w:sz w:val="24"/>
                <w:szCs w:val="24"/>
                <w:lang w:eastAsia="zh-CN"/>
              </w:rPr>
              <w:t>医院</w:t>
            </w:r>
            <w:r>
              <w:rPr>
                <w:rFonts w:hint="eastAsia" w:ascii="宋体" w:hAnsi="宋体" w:eastAsia="宋体" w:cs="宋体"/>
                <w:color w:val="auto"/>
                <w:kern w:val="0"/>
                <w:sz w:val="24"/>
                <w:szCs w:val="24"/>
              </w:rPr>
              <w:t>信息等。</w:t>
            </w:r>
          </w:p>
        </w:tc>
      </w:tr>
    </w:tbl>
    <w:p>
      <w:pPr>
        <w:pStyle w:val="20"/>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Times New Roman"/>
          <w:color w:val="auto"/>
          <w:szCs w:val="24"/>
        </w:rPr>
      </w:pPr>
    </w:p>
    <w:sectPr>
      <w:pgSz w:w="16838" w:h="11906" w:orient="landscape"/>
      <w:pgMar w:top="1519" w:right="1100" w:bottom="1519" w:left="11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82481"/>
    <w:multiLevelType w:val="singleLevel"/>
    <w:tmpl w:val="80882481"/>
    <w:lvl w:ilvl="0" w:tentative="0">
      <w:start w:val="1"/>
      <w:numFmt w:val="chineseCounting"/>
      <w:suff w:val="nothing"/>
      <w:lvlText w:val="%1、"/>
      <w:lvlJc w:val="left"/>
      <w:rPr>
        <w:rFonts w:hint="eastAsia"/>
      </w:rPr>
    </w:lvl>
  </w:abstractNum>
  <w:abstractNum w:abstractNumId="1">
    <w:nsid w:val="E97428CB"/>
    <w:multiLevelType w:val="singleLevel"/>
    <w:tmpl w:val="E97428CB"/>
    <w:lvl w:ilvl="0" w:tentative="0">
      <w:start w:val="2"/>
      <w:numFmt w:val="chineseCounting"/>
      <w:suff w:val="nothing"/>
      <w:lvlText w:val="（%1）"/>
      <w:lvlJc w:val="left"/>
      <w:rPr>
        <w:rFonts w:hint="eastAsia"/>
      </w:rPr>
    </w:lvl>
  </w:abstractNum>
  <w:abstractNum w:abstractNumId="2">
    <w:nsid w:val="0E8A5C3A"/>
    <w:multiLevelType w:val="multilevel"/>
    <w:tmpl w:val="0E8A5C3A"/>
    <w:lvl w:ilvl="0" w:tentative="0">
      <w:start w:val="1"/>
      <w:numFmt w:val="chineseCounting"/>
      <w:suff w:val="nothing"/>
      <w:lvlText w:val="（%1）"/>
      <w:lvlJc w:val="left"/>
      <w:rPr>
        <w:rFonts w:hint="eastAsia"/>
      </w:rPr>
    </w:lvl>
    <w:lvl w:ilvl="1" w:tentative="0">
      <w:start w:val="1"/>
      <w:numFmt w:val="decimal"/>
      <w:suff w:val="nothing"/>
      <w:lvlText w:val="%2．"/>
      <w:lvlJc w:val="left"/>
      <w:pPr>
        <w:ind w:left="-60"/>
      </w:pPr>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822D4F"/>
    <w:rsid w:val="000560B3"/>
    <w:rsid w:val="00090AA6"/>
    <w:rsid w:val="000E35AF"/>
    <w:rsid w:val="00145444"/>
    <w:rsid w:val="0029666E"/>
    <w:rsid w:val="002B6923"/>
    <w:rsid w:val="002E5F3C"/>
    <w:rsid w:val="002F47DE"/>
    <w:rsid w:val="00526DC1"/>
    <w:rsid w:val="005D67A0"/>
    <w:rsid w:val="00692A32"/>
    <w:rsid w:val="00694F6B"/>
    <w:rsid w:val="006A69E7"/>
    <w:rsid w:val="006F554E"/>
    <w:rsid w:val="00744C62"/>
    <w:rsid w:val="00781DA5"/>
    <w:rsid w:val="00822D4F"/>
    <w:rsid w:val="008829B4"/>
    <w:rsid w:val="00886E8D"/>
    <w:rsid w:val="00960E14"/>
    <w:rsid w:val="00B5642E"/>
    <w:rsid w:val="00BD2AAC"/>
    <w:rsid w:val="00C53CAC"/>
    <w:rsid w:val="00C741E9"/>
    <w:rsid w:val="00C9524B"/>
    <w:rsid w:val="00CA5DA1"/>
    <w:rsid w:val="00CD7AB4"/>
    <w:rsid w:val="00DA6876"/>
    <w:rsid w:val="00E36BC5"/>
    <w:rsid w:val="00E37063"/>
    <w:rsid w:val="00F13008"/>
    <w:rsid w:val="00FE6788"/>
    <w:rsid w:val="010D5ACE"/>
    <w:rsid w:val="01ED7C74"/>
    <w:rsid w:val="01F059BD"/>
    <w:rsid w:val="023A7829"/>
    <w:rsid w:val="03F17DB7"/>
    <w:rsid w:val="042D5A2E"/>
    <w:rsid w:val="04A153BA"/>
    <w:rsid w:val="04FD2717"/>
    <w:rsid w:val="06195D42"/>
    <w:rsid w:val="06CA12FF"/>
    <w:rsid w:val="06E46C11"/>
    <w:rsid w:val="07B94814"/>
    <w:rsid w:val="081027DD"/>
    <w:rsid w:val="087921F6"/>
    <w:rsid w:val="09505A5B"/>
    <w:rsid w:val="09CA47C0"/>
    <w:rsid w:val="09DB6762"/>
    <w:rsid w:val="0A2763AD"/>
    <w:rsid w:val="0A5A3B10"/>
    <w:rsid w:val="0AA96DC2"/>
    <w:rsid w:val="0AB4355E"/>
    <w:rsid w:val="0B5A00BC"/>
    <w:rsid w:val="0B677345"/>
    <w:rsid w:val="0B816FB9"/>
    <w:rsid w:val="0BBF2BCD"/>
    <w:rsid w:val="0DA92B1E"/>
    <w:rsid w:val="0E923273"/>
    <w:rsid w:val="0EE77383"/>
    <w:rsid w:val="0EF435EA"/>
    <w:rsid w:val="0F3F5F11"/>
    <w:rsid w:val="10D12BCF"/>
    <w:rsid w:val="10EC7A09"/>
    <w:rsid w:val="10FF31B3"/>
    <w:rsid w:val="118366C2"/>
    <w:rsid w:val="11B90A62"/>
    <w:rsid w:val="12DB0E22"/>
    <w:rsid w:val="130B13BA"/>
    <w:rsid w:val="1350756F"/>
    <w:rsid w:val="139B3968"/>
    <w:rsid w:val="13A50343"/>
    <w:rsid w:val="14156E36"/>
    <w:rsid w:val="14CF5677"/>
    <w:rsid w:val="14F25809"/>
    <w:rsid w:val="14F37FDD"/>
    <w:rsid w:val="1528122B"/>
    <w:rsid w:val="16FDA1F2"/>
    <w:rsid w:val="19263A4B"/>
    <w:rsid w:val="19683D7C"/>
    <w:rsid w:val="198C2210"/>
    <w:rsid w:val="1A3D5A7A"/>
    <w:rsid w:val="1A8C400A"/>
    <w:rsid w:val="1ADD03C2"/>
    <w:rsid w:val="1B2E31A6"/>
    <w:rsid w:val="1C13722B"/>
    <w:rsid w:val="1C2F6749"/>
    <w:rsid w:val="1C56667E"/>
    <w:rsid w:val="1D1A58FD"/>
    <w:rsid w:val="1DED79A4"/>
    <w:rsid w:val="1E1A1819"/>
    <w:rsid w:val="1E4F15D7"/>
    <w:rsid w:val="1E98459B"/>
    <w:rsid w:val="1EA322E1"/>
    <w:rsid w:val="1F761A29"/>
    <w:rsid w:val="1F811C64"/>
    <w:rsid w:val="1FBF3557"/>
    <w:rsid w:val="20F9556E"/>
    <w:rsid w:val="210B3A03"/>
    <w:rsid w:val="21BD4D17"/>
    <w:rsid w:val="22431978"/>
    <w:rsid w:val="22537CBD"/>
    <w:rsid w:val="23052BAC"/>
    <w:rsid w:val="241412F8"/>
    <w:rsid w:val="243F09D3"/>
    <w:rsid w:val="25D00DCE"/>
    <w:rsid w:val="26345C82"/>
    <w:rsid w:val="26634159"/>
    <w:rsid w:val="270D53BE"/>
    <w:rsid w:val="27341555"/>
    <w:rsid w:val="27937FE4"/>
    <w:rsid w:val="279F712B"/>
    <w:rsid w:val="27FF5E55"/>
    <w:rsid w:val="28301E89"/>
    <w:rsid w:val="28463A4A"/>
    <w:rsid w:val="28F6721F"/>
    <w:rsid w:val="290613CD"/>
    <w:rsid w:val="290C7FF0"/>
    <w:rsid w:val="29671BF0"/>
    <w:rsid w:val="2977459E"/>
    <w:rsid w:val="2991601D"/>
    <w:rsid w:val="2ADB451B"/>
    <w:rsid w:val="2B255819"/>
    <w:rsid w:val="2B4B4CB5"/>
    <w:rsid w:val="2B4B643A"/>
    <w:rsid w:val="2E6D2EC1"/>
    <w:rsid w:val="30030473"/>
    <w:rsid w:val="30033658"/>
    <w:rsid w:val="307A6987"/>
    <w:rsid w:val="30B43B75"/>
    <w:rsid w:val="32807969"/>
    <w:rsid w:val="333746BC"/>
    <w:rsid w:val="35083162"/>
    <w:rsid w:val="36123AA7"/>
    <w:rsid w:val="36A72B76"/>
    <w:rsid w:val="36FA437E"/>
    <w:rsid w:val="37A62A66"/>
    <w:rsid w:val="37EA0F92"/>
    <w:rsid w:val="3A167394"/>
    <w:rsid w:val="3A5672F2"/>
    <w:rsid w:val="3B131EB2"/>
    <w:rsid w:val="3BEE1E82"/>
    <w:rsid w:val="3C680495"/>
    <w:rsid w:val="3CAA0C36"/>
    <w:rsid w:val="3CFB2BFE"/>
    <w:rsid w:val="3D1B32A0"/>
    <w:rsid w:val="3D3370FF"/>
    <w:rsid w:val="3E2241BA"/>
    <w:rsid w:val="3E4E4FAF"/>
    <w:rsid w:val="3E5C147A"/>
    <w:rsid w:val="3F1E6BC6"/>
    <w:rsid w:val="40060E95"/>
    <w:rsid w:val="40300E10"/>
    <w:rsid w:val="403966BC"/>
    <w:rsid w:val="411377D7"/>
    <w:rsid w:val="423E4ABC"/>
    <w:rsid w:val="42925DB2"/>
    <w:rsid w:val="42F65526"/>
    <w:rsid w:val="43917E18"/>
    <w:rsid w:val="43D877F5"/>
    <w:rsid w:val="44576961"/>
    <w:rsid w:val="44EB199C"/>
    <w:rsid w:val="45034C93"/>
    <w:rsid w:val="459465AF"/>
    <w:rsid w:val="459F5CA0"/>
    <w:rsid w:val="45D65FB6"/>
    <w:rsid w:val="460222FB"/>
    <w:rsid w:val="479D4C60"/>
    <w:rsid w:val="47FC5A7C"/>
    <w:rsid w:val="481C178D"/>
    <w:rsid w:val="48A64DFE"/>
    <w:rsid w:val="48BF0AF5"/>
    <w:rsid w:val="48DA2A34"/>
    <w:rsid w:val="490B4844"/>
    <w:rsid w:val="4AC918A8"/>
    <w:rsid w:val="4B4A1292"/>
    <w:rsid w:val="4BB4664D"/>
    <w:rsid w:val="4CE60C68"/>
    <w:rsid w:val="4D4C4DB0"/>
    <w:rsid w:val="4D551EB6"/>
    <w:rsid w:val="4D9B488E"/>
    <w:rsid w:val="4F2C30EB"/>
    <w:rsid w:val="50CB36A2"/>
    <w:rsid w:val="510B16D6"/>
    <w:rsid w:val="51AC698D"/>
    <w:rsid w:val="51C46959"/>
    <w:rsid w:val="52756B57"/>
    <w:rsid w:val="52E33AC0"/>
    <w:rsid w:val="53AE4D5C"/>
    <w:rsid w:val="547215A0"/>
    <w:rsid w:val="55701603"/>
    <w:rsid w:val="568A3626"/>
    <w:rsid w:val="56C1236A"/>
    <w:rsid w:val="574014E1"/>
    <w:rsid w:val="578515EA"/>
    <w:rsid w:val="58704048"/>
    <w:rsid w:val="58C21972"/>
    <w:rsid w:val="592B61C1"/>
    <w:rsid w:val="5A7C57E7"/>
    <w:rsid w:val="5AC02939"/>
    <w:rsid w:val="5B0141D7"/>
    <w:rsid w:val="5B1154C0"/>
    <w:rsid w:val="5B694059"/>
    <w:rsid w:val="5B806A85"/>
    <w:rsid w:val="5B810FD4"/>
    <w:rsid w:val="5BBA3E20"/>
    <w:rsid w:val="5BC20CB8"/>
    <w:rsid w:val="5C10224C"/>
    <w:rsid w:val="5CFFE526"/>
    <w:rsid w:val="5D1E39F9"/>
    <w:rsid w:val="5DE47F72"/>
    <w:rsid w:val="5DE66B5A"/>
    <w:rsid w:val="5F0A3864"/>
    <w:rsid w:val="5F9E16EE"/>
    <w:rsid w:val="5FFC9F6E"/>
    <w:rsid w:val="60367925"/>
    <w:rsid w:val="60871A56"/>
    <w:rsid w:val="60B13450"/>
    <w:rsid w:val="61DA0784"/>
    <w:rsid w:val="626B762E"/>
    <w:rsid w:val="63B12CEF"/>
    <w:rsid w:val="63DA2CBD"/>
    <w:rsid w:val="676C00D0"/>
    <w:rsid w:val="678C0773"/>
    <w:rsid w:val="67976B83"/>
    <w:rsid w:val="67D0667F"/>
    <w:rsid w:val="67E31A1D"/>
    <w:rsid w:val="68580D47"/>
    <w:rsid w:val="699114B3"/>
    <w:rsid w:val="69A01157"/>
    <w:rsid w:val="6B81580A"/>
    <w:rsid w:val="6BA918F3"/>
    <w:rsid w:val="6BE04BE9"/>
    <w:rsid w:val="6C0A57C2"/>
    <w:rsid w:val="6C904861"/>
    <w:rsid w:val="6CB55D80"/>
    <w:rsid w:val="6CDB2BA3"/>
    <w:rsid w:val="6D367A39"/>
    <w:rsid w:val="6D4924B7"/>
    <w:rsid w:val="6EB613C5"/>
    <w:rsid w:val="6F060E0B"/>
    <w:rsid w:val="6F8F4C98"/>
    <w:rsid w:val="6FBE7937"/>
    <w:rsid w:val="703303C1"/>
    <w:rsid w:val="70C46E67"/>
    <w:rsid w:val="70D75566"/>
    <w:rsid w:val="71B30FA9"/>
    <w:rsid w:val="721F47DE"/>
    <w:rsid w:val="733D6483"/>
    <w:rsid w:val="73C46754"/>
    <w:rsid w:val="746074FC"/>
    <w:rsid w:val="74884987"/>
    <w:rsid w:val="749F162E"/>
    <w:rsid w:val="76051E1C"/>
    <w:rsid w:val="767B3E8C"/>
    <w:rsid w:val="769B1895"/>
    <w:rsid w:val="76B61368"/>
    <w:rsid w:val="76DF1025"/>
    <w:rsid w:val="770245AD"/>
    <w:rsid w:val="773A343B"/>
    <w:rsid w:val="779E0348"/>
    <w:rsid w:val="78134086"/>
    <w:rsid w:val="78691E39"/>
    <w:rsid w:val="78C212E0"/>
    <w:rsid w:val="78E44168"/>
    <w:rsid w:val="79D270C0"/>
    <w:rsid w:val="79FD4EAF"/>
    <w:rsid w:val="7A1B542C"/>
    <w:rsid w:val="7A6FA67D"/>
    <w:rsid w:val="7D1C6841"/>
    <w:rsid w:val="7D7B1AFF"/>
    <w:rsid w:val="7DDFFA2B"/>
    <w:rsid w:val="7E7924D3"/>
    <w:rsid w:val="7EC9775F"/>
    <w:rsid w:val="7EE40A6F"/>
    <w:rsid w:val="7EFD5B94"/>
    <w:rsid w:val="7F7D1D6A"/>
    <w:rsid w:val="7F8E6E32"/>
    <w:rsid w:val="7FFB2C86"/>
    <w:rsid w:val="7FFE735D"/>
    <w:rsid w:val="9FF20F9F"/>
    <w:rsid w:val="AB7DA87D"/>
    <w:rsid w:val="ADEE52A4"/>
    <w:rsid w:val="B9F823CA"/>
    <w:rsid w:val="BB2AF70E"/>
    <w:rsid w:val="D74FD8CE"/>
    <w:rsid w:val="DCFDD65E"/>
    <w:rsid w:val="DFAE0003"/>
    <w:rsid w:val="E5EA9312"/>
    <w:rsid w:val="EAFF4E98"/>
    <w:rsid w:val="EFD591EB"/>
    <w:rsid w:val="F57F6E10"/>
    <w:rsid w:val="F5BD7C3E"/>
    <w:rsid w:val="F97723F9"/>
    <w:rsid w:val="FD1F6DD8"/>
    <w:rsid w:val="FF5D2705"/>
    <w:rsid w:val="FFFE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cs="Times New Roman"/>
      <w:kern w:val="0"/>
      <w:sz w:val="24"/>
      <w:szCs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Body Text First Indent"/>
    <w:basedOn w:val="2"/>
    <w:next w:val="1"/>
    <w:qFormat/>
    <w:uiPriority w:val="0"/>
    <w:pPr>
      <w:tabs>
        <w:tab w:val="decimal" w:pos="315"/>
        <w:tab w:val="left" w:pos="630"/>
      </w:tabs>
      <w:spacing w:after="120"/>
      <w:ind w:firstLine="420" w:firstLineChars="100"/>
    </w:pPr>
  </w:style>
  <w:style w:type="paragraph" w:styleId="7">
    <w:name w:val="annotation text"/>
    <w:basedOn w:val="1"/>
    <w:semiHidden/>
    <w:qFormat/>
    <w:uiPriority w:val="0"/>
    <w:pPr>
      <w:jc w:val="left"/>
    </w:pPr>
    <w:rPr>
      <w:color w:val="0000FF"/>
      <w:sz w:val="24"/>
    </w:rPr>
  </w:style>
  <w:style w:type="paragraph" w:styleId="8">
    <w:name w:val="Body Text Indent"/>
    <w:basedOn w:val="1"/>
    <w:qFormat/>
    <w:uiPriority w:val="0"/>
    <w:pPr>
      <w:spacing w:line="360" w:lineRule="auto"/>
      <w:ind w:firstLine="420"/>
    </w:pPr>
    <w:rPr>
      <w:bCs/>
      <w:szCs w:val="24"/>
    </w:rPr>
  </w:style>
  <w:style w:type="paragraph" w:styleId="9">
    <w:name w:val="toc 5"/>
    <w:basedOn w:val="1"/>
    <w:next w:val="1"/>
    <w:qFormat/>
    <w:uiPriority w:val="0"/>
    <w:pPr>
      <w:ind w:left="840"/>
      <w:jc w:val="left"/>
    </w:pPr>
    <w:rPr>
      <w:szCs w:val="21"/>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tabs>
        <w:tab w:val="center" w:pos="4153"/>
        <w:tab w:val="right" w:pos="8306"/>
      </w:tabs>
      <w:snapToGrid w:val="0"/>
      <w:jc w:val="center"/>
    </w:pPr>
    <w:rPr>
      <w:sz w:val="18"/>
      <w:szCs w:val="18"/>
    </w:rPr>
  </w:style>
  <w:style w:type="paragraph" w:styleId="12">
    <w:name w:val="Normal (Web)"/>
    <w:basedOn w:val="1"/>
    <w:qFormat/>
    <w:uiPriority w:val="0"/>
    <w:rPr>
      <w:sz w:val="24"/>
    </w:rPr>
  </w:style>
  <w:style w:type="character" w:styleId="14">
    <w:name w:val="Strong"/>
    <w:basedOn w:val="13"/>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20">
    <w:name w:val="投标正文小四"/>
    <w:basedOn w:val="1"/>
    <w:qFormat/>
    <w:uiPriority w:val="0"/>
    <w:pPr>
      <w:spacing w:line="360" w:lineRule="auto"/>
      <w:ind w:firstLine="200" w:firstLineChars="200"/>
    </w:pPr>
    <w:rPr>
      <w:sz w:val="24"/>
    </w:rPr>
  </w:style>
  <w:style w:type="paragraph" w:customStyle="1" w:styleId="21">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22">
    <w:name w:val="页眉 字符"/>
    <w:basedOn w:val="13"/>
    <w:link w:val="11"/>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 w:type="character" w:customStyle="1" w:styleId="24">
    <w:name w:val="页脚 字符"/>
    <w:basedOn w:val="13"/>
    <w:link w:val="10"/>
    <w:qFormat/>
    <w:uiPriority w:val="99"/>
    <w:rPr>
      <w:rFonts w:asciiTheme="minorHAnsi" w:hAnsiTheme="minorHAnsi" w:eastAsiaTheme="minorEastAsia" w:cstheme="minorBidi"/>
      <w:kern w:val="2"/>
      <w:sz w:val="18"/>
      <w:szCs w:val="18"/>
    </w:rPr>
  </w:style>
  <w:style w:type="character" w:customStyle="1" w:styleId="25">
    <w:name w:val="NormalCharacter"/>
    <w:semiHidden/>
    <w:qFormat/>
    <w:uiPriority w:val="99"/>
  </w:style>
  <w:style w:type="character" w:customStyle="1" w:styleId="26">
    <w:name w:val="font41"/>
    <w:basedOn w:val="13"/>
    <w:uiPriority w:val="0"/>
    <w:rPr>
      <w:rFonts w:hint="eastAsia" w:ascii="宋体" w:hAnsi="宋体" w:eastAsia="宋体" w:cs="宋体"/>
      <w:b/>
      <w:bCs/>
      <w:color w:val="000000"/>
      <w:sz w:val="32"/>
      <w:szCs w:val="32"/>
      <w:u w:val="none"/>
    </w:rPr>
  </w:style>
  <w:style w:type="character" w:customStyle="1" w:styleId="27">
    <w:name w:val="font61"/>
    <w:basedOn w:val="13"/>
    <w:qFormat/>
    <w:uiPriority w:val="0"/>
    <w:rPr>
      <w:rFonts w:hint="eastAsia" w:ascii="宋体" w:hAnsi="宋体" w:eastAsia="宋体" w:cs="宋体"/>
      <w:color w:val="000000"/>
      <w:sz w:val="26"/>
      <w:szCs w:val="26"/>
      <w:u w:val="none"/>
    </w:rPr>
  </w:style>
  <w:style w:type="character" w:customStyle="1" w:styleId="28">
    <w:name w:val="font71"/>
    <w:basedOn w:val="13"/>
    <w:uiPriority w:val="0"/>
    <w:rPr>
      <w:rFonts w:hint="eastAsia" w:ascii="宋体" w:hAnsi="宋体" w:eastAsia="宋体" w:cs="宋体"/>
      <w:color w:val="000000"/>
      <w:sz w:val="26"/>
      <w:szCs w:val="26"/>
      <w:u w:val="single"/>
    </w:rPr>
  </w:style>
  <w:style w:type="character" w:customStyle="1" w:styleId="29">
    <w:name w:val="font81"/>
    <w:basedOn w:val="13"/>
    <w:uiPriority w:val="0"/>
    <w:rPr>
      <w:rFonts w:hint="eastAsia" w:ascii="宋体" w:hAnsi="宋体" w:eastAsia="宋体" w:cs="宋体"/>
      <w:color w:val="000000"/>
      <w:sz w:val="24"/>
      <w:szCs w:val="24"/>
      <w:u w:val="none"/>
    </w:rPr>
  </w:style>
  <w:style w:type="character" w:customStyle="1" w:styleId="30">
    <w:name w:val="font91"/>
    <w:basedOn w:val="13"/>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2167</Words>
  <Characters>2282</Characters>
  <Lines>128</Lines>
  <Paragraphs>126</Paragraphs>
  <TotalTime>0</TotalTime>
  <ScaleCrop>false</ScaleCrop>
  <LinksUpToDate>false</LinksUpToDate>
  <CharactersWithSpaces>2294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2024-03-07T18:48:00Z</dcterms:created>
  <dc:creator>Administrator</dc:creator>
  <cp:lastModifiedBy>赖宇娟</cp:lastModifiedBy>
  <dcterms:modified xsi:type="dcterms:W3CDTF">2026-06-16T10:39:34Z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ED4FB25EA87F4CF2A1B01B1B083CDDCB_13</vt:lpwstr>
  </property>
  <property fmtid="{D5CDD505-2E9C-101B-9397-08002B2CF9AE}" pid="4" name="KSOTemplateDocerSaveRecord">
    <vt:lpwstr>eyJoZGlkIjoiY2YxNTJiOTNhZjAwNGZmNTNhNmJmZmZlYmY3YTYyNDEiLCJ1c2VySWQiOiIxNzE4ODc4In0=</vt:lpwstr>
  </property>
</Properties>
</file>