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contextualSpacing/>
        <w:jc w:val="left"/>
        <w:rPr>
          <w:rFonts w:hint="eastAsia" w:ascii="仿宋" w:hAnsi="仿宋" w:eastAsia="仿宋" w:cs="仿宋"/>
          <w:b w:val="0"/>
          <w:bCs/>
          <w:color w:val="auto"/>
          <w:spacing w:val="20"/>
          <w:sz w:val="28"/>
          <w:szCs w:val="28"/>
          <w:highlight w:val="none"/>
          <w:lang w:eastAsia="zh-CN"/>
        </w:rPr>
      </w:pPr>
      <w:r>
        <w:rPr>
          <w:rFonts w:hint="eastAsia" w:ascii="仿宋" w:hAnsi="仿宋" w:eastAsia="仿宋" w:cs="仿宋"/>
          <w:b w:val="0"/>
          <w:bCs/>
          <w:color w:val="auto"/>
          <w:spacing w:val="20"/>
          <w:sz w:val="28"/>
          <w:szCs w:val="28"/>
          <w:highlight w:val="none"/>
          <w:lang w:eastAsia="zh-CN"/>
        </w:rPr>
        <w:t>附件</w:t>
      </w:r>
      <w:r>
        <w:rPr>
          <w:rFonts w:hint="eastAsia" w:ascii="仿宋" w:hAnsi="仿宋" w:eastAsia="仿宋" w:cs="仿宋"/>
          <w:b w:val="0"/>
          <w:bCs/>
          <w:color w:val="auto"/>
          <w:spacing w:val="20"/>
          <w:sz w:val="28"/>
          <w:szCs w:val="28"/>
          <w:highlight w:val="none"/>
          <w:lang w:val="en-US" w:eastAsia="zh-CN"/>
        </w:rPr>
        <w:t>5：</w:t>
      </w:r>
    </w:p>
    <w:p>
      <w:pPr>
        <w:adjustRightInd w:val="0"/>
        <w:snapToGrid w:val="0"/>
        <w:spacing w:line="300" w:lineRule="auto"/>
        <w:contextualSpacing/>
        <w:jc w:val="center"/>
        <w:rPr>
          <w:rFonts w:hint="eastAsia" w:ascii="仿宋" w:hAnsi="仿宋" w:eastAsia="仿宋" w:cs="仿宋"/>
          <w:b/>
          <w:color w:val="auto"/>
          <w:spacing w:val="20"/>
          <w:sz w:val="52"/>
          <w:szCs w:val="52"/>
          <w:highlight w:val="none"/>
        </w:rPr>
      </w:pPr>
    </w:p>
    <w:p>
      <w:pPr>
        <w:adjustRightInd w:val="0"/>
        <w:snapToGrid w:val="0"/>
        <w:spacing w:line="300" w:lineRule="auto"/>
        <w:contextualSpacing/>
        <w:jc w:val="center"/>
        <w:rPr>
          <w:rFonts w:hint="eastAsia" w:ascii="仿宋" w:hAnsi="仿宋" w:eastAsia="仿宋" w:cs="仿宋"/>
          <w:b/>
          <w:color w:val="auto"/>
          <w:spacing w:val="20"/>
          <w:sz w:val="52"/>
          <w:szCs w:val="52"/>
          <w:highlight w:val="none"/>
        </w:rPr>
      </w:pPr>
      <w:r>
        <w:rPr>
          <w:rFonts w:hint="eastAsia" w:ascii="仿宋" w:hAnsi="仿宋" w:eastAsia="仿宋" w:cs="仿宋"/>
          <w:b/>
          <w:color w:val="auto"/>
          <w:spacing w:val="20"/>
          <w:sz w:val="52"/>
          <w:szCs w:val="52"/>
          <w:highlight w:val="none"/>
        </w:rPr>
        <w:t>中山市黄圃人民医院</w:t>
      </w:r>
    </w:p>
    <w:p>
      <w:pPr>
        <w:adjustRightInd w:val="0"/>
        <w:snapToGrid w:val="0"/>
        <w:spacing w:line="300" w:lineRule="auto"/>
        <w:contextualSpacing/>
        <w:jc w:val="center"/>
        <w:rPr>
          <w:rFonts w:hint="eastAsia" w:ascii="仿宋" w:hAnsi="仿宋" w:eastAsia="仿宋" w:cs="仿宋"/>
          <w:b/>
          <w:color w:val="auto"/>
          <w:spacing w:val="20"/>
          <w:sz w:val="52"/>
          <w:szCs w:val="52"/>
          <w:highlight w:val="none"/>
          <w:lang w:val="en-US" w:eastAsia="zh-CN"/>
        </w:rPr>
      </w:pPr>
      <w:r>
        <w:rPr>
          <w:rFonts w:hint="eastAsia" w:ascii="仿宋" w:hAnsi="仿宋" w:eastAsia="仿宋" w:cs="仿宋"/>
          <w:b/>
          <w:color w:val="auto"/>
          <w:spacing w:val="20"/>
          <w:sz w:val="52"/>
          <w:szCs w:val="52"/>
          <w:highlight w:val="none"/>
          <w:lang w:val="en-US" w:eastAsia="zh-CN"/>
        </w:rPr>
        <w:t>桌面云系统点位扩增项目</w:t>
      </w:r>
    </w:p>
    <w:p>
      <w:pPr>
        <w:adjustRightInd w:val="0"/>
        <w:snapToGrid w:val="0"/>
        <w:spacing w:line="300" w:lineRule="auto"/>
        <w:contextualSpacing/>
        <w:jc w:val="center"/>
        <w:rPr>
          <w:rFonts w:hint="eastAsia" w:ascii="仿宋" w:hAnsi="仿宋" w:eastAsia="仿宋" w:cs="仿宋"/>
          <w:b/>
          <w:color w:val="auto"/>
          <w:spacing w:val="20"/>
          <w:sz w:val="52"/>
          <w:szCs w:val="52"/>
          <w:highlight w:val="none"/>
        </w:rPr>
      </w:pPr>
      <w:r>
        <w:rPr>
          <w:rFonts w:hint="eastAsia" w:ascii="仿宋" w:hAnsi="仿宋" w:eastAsia="仿宋" w:cs="仿宋"/>
          <w:b/>
          <w:color w:val="auto"/>
          <w:spacing w:val="20"/>
          <w:sz w:val="52"/>
          <w:szCs w:val="52"/>
          <w:highlight w:val="none"/>
          <w:lang w:val="en-US" w:eastAsia="zh-CN"/>
        </w:rPr>
        <w:t>采购</w:t>
      </w:r>
      <w:r>
        <w:rPr>
          <w:rFonts w:hint="eastAsia" w:ascii="仿宋" w:hAnsi="仿宋" w:eastAsia="仿宋" w:cs="仿宋"/>
          <w:b/>
          <w:color w:val="auto"/>
          <w:spacing w:val="20"/>
          <w:sz w:val="52"/>
          <w:szCs w:val="52"/>
          <w:highlight w:val="none"/>
        </w:rPr>
        <w:t>合同</w:t>
      </w:r>
      <w:bookmarkStart w:id="0" w:name="_GoBack"/>
      <w:bookmarkEnd w:id="0"/>
    </w:p>
    <w:p>
      <w:pPr>
        <w:adjustRightInd w:val="0"/>
        <w:snapToGrid w:val="0"/>
        <w:spacing w:line="300" w:lineRule="auto"/>
        <w:contextualSpacing/>
        <w:jc w:val="center"/>
        <w:rPr>
          <w:rFonts w:hint="eastAsia" w:ascii="仿宋" w:hAnsi="仿宋" w:eastAsia="仿宋" w:cs="仿宋"/>
          <w:b/>
          <w:color w:val="auto"/>
          <w:spacing w:val="20"/>
          <w:sz w:val="52"/>
          <w:szCs w:val="52"/>
          <w:highlight w:val="none"/>
        </w:rPr>
      </w:pPr>
    </w:p>
    <w:p>
      <w:pPr>
        <w:pStyle w:val="3"/>
        <w:spacing w:line="300" w:lineRule="auto"/>
        <w:contextualSpacing/>
        <w:rPr>
          <w:color w:val="auto"/>
          <w:sz w:val="52"/>
          <w:szCs w:val="52"/>
          <w:highlight w:val="none"/>
        </w:rPr>
      </w:pPr>
    </w:p>
    <w:p>
      <w:pPr>
        <w:pStyle w:val="3"/>
        <w:spacing w:line="300" w:lineRule="auto"/>
        <w:contextualSpacing/>
        <w:rPr>
          <w:color w:val="auto"/>
          <w:sz w:val="52"/>
          <w:szCs w:val="52"/>
          <w:highlight w:val="none"/>
        </w:rPr>
      </w:pPr>
    </w:p>
    <w:p>
      <w:pPr>
        <w:pStyle w:val="3"/>
        <w:spacing w:line="300" w:lineRule="auto"/>
        <w:contextualSpacing/>
        <w:rPr>
          <w:color w:val="auto"/>
          <w:sz w:val="52"/>
          <w:szCs w:val="52"/>
          <w:highlight w:val="none"/>
          <w:u w:val="single"/>
        </w:rPr>
      </w:pPr>
    </w:p>
    <w:p>
      <w:pPr>
        <w:adjustRightInd w:val="0"/>
        <w:snapToGrid w:val="0"/>
        <w:spacing w:line="300" w:lineRule="auto"/>
        <w:jc w:val="center"/>
        <w:rPr>
          <w:rFonts w:hint="eastAsia" w:ascii="仿宋" w:hAnsi="仿宋" w:eastAsia="仿宋"/>
          <w:color w:val="auto"/>
          <w:sz w:val="24"/>
          <w:highlight w:val="none"/>
        </w:rPr>
      </w:pPr>
    </w:p>
    <w:p>
      <w:pPr>
        <w:adjustRightInd w:val="0"/>
        <w:snapToGrid w:val="0"/>
        <w:spacing w:line="480" w:lineRule="auto"/>
        <w:ind w:firstLine="831" w:firstLineChars="345"/>
        <w:rPr>
          <w:rFonts w:hint="eastAsia" w:ascii="仿宋" w:hAnsi="仿宋" w:eastAsia="仿宋"/>
          <w:b/>
          <w:color w:val="auto"/>
          <w:sz w:val="24"/>
          <w:highlight w:val="none"/>
        </w:rPr>
      </w:pPr>
      <w:r>
        <w:rPr>
          <w:rFonts w:hint="eastAsia" w:ascii="仿宋" w:hAnsi="仿宋" w:eastAsia="仿宋"/>
          <w:b/>
          <w:color w:val="auto"/>
          <w:sz w:val="24"/>
          <w:highlight w:val="none"/>
        </w:rPr>
        <w:t>采购方：</w:t>
      </w:r>
      <w:r>
        <w:rPr>
          <w:rFonts w:ascii="仿宋" w:hAnsi="仿宋" w:eastAsia="仿宋"/>
          <w:b/>
          <w:color w:val="auto"/>
          <w:sz w:val="24"/>
          <w:highlight w:val="none"/>
        </w:rPr>
        <w:t>（</w:t>
      </w:r>
      <w:r>
        <w:rPr>
          <w:rFonts w:hint="eastAsia" w:ascii="仿宋" w:hAnsi="仿宋" w:eastAsia="仿宋"/>
          <w:b/>
          <w:color w:val="auto"/>
          <w:sz w:val="24"/>
          <w:highlight w:val="none"/>
        </w:rPr>
        <w:t>甲</w:t>
      </w:r>
      <w:r>
        <w:rPr>
          <w:rFonts w:ascii="仿宋" w:hAnsi="仿宋" w:eastAsia="仿宋"/>
          <w:b/>
          <w:color w:val="auto"/>
          <w:sz w:val="24"/>
          <w:highlight w:val="none"/>
        </w:rPr>
        <w:t>方）</w:t>
      </w:r>
      <w:r>
        <w:rPr>
          <w:rFonts w:hint="eastAsia" w:ascii="仿宋" w:hAnsi="仿宋" w:eastAsia="仿宋"/>
          <w:b/>
          <w:color w:val="auto"/>
          <w:sz w:val="24"/>
          <w:highlight w:val="none"/>
          <w:u w:val="single"/>
        </w:rPr>
        <w:t xml:space="preserve">中山市黄圃人民医院             </w:t>
      </w:r>
    </w:p>
    <w:p>
      <w:pPr>
        <w:adjustRightInd w:val="0"/>
        <w:snapToGrid w:val="0"/>
        <w:spacing w:line="480" w:lineRule="auto"/>
        <w:ind w:firstLine="831" w:firstLineChars="345"/>
        <w:rPr>
          <w:rFonts w:hint="eastAsia" w:ascii="仿宋" w:hAnsi="仿宋" w:eastAsia="仿宋"/>
          <w:b/>
          <w:color w:val="auto"/>
          <w:sz w:val="24"/>
          <w:highlight w:val="none"/>
          <w:u w:val="single"/>
          <w:lang w:val="en-US" w:eastAsia="zh-CN"/>
        </w:rPr>
      </w:pPr>
      <w:r>
        <w:rPr>
          <w:rFonts w:hint="eastAsia" w:ascii="仿宋" w:hAnsi="仿宋" w:eastAsia="仿宋"/>
          <w:b/>
          <w:color w:val="auto"/>
          <w:sz w:val="24"/>
          <w:highlight w:val="none"/>
        </w:rPr>
        <w:t>供货方</w:t>
      </w:r>
      <w:r>
        <w:rPr>
          <w:rFonts w:ascii="仿宋" w:hAnsi="仿宋" w:eastAsia="仿宋"/>
          <w:b/>
          <w:color w:val="auto"/>
          <w:sz w:val="24"/>
          <w:highlight w:val="none"/>
        </w:rPr>
        <w:t>:（</w:t>
      </w:r>
      <w:r>
        <w:rPr>
          <w:rFonts w:hint="eastAsia" w:ascii="仿宋" w:hAnsi="仿宋" w:eastAsia="仿宋"/>
          <w:b/>
          <w:color w:val="auto"/>
          <w:sz w:val="24"/>
          <w:highlight w:val="none"/>
        </w:rPr>
        <w:t>乙</w:t>
      </w:r>
      <w:r>
        <w:rPr>
          <w:rFonts w:ascii="仿宋" w:hAnsi="仿宋" w:eastAsia="仿宋"/>
          <w:b/>
          <w:color w:val="auto"/>
          <w:sz w:val="24"/>
          <w:highlight w:val="none"/>
        </w:rPr>
        <w:t>方）</w:t>
      </w:r>
      <w:r>
        <w:rPr>
          <w:rFonts w:hint="eastAsia" w:ascii="仿宋" w:hAnsi="仿宋" w:eastAsia="仿宋"/>
          <w:b/>
          <w:color w:val="auto"/>
          <w:sz w:val="24"/>
          <w:highlight w:val="none"/>
          <w:u w:val="single"/>
          <w:lang w:val="en-US" w:eastAsia="zh-CN"/>
        </w:rPr>
        <w:t>XXX</w:t>
      </w:r>
      <w:r>
        <w:rPr>
          <w:rFonts w:hint="eastAsia" w:ascii="仿宋" w:hAnsi="仿宋" w:eastAsia="仿宋"/>
          <w:b/>
          <w:color w:val="auto"/>
          <w:sz w:val="24"/>
          <w:highlight w:val="none"/>
          <w:u w:val="single"/>
        </w:rPr>
        <w:t xml:space="preserve">    </w:t>
      </w:r>
      <w:r>
        <w:rPr>
          <w:rFonts w:hint="eastAsia" w:ascii="仿宋" w:hAnsi="仿宋" w:eastAsia="仿宋"/>
          <w:b/>
          <w:color w:val="auto"/>
          <w:sz w:val="24"/>
          <w:highlight w:val="none"/>
          <w:u w:val="single"/>
          <w:lang w:val="en-US" w:eastAsia="zh-CN"/>
        </w:rPr>
        <w:t xml:space="preserve"> </w:t>
      </w:r>
    </w:p>
    <w:p>
      <w:pPr>
        <w:adjustRightInd w:val="0"/>
        <w:snapToGrid w:val="0"/>
        <w:spacing w:line="480" w:lineRule="auto"/>
        <w:ind w:firstLine="831" w:firstLineChars="345"/>
        <w:rPr>
          <w:rFonts w:hint="eastAsia" w:ascii="仿宋" w:hAnsi="仿宋" w:eastAsia="仿宋"/>
          <w:b/>
          <w:color w:val="auto"/>
          <w:sz w:val="24"/>
          <w:highlight w:val="none"/>
        </w:rPr>
      </w:pPr>
    </w:p>
    <w:p>
      <w:pPr>
        <w:adjustRightInd w:val="0"/>
        <w:snapToGrid w:val="0"/>
        <w:spacing w:line="480" w:lineRule="auto"/>
        <w:ind w:firstLine="831" w:firstLineChars="345"/>
        <w:rPr>
          <w:rFonts w:hint="eastAsia" w:ascii="仿宋" w:hAnsi="仿宋" w:eastAsia="仿宋"/>
          <w:b/>
          <w:color w:val="auto"/>
          <w:sz w:val="24"/>
          <w:highlight w:val="none"/>
        </w:rPr>
      </w:pPr>
    </w:p>
    <w:p>
      <w:pPr>
        <w:adjustRightInd w:val="0"/>
        <w:snapToGrid w:val="0"/>
        <w:spacing w:line="480" w:lineRule="auto"/>
        <w:ind w:firstLine="831" w:firstLineChars="345"/>
        <w:rPr>
          <w:rFonts w:hint="eastAsia" w:ascii="仿宋" w:hAnsi="仿宋" w:eastAsia="仿宋"/>
          <w:b/>
          <w:color w:val="auto"/>
          <w:sz w:val="24"/>
          <w:highlight w:val="none"/>
        </w:rPr>
      </w:pPr>
    </w:p>
    <w:p>
      <w:pPr>
        <w:adjustRightInd w:val="0"/>
        <w:snapToGrid w:val="0"/>
        <w:spacing w:line="480" w:lineRule="auto"/>
        <w:ind w:firstLine="831" w:firstLineChars="345"/>
        <w:rPr>
          <w:rFonts w:hint="eastAsia" w:ascii="仿宋" w:hAnsi="仿宋" w:eastAsia="仿宋"/>
          <w:b/>
          <w:color w:val="auto"/>
          <w:sz w:val="24"/>
          <w:highlight w:val="none"/>
        </w:rPr>
      </w:pPr>
    </w:p>
    <w:p>
      <w:pPr>
        <w:adjustRightInd w:val="0"/>
        <w:snapToGrid w:val="0"/>
        <w:spacing w:line="480" w:lineRule="auto"/>
        <w:ind w:firstLine="831" w:firstLineChars="345"/>
        <w:rPr>
          <w:rFonts w:hint="eastAsia" w:ascii="仿宋" w:hAnsi="仿宋" w:eastAsia="仿宋"/>
          <w:b/>
          <w:color w:val="auto"/>
          <w:sz w:val="24"/>
          <w:highlight w:val="none"/>
        </w:rPr>
      </w:pPr>
    </w:p>
    <w:p>
      <w:pPr>
        <w:adjustRightInd w:val="0"/>
        <w:snapToGrid w:val="0"/>
        <w:spacing w:line="480" w:lineRule="auto"/>
        <w:ind w:firstLine="831" w:firstLineChars="345"/>
        <w:rPr>
          <w:rFonts w:hint="eastAsia" w:ascii="仿宋" w:hAnsi="仿宋" w:eastAsia="仿宋"/>
          <w:b/>
          <w:color w:val="auto"/>
          <w:sz w:val="24"/>
          <w:highlight w:val="none"/>
        </w:rPr>
      </w:pPr>
    </w:p>
    <w:p>
      <w:pPr>
        <w:adjustRightInd w:val="0"/>
        <w:snapToGrid w:val="0"/>
        <w:spacing w:line="480" w:lineRule="auto"/>
        <w:ind w:firstLine="831" w:firstLineChars="345"/>
        <w:rPr>
          <w:rFonts w:hint="eastAsia" w:ascii="仿宋" w:hAnsi="仿宋" w:eastAsia="仿宋"/>
          <w:b/>
          <w:color w:val="auto"/>
          <w:sz w:val="24"/>
          <w:highlight w:val="none"/>
        </w:rPr>
      </w:pPr>
    </w:p>
    <w:p>
      <w:pPr>
        <w:adjustRightInd w:val="0"/>
        <w:snapToGrid w:val="0"/>
        <w:spacing w:line="480" w:lineRule="auto"/>
        <w:ind w:firstLine="831" w:firstLineChars="345"/>
        <w:rPr>
          <w:rFonts w:hint="eastAsia" w:ascii="仿宋" w:hAnsi="仿宋" w:eastAsia="仿宋"/>
          <w:b/>
          <w:color w:val="auto"/>
          <w:sz w:val="24"/>
          <w:highlight w:val="none"/>
        </w:rPr>
      </w:pPr>
    </w:p>
    <w:p>
      <w:pPr>
        <w:spacing w:line="360" w:lineRule="exact"/>
        <w:rPr>
          <w:rFonts w:hint="eastAsia" w:ascii="宋体" w:hAnsi="宋体"/>
          <w:color w:val="auto"/>
          <w:szCs w:val="21"/>
          <w:highlight w:val="none"/>
        </w:rPr>
      </w:pPr>
      <w:r>
        <w:rPr>
          <w:rFonts w:hint="eastAsia" w:ascii="宋体" w:hAnsi="宋体"/>
          <w:b/>
          <w:bCs/>
          <w:color w:val="auto"/>
          <w:szCs w:val="21"/>
          <w:highlight w:val="none"/>
        </w:rPr>
        <w:t>第一条 合同目的</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鉴于甲方</w:t>
      </w:r>
      <w:r>
        <w:rPr>
          <w:rFonts w:hint="eastAsia" w:ascii="宋体" w:hAnsi="宋体"/>
          <w:color w:val="auto"/>
          <w:szCs w:val="21"/>
          <w:highlight w:val="none"/>
          <w:lang w:val="en-US" w:eastAsia="zh-CN"/>
        </w:rPr>
        <w:t>办公需要</w:t>
      </w:r>
      <w:r>
        <w:rPr>
          <w:rFonts w:hint="eastAsia" w:ascii="宋体" w:hAnsi="宋体"/>
          <w:color w:val="auto"/>
          <w:szCs w:val="21"/>
          <w:highlight w:val="none"/>
        </w:rPr>
        <w:t>，需采购</w:t>
      </w:r>
      <w:r>
        <w:rPr>
          <w:rFonts w:hint="eastAsia" w:ascii="宋体" w:hAnsi="宋体" w:cs="宋体"/>
          <w:i w:val="0"/>
          <w:iCs w:val="0"/>
          <w:caps w:val="0"/>
          <w:color w:val="auto"/>
          <w:spacing w:val="0"/>
          <w:sz w:val="21"/>
          <w:szCs w:val="21"/>
          <w:highlight w:val="none"/>
          <w:shd w:val="clear" w:color="auto" w:fill="FFFFFF"/>
          <w:vertAlign w:val="baseline"/>
          <w:lang w:val="en-US" w:eastAsia="zh-CN"/>
        </w:rPr>
        <w:t>桌面云系统点位扩增服务</w:t>
      </w:r>
      <w:r>
        <w:rPr>
          <w:rFonts w:hint="eastAsia" w:ascii="宋体" w:hAnsi="宋体"/>
          <w:color w:val="auto"/>
          <w:szCs w:val="21"/>
          <w:highlight w:val="none"/>
        </w:rPr>
        <w:t>（以下简称“</w:t>
      </w:r>
      <w:r>
        <w:rPr>
          <w:rFonts w:hint="eastAsia" w:ascii="宋体" w:hAnsi="宋体"/>
          <w:color w:val="auto"/>
          <w:szCs w:val="21"/>
          <w:highlight w:val="none"/>
          <w:lang w:val="en-US" w:eastAsia="zh-CN"/>
        </w:rPr>
        <w:t>设备</w:t>
      </w:r>
      <w:r>
        <w:rPr>
          <w:rFonts w:hint="eastAsia" w:ascii="宋体" w:hAnsi="宋体"/>
          <w:color w:val="auto"/>
          <w:szCs w:val="21"/>
          <w:highlight w:val="none"/>
        </w:rPr>
        <w:t>”）用于</w:t>
      </w:r>
      <w:r>
        <w:rPr>
          <w:rFonts w:hint="eastAsia" w:ascii="宋体" w:hAnsi="宋体"/>
          <w:color w:val="auto"/>
          <w:szCs w:val="21"/>
          <w:highlight w:val="none"/>
          <w:lang w:val="en-US" w:eastAsia="zh-CN"/>
        </w:rPr>
        <w:t>全院业务办公</w:t>
      </w:r>
      <w:r>
        <w:rPr>
          <w:rFonts w:hint="eastAsia" w:ascii="宋体" w:hAnsi="宋体"/>
          <w:color w:val="auto"/>
          <w:szCs w:val="21"/>
          <w:highlight w:val="none"/>
        </w:rPr>
        <w:t>；乙方具备提供符合甲方需求的设备及服务的资质与能力。根据《中华人民共和国民法典》《中华人民共和国个人信息保护法》及相关法律法规，经平等协商，达成如下协议：</w:t>
      </w:r>
    </w:p>
    <w:p>
      <w:pPr>
        <w:spacing w:line="360" w:lineRule="exact"/>
        <w:rPr>
          <w:rFonts w:hint="eastAsia" w:ascii="宋体" w:hAnsi="宋体"/>
          <w:color w:val="auto"/>
          <w:szCs w:val="21"/>
          <w:highlight w:val="none"/>
        </w:rPr>
      </w:pPr>
    </w:p>
    <w:p>
      <w:pPr>
        <w:spacing w:line="360" w:lineRule="exact"/>
        <w:rPr>
          <w:rFonts w:hint="eastAsia" w:ascii="宋体" w:hAnsi="宋体"/>
          <w:b/>
          <w:bCs/>
          <w:color w:val="auto"/>
          <w:szCs w:val="21"/>
          <w:highlight w:val="none"/>
        </w:rPr>
      </w:pPr>
      <w:r>
        <w:rPr>
          <w:rFonts w:hint="eastAsia" w:ascii="宋体" w:hAnsi="宋体"/>
          <w:b/>
          <w:bCs/>
          <w:color w:val="auto"/>
          <w:szCs w:val="21"/>
          <w:highlight w:val="none"/>
        </w:rPr>
        <w:t>第二条 采购内容与规格</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合计总价：大写人民币</w:t>
      </w:r>
      <w:r>
        <w:rPr>
          <w:rFonts w:hint="eastAsia" w:ascii="宋体" w:hAnsi="宋体"/>
          <w:color w:val="auto"/>
          <w:szCs w:val="21"/>
          <w:highlight w:val="none"/>
          <w:lang w:val="en-US" w:eastAsia="zh-CN"/>
        </w:rPr>
        <w:t>XXX</w:t>
      </w:r>
      <w:r>
        <w:rPr>
          <w:rFonts w:hint="eastAsia" w:ascii="宋体" w:hAnsi="宋体"/>
          <w:color w:val="auto"/>
          <w:szCs w:val="21"/>
          <w:highlight w:val="none"/>
        </w:rPr>
        <w:t>元整（小写：¥</w:t>
      </w:r>
      <w:r>
        <w:rPr>
          <w:rFonts w:hint="eastAsia" w:ascii="宋体" w:hAnsi="宋体"/>
          <w:color w:val="auto"/>
          <w:szCs w:val="21"/>
          <w:highlight w:val="none"/>
          <w:lang w:val="en-US" w:eastAsia="zh-CN"/>
        </w:rPr>
        <w:t>XXX</w:t>
      </w:r>
      <w:r>
        <w:rPr>
          <w:rFonts w:hint="eastAsia" w:ascii="宋体" w:hAnsi="宋体"/>
          <w:color w:val="auto"/>
          <w:szCs w:val="21"/>
          <w:highlight w:val="none"/>
          <w:lang w:val="en-US" w:eastAsia="zh-CN"/>
        </w:rPr>
        <w:t>.00</w:t>
      </w:r>
      <w:r>
        <w:rPr>
          <w:rFonts w:hint="eastAsia" w:ascii="宋体" w:hAnsi="宋体"/>
          <w:color w:val="auto"/>
          <w:szCs w:val="21"/>
          <w:highlight w:val="none"/>
        </w:rPr>
        <w:t>）。</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 设备质保期</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叁</w:t>
      </w:r>
      <w:r>
        <w:rPr>
          <w:rFonts w:hint="eastAsia" w:ascii="宋体" w:hAnsi="宋体"/>
          <w:color w:val="auto"/>
          <w:szCs w:val="21"/>
          <w:highlight w:val="none"/>
        </w:rPr>
        <w:t>年（自验收之日起</w:t>
      </w:r>
      <w:r>
        <w:rPr>
          <w:rFonts w:hint="eastAsia" w:ascii="宋体" w:hAnsi="宋体"/>
          <w:color w:val="auto"/>
          <w:szCs w:val="21"/>
          <w:highlight w:val="none"/>
          <w:lang w:val="en-US" w:eastAsia="zh-CN"/>
        </w:rPr>
        <w:t>叁</w:t>
      </w:r>
      <w:r>
        <w:rPr>
          <w:rFonts w:hint="eastAsia" w:ascii="宋体" w:hAnsi="宋体"/>
          <w:color w:val="auto"/>
          <w:szCs w:val="21"/>
          <w:highlight w:val="none"/>
        </w:rPr>
        <w:t>年）。</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设备采购清单：</w:t>
      </w:r>
    </w:p>
    <w:p>
      <w:pPr>
        <w:spacing w:line="360" w:lineRule="exact"/>
        <w:ind w:firstLine="500" w:firstLineChars="200"/>
        <w:jc w:val="right"/>
        <w:rPr>
          <w:rFonts w:hint="eastAsia" w:ascii="宋体" w:hAnsi="宋体"/>
          <w:color w:val="auto"/>
          <w:szCs w:val="21"/>
          <w:highlight w:val="none"/>
        </w:rPr>
      </w:pPr>
      <w:r>
        <w:rPr>
          <w:rFonts w:hint="eastAsia" w:ascii="宋体" w:hAnsi="宋体"/>
          <w:color w:val="auto"/>
          <w:spacing w:val="20"/>
          <w:szCs w:val="21"/>
          <w:highlight w:val="none"/>
        </w:rPr>
        <w:t>货币单位：人民币元</w:t>
      </w:r>
    </w:p>
    <w:tbl>
      <w:tblPr>
        <w:tblStyle w:val="8"/>
        <w:tblW w:w="8796" w:type="dxa"/>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523"/>
        <w:gridCol w:w="1689"/>
        <w:gridCol w:w="1041"/>
        <w:gridCol w:w="1042"/>
        <w:gridCol w:w="1312"/>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189" w:type="dxa"/>
            <w:shd w:val="clear" w:color="auto" w:fill="D9D9D9"/>
            <w:vAlign w:val="center"/>
          </w:tcPr>
          <w:p>
            <w:pPr>
              <w:tabs>
                <w:tab w:val="left" w:pos="1365"/>
              </w:tabs>
              <w:spacing w:before="156" w:beforeLines="50" w:after="156" w:afterLines="50" w:line="360" w:lineRule="exact"/>
              <w:jc w:val="center"/>
              <w:rPr>
                <w:rFonts w:hint="eastAsia" w:ascii="宋体" w:hAnsi="宋体"/>
                <w:b/>
                <w:color w:val="auto"/>
                <w:spacing w:val="20"/>
                <w:szCs w:val="21"/>
                <w:highlight w:val="none"/>
              </w:rPr>
            </w:pPr>
            <w:r>
              <w:rPr>
                <w:rFonts w:hint="eastAsia" w:ascii="宋体" w:hAnsi="宋体"/>
                <w:b/>
                <w:color w:val="auto"/>
                <w:spacing w:val="20"/>
                <w:szCs w:val="21"/>
                <w:highlight w:val="none"/>
              </w:rPr>
              <w:t>名称</w:t>
            </w:r>
          </w:p>
        </w:tc>
        <w:tc>
          <w:tcPr>
            <w:tcW w:w="1523" w:type="dxa"/>
            <w:shd w:val="clear" w:color="auto" w:fill="D9D9D9"/>
            <w:vAlign w:val="center"/>
          </w:tcPr>
          <w:p>
            <w:pPr>
              <w:tabs>
                <w:tab w:val="left" w:pos="1365"/>
              </w:tabs>
              <w:spacing w:before="156" w:beforeLines="50" w:after="156" w:afterLines="50" w:line="360" w:lineRule="exact"/>
              <w:jc w:val="center"/>
              <w:rPr>
                <w:rFonts w:hint="eastAsia" w:ascii="宋体" w:hAnsi="宋体"/>
                <w:b/>
                <w:color w:val="auto"/>
                <w:spacing w:val="20"/>
                <w:szCs w:val="21"/>
                <w:highlight w:val="none"/>
              </w:rPr>
            </w:pPr>
            <w:r>
              <w:rPr>
                <w:rFonts w:hint="eastAsia" w:ascii="宋体" w:hAnsi="宋体"/>
                <w:b/>
                <w:color w:val="auto"/>
                <w:spacing w:val="20"/>
                <w:szCs w:val="21"/>
                <w:highlight w:val="none"/>
              </w:rPr>
              <w:t>规格型号</w:t>
            </w:r>
          </w:p>
        </w:tc>
        <w:tc>
          <w:tcPr>
            <w:tcW w:w="1689" w:type="dxa"/>
            <w:shd w:val="clear" w:color="auto" w:fill="D9D9D9"/>
            <w:vAlign w:val="center"/>
          </w:tcPr>
          <w:p>
            <w:pPr>
              <w:tabs>
                <w:tab w:val="left" w:pos="1365"/>
              </w:tabs>
              <w:spacing w:before="156" w:beforeLines="50" w:after="156" w:afterLines="50" w:line="360" w:lineRule="exact"/>
              <w:jc w:val="center"/>
              <w:rPr>
                <w:rFonts w:hint="eastAsia" w:ascii="宋体" w:hAnsi="宋体"/>
                <w:b/>
                <w:color w:val="auto"/>
                <w:spacing w:val="20"/>
                <w:szCs w:val="21"/>
                <w:highlight w:val="none"/>
              </w:rPr>
            </w:pPr>
            <w:r>
              <w:rPr>
                <w:rFonts w:hint="eastAsia" w:ascii="宋体" w:hAnsi="宋体"/>
                <w:b/>
                <w:color w:val="auto"/>
                <w:spacing w:val="20"/>
                <w:szCs w:val="21"/>
                <w:highlight w:val="none"/>
              </w:rPr>
              <w:t>生产厂家</w:t>
            </w:r>
          </w:p>
        </w:tc>
        <w:tc>
          <w:tcPr>
            <w:tcW w:w="1041" w:type="dxa"/>
            <w:shd w:val="clear" w:color="auto" w:fill="D9D9D9"/>
          </w:tcPr>
          <w:p>
            <w:pPr>
              <w:tabs>
                <w:tab w:val="left" w:pos="1365"/>
              </w:tabs>
              <w:spacing w:before="156" w:beforeLines="50" w:after="156" w:afterLines="50" w:line="360" w:lineRule="exact"/>
              <w:jc w:val="center"/>
              <w:rPr>
                <w:rFonts w:hint="eastAsia" w:ascii="宋体" w:hAnsi="宋体"/>
                <w:b/>
                <w:color w:val="auto"/>
                <w:spacing w:val="20"/>
                <w:szCs w:val="21"/>
                <w:highlight w:val="none"/>
              </w:rPr>
            </w:pPr>
            <w:r>
              <w:rPr>
                <w:rFonts w:hint="eastAsia" w:ascii="宋体" w:hAnsi="宋体"/>
                <w:b/>
                <w:color w:val="auto"/>
                <w:spacing w:val="20"/>
                <w:szCs w:val="21"/>
                <w:highlight w:val="none"/>
              </w:rPr>
              <w:t>单价</w:t>
            </w:r>
          </w:p>
        </w:tc>
        <w:tc>
          <w:tcPr>
            <w:tcW w:w="1042" w:type="dxa"/>
            <w:shd w:val="clear" w:color="auto" w:fill="D9D9D9"/>
          </w:tcPr>
          <w:p>
            <w:pPr>
              <w:tabs>
                <w:tab w:val="left" w:pos="1365"/>
              </w:tabs>
              <w:spacing w:before="156" w:beforeLines="50" w:after="156" w:afterLines="50" w:line="360" w:lineRule="exact"/>
              <w:jc w:val="center"/>
              <w:rPr>
                <w:rFonts w:hint="eastAsia" w:ascii="宋体" w:hAnsi="宋体"/>
                <w:b/>
                <w:color w:val="auto"/>
                <w:spacing w:val="20"/>
                <w:szCs w:val="21"/>
                <w:highlight w:val="none"/>
              </w:rPr>
            </w:pPr>
            <w:r>
              <w:rPr>
                <w:rFonts w:hint="eastAsia" w:ascii="宋体" w:hAnsi="宋体"/>
                <w:b/>
                <w:color w:val="auto"/>
                <w:spacing w:val="20"/>
                <w:szCs w:val="21"/>
                <w:highlight w:val="none"/>
              </w:rPr>
              <w:t>数量</w:t>
            </w:r>
          </w:p>
        </w:tc>
        <w:tc>
          <w:tcPr>
            <w:tcW w:w="1312" w:type="dxa"/>
            <w:shd w:val="clear" w:color="auto" w:fill="D9D9D9"/>
          </w:tcPr>
          <w:p>
            <w:pPr>
              <w:tabs>
                <w:tab w:val="left" w:pos="1365"/>
              </w:tabs>
              <w:spacing w:before="156" w:beforeLines="50" w:after="156" w:afterLines="50" w:line="360" w:lineRule="exact"/>
              <w:jc w:val="center"/>
              <w:rPr>
                <w:rFonts w:hint="eastAsia" w:ascii="宋体" w:hAnsi="宋体"/>
                <w:b/>
                <w:color w:val="auto"/>
                <w:spacing w:val="20"/>
                <w:szCs w:val="21"/>
                <w:highlight w:val="none"/>
              </w:rPr>
            </w:pPr>
            <w:r>
              <w:rPr>
                <w:rFonts w:hint="eastAsia" w:ascii="宋体" w:hAnsi="宋体"/>
                <w:b/>
                <w:color w:val="auto"/>
                <w:spacing w:val="20"/>
                <w:szCs w:val="21"/>
                <w:highlight w:val="none"/>
              </w:rPr>
              <w:t>合计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189" w:type="dxa"/>
            <w:vAlign w:val="center"/>
          </w:tcPr>
          <w:p>
            <w:pPr>
              <w:tabs>
                <w:tab w:val="left" w:pos="1365"/>
              </w:tabs>
              <w:spacing w:before="156" w:beforeLines="50" w:after="156" w:afterLines="50" w:line="360" w:lineRule="exact"/>
              <w:jc w:val="center"/>
              <w:rPr>
                <w:rFonts w:hint="default" w:ascii="宋体" w:hAnsi="宋体" w:eastAsia="宋体"/>
                <w:color w:val="auto"/>
                <w:spacing w:val="20"/>
                <w:szCs w:val="21"/>
                <w:highlight w:val="none"/>
                <w:lang w:val="en-US" w:eastAsia="zh-CN"/>
              </w:rPr>
            </w:pPr>
            <w:r>
              <w:rPr>
                <w:rFonts w:hint="eastAsia" w:ascii="宋体" w:hAnsi="宋体" w:eastAsia="宋体" w:cs="宋体"/>
                <w:color w:val="auto"/>
                <w:kern w:val="0"/>
                <w:sz w:val="21"/>
                <w:szCs w:val="21"/>
                <w:highlight w:val="none"/>
              </w:rPr>
              <w:t>桌面云软件</w:t>
            </w:r>
          </w:p>
        </w:tc>
        <w:tc>
          <w:tcPr>
            <w:tcW w:w="1523" w:type="dxa"/>
            <w:vAlign w:val="center"/>
          </w:tcPr>
          <w:p>
            <w:pPr>
              <w:tabs>
                <w:tab w:val="left" w:pos="1365"/>
              </w:tabs>
              <w:spacing w:before="156" w:beforeLines="50" w:after="156" w:afterLines="50" w:line="360" w:lineRule="exact"/>
              <w:jc w:val="center"/>
              <w:rPr>
                <w:rFonts w:hint="default" w:ascii="宋体" w:hAnsi="宋体"/>
                <w:color w:val="auto"/>
                <w:spacing w:val="20"/>
                <w:szCs w:val="21"/>
                <w:highlight w:val="none"/>
                <w:lang w:val="en-US"/>
              </w:rPr>
            </w:pPr>
            <w:r>
              <w:rPr>
                <w:rFonts w:hint="eastAsia" w:ascii="宋体" w:hAnsi="宋体"/>
                <w:color w:val="auto"/>
                <w:spacing w:val="20"/>
                <w:szCs w:val="21"/>
                <w:highlight w:val="none"/>
                <w:lang w:val="en-US" w:eastAsia="zh-CN"/>
              </w:rPr>
              <w:t>XXX</w:t>
            </w:r>
          </w:p>
        </w:tc>
        <w:tc>
          <w:tcPr>
            <w:tcW w:w="1689" w:type="dxa"/>
            <w:vAlign w:val="center"/>
          </w:tcPr>
          <w:p>
            <w:pPr>
              <w:tabs>
                <w:tab w:val="left" w:pos="1365"/>
              </w:tabs>
              <w:spacing w:before="156" w:beforeLines="50" w:after="156" w:afterLines="50" w:line="360" w:lineRule="exact"/>
              <w:jc w:val="center"/>
              <w:rPr>
                <w:rFonts w:hint="default"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XXX</w:t>
            </w:r>
          </w:p>
        </w:tc>
        <w:tc>
          <w:tcPr>
            <w:tcW w:w="1041" w:type="dxa"/>
            <w:vAlign w:val="center"/>
          </w:tcPr>
          <w:p>
            <w:pPr>
              <w:tabs>
                <w:tab w:val="left" w:pos="1365"/>
              </w:tabs>
              <w:spacing w:before="156" w:beforeLines="50" w:after="156" w:afterLines="50" w:line="360" w:lineRule="exact"/>
              <w:jc w:val="center"/>
              <w:rPr>
                <w:rFonts w:hint="default"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XXX</w:t>
            </w:r>
          </w:p>
        </w:tc>
        <w:tc>
          <w:tcPr>
            <w:tcW w:w="1042" w:type="dxa"/>
            <w:vAlign w:val="center"/>
          </w:tcPr>
          <w:p>
            <w:pPr>
              <w:tabs>
                <w:tab w:val="left" w:pos="1365"/>
              </w:tabs>
              <w:spacing w:before="156" w:beforeLines="50" w:after="156" w:afterLines="50" w:line="360" w:lineRule="exact"/>
              <w:jc w:val="center"/>
              <w:rPr>
                <w:rFonts w:hint="eastAsia" w:ascii="宋体" w:hAnsi="宋体"/>
                <w:color w:val="auto"/>
                <w:spacing w:val="20"/>
                <w:szCs w:val="21"/>
                <w:highlight w:val="none"/>
              </w:rPr>
            </w:pPr>
            <w:r>
              <w:rPr>
                <w:rFonts w:hint="eastAsia" w:ascii="宋体" w:hAnsi="宋体"/>
                <w:color w:val="auto"/>
                <w:spacing w:val="20"/>
                <w:szCs w:val="21"/>
                <w:highlight w:val="none"/>
                <w:lang w:val="en-US" w:eastAsia="zh-CN"/>
              </w:rPr>
              <w:t>1</w:t>
            </w:r>
            <w:r>
              <w:rPr>
                <w:rFonts w:hint="eastAsia" w:ascii="宋体" w:hAnsi="宋体"/>
                <w:color w:val="auto"/>
                <w:spacing w:val="20"/>
                <w:szCs w:val="21"/>
                <w:highlight w:val="none"/>
              </w:rPr>
              <w:t>台</w:t>
            </w:r>
          </w:p>
        </w:tc>
        <w:tc>
          <w:tcPr>
            <w:tcW w:w="1312" w:type="dxa"/>
            <w:vAlign w:val="center"/>
          </w:tcPr>
          <w:p>
            <w:pPr>
              <w:tabs>
                <w:tab w:val="left" w:pos="1365"/>
              </w:tabs>
              <w:spacing w:before="156" w:beforeLines="50" w:after="156" w:afterLines="50" w:line="360" w:lineRule="exact"/>
              <w:jc w:val="center"/>
              <w:rPr>
                <w:rFonts w:hint="default"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XXX</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189" w:type="dxa"/>
            <w:vAlign w:val="center"/>
          </w:tcPr>
          <w:p>
            <w:pPr>
              <w:tabs>
                <w:tab w:val="left" w:pos="1365"/>
              </w:tabs>
              <w:spacing w:before="156" w:beforeLines="50" w:after="156" w:afterLines="50" w:line="360" w:lineRule="exact"/>
              <w:jc w:val="center"/>
              <w:rPr>
                <w:rFonts w:hint="eastAsia" w:ascii="宋体" w:hAnsi="宋体"/>
                <w:color w:val="auto"/>
                <w:spacing w:val="20"/>
                <w:szCs w:val="21"/>
                <w:highlight w:val="none"/>
                <w:lang w:val="en-US" w:eastAsia="zh-CN"/>
              </w:rPr>
            </w:pPr>
            <w:r>
              <w:rPr>
                <w:rFonts w:hint="eastAsia" w:ascii="宋体" w:hAnsi="宋体" w:eastAsia="宋体" w:cs="宋体"/>
                <w:color w:val="auto"/>
                <w:kern w:val="0"/>
                <w:sz w:val="21"/>
                <w:szCs w:val="21"/>
                <w:highlight w:val="none"/>
              </w:rPr>
              <w:t>瘦终端</w:t>
            </w:r>
          </w:p>
        </w:tc>
        <w:tc>
          <w:tcPr>
            <w:tcW w:w="1523"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c>
          <w:tcPr>
            <w:tcW w:w="1689"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c>
          <w:tcPr>
            <w:tcW w:w="1041"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c>
          <w:tcPr>
            <w:tcW w:w="1042"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30</w:t>
            </w:r>
            <w:r>
              <w:rPr>
                <w:rFonts w:hint="eastAsia" w:ascii="宋体" w:hAnsi="宋体"/>
                <w:color w:val="auto"/>
                <w:spacing w:val="20"/>
                <w:szCs w:val="21"/>
                <w:highlight w:val="none"/>
              </w:rPr>
              <w:t>台</w:t>
            </w:r>
          </w:p>
        </w:tc>
        <w:tc>
          <w:tcPr>
            <w:tcW w:w="1312"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189" w:type="dxa"/>
            <w:vAlign w:val="center"/>
          </w:tcPr>
          <w:p>
            <w:pPr>
              <w:tabs>
                <w:tab w:val="left" w:pos="1365"/>
              </w:tabs>
              <w:spacing w:before="156" w:beforeLines="50" w:after="156" w:afterLines="50" w:line="360" w:lineRule="exact"/>
              <w:jc w:val="center"/>
              <w:rPr>
                <w:rFonts w:hint="eastAsia" w:ascii="宋体" w:hAnsi="宋体"/>
                <w:color w:val="auto"/>
                <w:spacing w:val="20"/>
                <w:szCs w:val="21"/>
                <w:highlight w:val="none"/>
                <w:lang w:val="en-US" w:eastAsia="zh-CN"/>
              </w:rPr>
            </w:pPr>
            <w:r>
              <w:rPr>
                <w:rFonts w:hint="eastAsia" w:ascii="宋体" w:hAnsi="宋体" w:eastAsia="宋体" w:cs="宋体"/>
                <w:color w:val="auto"/>
                <w:kern w:val="0"/>
                <w:sz w:val="21"/>
                <w:szCs w:val="21"/>
                <w:highlight w:val="none"/>
              </w:rPr>
              <w:t>终端显示装置</w:t>
            </w:r>
          </w:p>
        </w:tc>
        <w:tc>
          <w:tcPr>
            <w:tcW w:w="1523"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c>
          <w:tcPr>
            <w:tcW w:w="1689"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c>
          <w:tcPr>
            <w:tcW w:w="1041"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c>
          <w:tcPr>
            <w:tcW w:w="1042"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30</w:t>
            </w:r>
            <w:r>
              <w:rPr>
                <w:rFonts w:hint="eastAsia" w:ascii="宋体" w:hAnsi="宋体"/>
                <w:color w:val="auto"/>
                <w:spacing w:val="20"/>
                <w:szCs w:val="21"/>
                <w:highlight w:val="none"/>
              </w:rPr>
              <w:t>台</w:t>
            </w:r>
          </w:p>
        </w:tc>
        <w:tc>
          <w:tcPr>
            <w:tcW w:w="1312"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189" w:type="dxa"/>
            <w:vAlign w:val="center"/>
          </w:tcPr>
          <w:p>
            <w:pPr>
              <w:tabs>
                <w:tab w:val="left" w:pos="1365"/>
              </w:tabs>
              <w:spacing w:before="156" w:beforeLines="50" w:after="156" w:afterLines="50"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终端接入操作设备</w:t>
            </w:r>
          </w:p>
        </w:tc>
        <w:tc>
          <w:tcPr>
            <w:tcW w:w="1523"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c>
          <w:tcPr>
            <w:tcW w:w="1689"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c>
          <w:tcPr>
            <w:tcW w:w="1041"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c>
          <w:tcPr>
            <w:tcW w:w="1042"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30</w:t>
            </w:r>
            <w:r>
              <w:rPr>
                <w:rFonts w:hint="eastAsia" w:ascii="宋体" w:hAnsi="宋体"/>
                <w:color w:val="auto"/>
                <w:spacing w:val="20"/>
                <w:szCs w:val="21"/>
                <w:highlight w:val="none"/>
              </w:rPr>
              <w:t>台</w:t>
            </w:r>
          </w:p>
        </w:tc>
        <w:tc>
          <w:tcPr>
            <w:tcW w:w="1312"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189" w:type="dxa"/>
            <w:vAlign w:val="center"/>
          </w:tcPr>
          <w:p>
            <w:pPr>
              <w:tabs>
                <w:tab w:val="left" w:pos="1365"/>
              </w:tabs>
              <w:spacing w:before="156" w:beforeLines="50" w:after="156" w:afterLines="50"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终端安全防护软件</w:t>
            </w:r>
          </w:p>
        </w:tc>
        <w:tc>
          <w:tcPr>
            <w:tcW w:w="1523"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c>
          <w:tcPr>
            <w:tcW w:w="1689"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c>
          <w:tcPr>
            <w:tcW w:w="1041"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c>
          <w:tcPr>
            <w:tcW w:w="1042"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30</w:t>
            </w:r>
            <w:r>
              <w:rPr>
                <w:rFonts w:hint="eastAsia" w:ascii="宋体" w:hAnsi="宋体"/>
                <w:color w:val="auto"/>
                <w:spacing w:val="20"/>
                <w:szCs w:val="21"/>
                <w:highlight w:val="none"/>
              </w:rPr>
              <w:t>台</w:t>
            </w:r>
          </w:p>
        </w:tc>
        <w:tc>
          <w:tcPr>
            <w:tcW w:w="1312" w:type="dxa"/>
            <w:vAlign w:val="center"/>
          </w:tcPr>
          <w:p>
            <w:pPr>
              <w:tabs>
                <w:tab w:val="left" w:pos="1365"/>
              </w:tabs>
              <w:spacing w:before="156" w:beforeLines="50" w:after="156" w:afterLines="50" w:line="360" w:lineRule="exact"/>
              <w:jc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color w:val="auto"/>
                <w:spacing w:val="20"/>
                <w:szCs w:val="21"/>
                <w:highlight w:val="none"/>
                <w:lang w:val="en-US" w:eastAsia="zh-CN"/>
              </w:rPr>
              <w:t>XXX</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796" w:type="dxa"/>
            <w:gridSpan w:val="6"/>
            <w:vAlign w:val="center"/>
          </w:tcPr>
          <w:p>
            <w:pPr>
              <w:tabs>
                <w:tab w:val="left" w:pos="1365"/>
              </w:tabs>
              <w:spacing w:before="156" w:beforeLines="50" w:after="156" w:afterLines="50" w:line="360" w:lineRule="exact"/>
              <w:jc w:val="center"/>
              <w:rPr>
                <w:rFonts w:hint="eastAsia" w:ascii="宋体" w:hAnsi="宋体" w:cs="宋体"/>
                <w:color w:val="auto"/>
                <w:spacing w:val="20"/>
                <w:szCs w:val="21"/>
                <w:highlight w:val="none"/>
              </w:rPr>
            </w:pPr>
            <w:r>
              <w:rPr>
                <w:rFonts w:hint="eastAsia" w:ascii="宋体" w:hAnsi="宋体" w:cs="宋体"/>
                <w:color w:val="auto"/>
                <w:spacing w:val="20"/>
                <w:szCs w:val="21"/>
                <w:highlight w:val="none"/>
              </w:rPr>
              <w:t>备注：本报价含增值税普通发票</w:t>
            </w:r>
          </w:p>
        </w:tc>
      </w:tr>
    </w:tbl>
    <w:p>
      <w:pPr>
        <w:spacing w:line="360" w:lineRule="exact"/>
        <w:rPr>
          <w:rFonts w:hint="eastAsia" w:ascii="宋体" w:hAnsi="宋体"/>
          <w:color w:val="auto"/>
          <w:szCs w:val="21"/>
          <w:highlight w:val="none"/>
        </w:rPr>
      </w:pP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 xml:space="preserve">2.3 </w:t>
      </w:r>
      <w:r>
        <w:rPr>
          <w:rFonts w:hint="eastAsia" w:ascii="宋体" w:hAnsi="宋体"/>
          <w:color w:val="auto"/>
          <w:szCs w:val="21"/>
          <w:highlight w:val="none"/>
        </w:rPr>
        <w:t>技术标准</w:t>
      </w:r>
    </w:p>
    <w:p>
      <w:pPr>
        <w:pStyle w:val="13"/>
        <w:keepNext w:val="0"/>
        <w:keepLines w:val="0"/>
        <w:pageBreakBefore w:val="0"/>
        <w:widowControl w:val="0"/>
        <w:numPr>
          <w:ilvl w:val="0"/>
          <w:numId w:val="0"/>
        </w:numPr>
        <w:kinsoku/>
        <w:wordWrap/>
        <w:overflowPunct/>
        <w:topLinePunct w:val="0"/>
        <w:autoSpaceDE/>
        <w:autoSpaceDN/>
        <w:bidi w:val="0"/>
        <w:spacing w:before="156" w:after="0" w:line="320" w:lineRule="exact"/>
        <w:jc w:val="center"/>
        <w:rPr>
          <w:rFonts w:hint="eastAsia" w:ascii="宋体" w:hAnsi="宋体" w:eastAsia="宋体" w:cs="宋体"/>
          <w:b/>
          <w:color w:val="auto"/>
          <w:spacing w:val="0"/>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pacing w:val="0"/>
          <w:kern w:val="2"/>
          <w:sz w:val="21"/>
          <w:szCs w:val="21"/>
          <w:highlight w:val="none"/>
          <w:lang w:val="en-US" w:eastAsia="zh-CN" w:bidi="ar-SA"/>
        </w:rPr>
        <w:t>桌面云软件</w:t>
      </w:r>
    </w:p>
    <w:tbl>
      <w:tblPr>
        <w:tblStyle w:val="8"/>
        <w:tblW w:w="92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序号</w:t>
            </w:r>
          </w:p>
        </w:tc>
        <w:tc>
          <w:tcPr>
            <w:tcW w:w="8556"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此项目要求</w:t>
            </w:r>
            <w:r>
              <w:rPr>
                <w:rFonts w:hint="eastAsia" w:ascii="宋体" w:hAnsi="宋体" w:eastAsia="宋体" w:cs="宋体"/>
                <w:b w:val="0"/>
                <w:bCs w:val="0"/>
                <w:color w:val="auto"/>
                <w:sz w:val="21"/>
                <w:szCs w:val="21"/>
                <w:highlight w:val="none"/>
                <w:lang w:val="en-US" w:eastAsia="zh-CN"/>
              </w:rPr>
              <w:t>提供桌面云VDI接入授权30个，支持发布专有桌面、还原桌面、共享桌面等多种桌面资源，满足不同场景的应用需求。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配备存储虚拟化软件模块，并不限制存储容量，提供低成本、高可靠的存储方案，根据实际需求支持两副本及三副本技术。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确保业务连续性，虚拟化平台需支持平滑滚动升级，支持群集不停机情况下的服务器逐台升级，升级时将自动迁移虚拟机至其他主机，不影响业务运行。为保障业务实时性，虚拟化平台非内核级更新支持业务不中断热升级，升级过程无需重启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▲平台内置备份功能，支持虚拟机集中备份与恢复，可按需选择多个虚拟机或全部虚拟机备份至外置存储（NFS、IP-SAN、FC-SAN等），支持设置备份策略，实现全自动化备份。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支持多种类型终端登录桌面云，包括PC台式机、笔记本（含Windows操作系统和MAC笔记本）、云终端（含ARM和X86）、移动终端（手机、平板）等设备接入访问虚拟桌面，终端操作系统支持Windows7/10/11、IOS、MAC OS、Android、Linux、统信UOS、麒麟Kylin OS等。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虚拟机操作系统：</w:t>
            </w:r>
            <w:r>
              <w:rPr>
                <w:rFonts w:hint="eastAsia" w:ascii="宋体" w:hAnsi="宋体" w:eastAsia="宋体" w:cs="宋体"/>
                <w:color w:val="auto"/>
                <w:sz w:val="21"/>
                <w:szCs w:val="21"/>
                <w:highlight w:val="none"/>
              </w:rPr>
              <w:t>支持Windows 7/10/11、Windows Server，支持三种以上的Linux虚拟桌面操作系统，其中要包含国产Linux操作系统统信UOS和麒麟。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为了保障外设兼容性及稳定性，所投产品需支持USB映射，兼容主流使用外设，如高拍仪、扫描枪、扫描仪、摄像头、密码小键盘、指纹收集器、身份证读卡器、手写板、打印机、USB-key等不同外设。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▲为提升云桌面中业务软件的使用体验，可针对当下使用频率较高的软件做进程加速，管理员也可自定义需加速应用进程名，以保障应用的流畅运行。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考虑到数据存储及数据共享需求，所投</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需自带云盘存储方案，通过分配个人盘保护用户个人数据存储需求及隐私保护需求，而共用盘允许所有人访问，实现数据共享需求。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提升用户使用体验，所投桌面云产品需能够达到与PC一致的开关机体验，支持查看终端接入时云桌面的启动/关机过程以及出现异常情况（例如开机打补丁或蓝屏卡死等画面），便于用户进一步处理，提升用户开关机体验，从一定程度降低管理员维护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为了提高桌面稳定性与使用体验，所投产品在连接虚拟桌面时无需依赖虚拟机网络，如用户禁用虚拟机网卡或更改虚拟机IP不能造成桌面会话中断，降低因误操作而导致虚拟桌面连接中断的风险。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为了提高桌面视频播放体验，所投产品需支持视频重定向技术，视频播放时直接重定向到终端本地解码，以达到高清流畅的播放效果同时降低服务器端资源占用，重定向应能够兼容Media Player等多种本地播放器。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为了保障带宽不会被某个用户抢占，所投产品需支持终端流量控制，可设置USB映射、磁盘映射及剪切板的上下行带宽，以避免带宽被抢占，优先保证用户体验。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▲支持就近打印配置，可以根据客户机对象或者终端IP对象关联打印机配置，用户通过终端登录桌面，自动匹配终端管理的打印机配置，实现就近打印。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支持自助快照恢复，当用户自己误操作导致云桌面卡慢、蓝屏、死机或者中病毒的时候，用户通过导航条按钮，可以自助进行系统盘快照还原操作，支持安卓瘦终端、PC客户端。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提供桌面云外设类辅助定位工具，支持针对用户的策略自检、接入外设状态，策略状态，配置指导、常规分析、深入诊断等，提升外设问题的解决效率。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便于用户了解桌面运行状态，性能状态等，提供桌面内置运维工具，可查看桌面运行状态，VDI版本信息，客户端实时带宽/流量/网络时延等，采用的网络协议，传输优化策略，虚拟机资源使用状态、操作系统版本、显示分辨率、连接状态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提高用户在随机池化桌面内的数据访问体验，桌面云平台应支持个人虚拟磁盘功能（高速盘），通过管理界面，维护用户个人账号与虚拟化层保存的块存储文件的对应关系，提供为用户新建、分配、删除、锁定个人虚拟磁盘功能。该磁盘将在用户登录至某个随机池化桌面过程中，自动挂载至该虚拟机并分配固定盘符，并在用户注销时自动移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为了实现大规模部署及简化管理，平台需提供全局模板功能，可通过跨多个虚拟化集群使用全局模板实现云桌面统一创建、统一更新、统一管理，避免管理员需要重复维护多个相同配置的模板。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为了实现大规模部署及简化管理，在单类桌面使用场景下（如同一部门、同一用途），桌面云平台应支持跨越多个虚拟化集群创建桌面组，管理员仅需维护一个桌面组即可。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保障用户的使用体验，并降低云桌面平台的运维难度和减少潜在故障风险节点，所投桌面虚拟化平台自身提供经过优化的用户配置文件管理功能，实现VDI云桌面的“个性化设置跟随用户账号”。用户之前的个性化配置（如chrome配置、输入法配置、ntuser.dat重定向，edge配置、系统凭证、桌面布局等）还能够继续保留使用，并支持指定路径重定向（如C:\SOFT\ABC.INI等），解决特殊软件配置还原后无法保存的问题；支持配置文件存放本地磁盘、网络路径、平台自带网盘等；同时能够支持AD域控和非AD域控两种环境</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支持空闲虚拟机识别，通过算法分析识别一段时间内的空闲和僵尸虚拟机，并能导出统计报告，用于管理员做统计报表和分析，避免不必要的资源开销。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提高打印机配置及维护效率，所投产品需支持通过打印机配置上传、复用等功能，解决打印机快速部署的问题，减少部署工作量。并且在打印机出现问题可以一键替换打印机配置、或清空配置快速添加，提高打印机故障恢复效率</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所投产品需支持桌面还原模式下重启、专有模式下模板更新都不会修丢失打印机配置，无需重复配置打印机，提高用户工作效率和满意度。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需满足高效维护，所投产品需支持批量完成常用配置，如创建用户、删除用户、设置虚拟机IP地址、禁止/踢除用户、关联/解除关联虚拟机、导入导出用户、用户分组。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简化桌面软件管理并满足用户的个性化业务软件需求，桌面云平台应提供软件分发功能，可以将软件分发到特定虚拟机，支持管理员在使用桌面云基础模板完成部署后，能够根据业务部门或员工的个性化软件需求，灵活、快速、高效的给员工分发对应的软件，且软件能够免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便于管理，所投产品应具备文件分发及命令下发能力，可以将文件（文件、程序、脚本）分发到特定的虚拟机，分发的文件可以直接下发到虚拟机的指定位置，也可以通过脚本直接运行，无需用户在桌面虚拟机中再进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提高数据中心专线带宽利用率降低线路资源浪费，同时避免专线资源不足影响云桌面用户使用体验，管理平台应支持监控和统计用户流量和并发用户趋势，以方便管理员及时评估专线带宽需求并调整网络带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满足管理员日常运营数据统计与安全事件发生时信息追溯审计要求，平台应支持管理记录所有用户的登录记录，包括登录账号、终端IP地址、MAC地址、终端型号、登录登出时间等，并支持信息导出，以方便管理员输出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平台平稳运行，避免业务部门因云平台资源不足或异常影响业务开展，平台应可依据虚拟机/服务器/集群当前的资源占用和调度情况，量化出每个虚拟机/服务器/集群的体验和风险的综合评分（评分越低，代表此虚拟机/服务器/集群的使用体验越差，越有可能发生风险问题），且支持查看评分趋势变化图，帮助管理员及时识别相关问题。并且给出处置建议引导管理员解决，如虚机配置不足提示扩容，服务器负载过高建议迁移部分虚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提高桌面云平台问题的处置效率，帮助管理员快速定位问题根因，降低管理员的运维负担。运维平台应可持续性检测并发现虚拟机、主机、集群相关的软硬件问题（如虚机卡慢问题），检测出的问题按照严重程度做分级，并支持结合内置AI智能诊断库，进行自动化问题诊断，可直接在平台上以图文形式直接展示问题分析说明、问题举证分析、问题处置建议，管理员根据处置建议操作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可通过运维平台查看到集群内所有虚拟机的软件安装情况统计，按照软件安装数量做相关排序，同时可以列出安装了特定软件的虚拟机列表。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虚拟机扩容和减配识别，由于用户实际业务的复杂性，每个用户对虚拟机的性能需求有差异，为了更好地平衡体验和资源利用效率，监控平台需要能够智能识别虚拟机是否需要扩容以满足用户体验，还需要识别哪些虚拟机性能过剩，建议管理员做智能降配，以达到主机资源最大利用率</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▲具备智能运维图谱能力，可以通过分析上下游集群、主机、进程之间的关联关系，展示问题传播链路，帮助管理员全面了解平台运行情况，快速定位故障根因，快速解决故障虚拟机，效率显著提升。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top"/>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p>
        </w:tc>
        <w:tc>
          <w:tcPr>
            <w:tcW w:w="8556"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本项目要求提供</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年原厂认证工程师</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技术支持服务</w:t>
            </w:r>
            <w:r>
              <w:rPr>
                <w:rFonts w:hint="eastAsia" w:ascii="宋体" w:hAnsi="宋体" w:eastAsia="宋体" w:cs="宋体"/>
                <w:b/>
                <w:bCs/>
                <w:color w:val="auto"/>
                <w:sz w:val="21"/>
                <w:szCs w:val="21"/>
                <w:highlight w:val="none"/>
                <w:lang w:eastAsia="zh-CN"/>
              </w:rPr>
              <w:t>。</w:t>
            </w:r>
          </w:p>
        </w:tc>
      </w:tr>
    </w:tbl>
    <w:p>
      <w:pPr>
        <w:pStyle w:val="13"/>
        <w:keepNext w:val="0"/>
        <w:keepLines w:val="0"/>
        <w:pageBreakBefore w:val="0"/>
        <w:widowControl w:val="0"/>
        <w:numPr>
          <w:ilvl w:val="0"/>
          <w:numId w:val="0"/>
        </w:numPr>
        <w:kinsoku/>
        <w:wordWrap/>
        <w:overflowPunct/>
        <w:topLinePunct w:val="0"/>
        <w:autoSpaceDE/>
        <w:autoSpaceDN/>
        <w:bidi w:val="0"/>
        <w:spacing w:before="313" w:beforeLines="100" w:after="0" w:line="320" w:lineRule="exact"/>
        <w:jc w:val="center"/>
        <w:rPr>
          <w:rFonts w:hint="eastAsia" w:ascii="宋体" w:hAnsi="宋体" w:eastAsia="宋体" w:cs="宋体"/>
          <w:b/>
          <w:color w:val="auto"/>
          <w:spacing w:val="0"/>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pacing w:val="0"/>
          <w:kern w:val="2"/>
          <w:sz w:val="21"/>
          <w:szCs w:val="21"/>
          <w:highlight w:val="none"/>
          <w:lang w:val="en-US" w:eastAsia="zh-CN" w:bidi="ar-SA"/>
        </w:rPr>
        <w:t>瘦终端</w:t>
      </w:r>
    </w:p>
    <w:tbl>
      <w:tblPr>
        <w:tblStyle w:val="8"/>
        <w:tblW w:w="93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8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81"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532"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81"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532"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本项目要求</w:t>
            </w:r>
            <w:r>
              <w:rPr>
                <w:rFonts w:hint="eastAsia" w:ascii="宋体" w:hAnsi="宋体" w:eastAsia="宋体" w:cs="宋体"/>
                <w:color w:val="auto"/>
                <w:sz w:val="21"/>
                <w:szCs w:val="21"/>
                <w:highlight w:val="none"/>
                <w:lang w:val="en-US" w:eastAsia="zh-CN"/>
              </w:rPr>
              <w:t>瘦</w:t>
            </w:r>
            <w:r>
              <w:rPr>
                <w:rFonts w:hint="eastAsia" w:ascii="宋体" w:hAnsi="宋体" w:eastAsia="宋体" w:cs="宋体"/>
                <w:color w:val="auto"/>
                <w:sz w:val="21"/>
                <w:szCs w:val="21"/>
                <w:highlight w:val="none"/>
              </w:rPr>
              <w:t>终端，与桌面云软件、</w:t>
            </w:r>
            <w:r>
              <w:rPr>
                <w:rFonts w:hint="eastAsia" w:ascii="宋体" w:hAnsi="宋体" w:eastAsia="宋体" w:cs="宋体"/>
                <w:color w:val="auto"/>
                <w:sz w:val="21"/>
                <w:szCs w:val="21"/>
                <w:highlight w:val="none"/>
                <w:lang w:val="en-US" w:eastAsia="zh-CN"/>
              </w:rPr>
              <w:t>现有</w:t>
            </w:r>
            <w:r>
              <w:rPr>
                <w:rFonts w:hint="eastAsia" w:ascii="宋体" w:hAnsi="宋体" w:eastAsia="宋体" w:cs="宋体"/>
                <w:color w:val="auto"/>
                <w:sz w:val="21"/>
                <w:szCs w:val="21"/>
                <w:highlight w:val="none"/>
              </w:rPr>
              <w:t>服务器</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81" w:type="dxa"/>
            <w:vAlign w:val="center"/>
          </w:tcPr>
          <w:p>
            <w:pPr>
              <w:keepNext w:val="0"/>
              <w:keepLines w:val="0"/>
              <w:pageBreakBefore w:val="0"/>
              <w:widowControl w:val="0"/>
              <w:kinsoku/>
              <w:wordWrap/>
              <w:overflowPunct/>
              <w:topLinePunct w:val="0"/>
              <w:autoSpaceDE/>
              <w:autoSpaceDN/>
              <w:bidi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532"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硬件配置：ARM架构，CPU≥</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核1.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Ghz、内存≥</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G、存储≥</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G、USB</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个、USB</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1个</w:t>
            </w:r>
            <w:r>
              <w:rPr>
                <w:rFonts w:hint="eastAsia" w:ascii="宋体" w:hAnsi="宋体" w:eastAsia="宋体" w:cs="宋体"/>
                <w:color w:val="auto"/>
                <w:sz w:val="21"/>
                <w:szCs w:val="21"/>
                <w:highlight w:val="none"/>
                <w:lang w:val="en-US" w:eastAsia="zh-CN"/>
              </w:rPr>
              <w:t>VGA接口</w:t>
            </w:r>
            <w:r>
              <w:rPr>
                <w:rFonts w:hint="eastAsia" w:ascii="宋体" w:hAnsi="宋体" w:eastAsia="宋体" w:cs="宋体"/>
                <w:color w:val="auto"/>
                <w:sz w:val="21"/>
                <w:szCs w:val="21"/>
                <w:highlight w:val="none"/>
              </w:rPr>
              <w:t>、1个</w:t>
            </w:r>
            <w:r>
              <w:rPr>
                <w:rFonts w:hint="eastAsia" w:ascii="宋体" w:hAnsi="宋体" w:eastAsia="宋体" w:cs="宋体"/>
                <w:color w:val="auto"/>
                <w:sz w:val="21"/>
                <w:szCs w:val="21"/>
                <w:highlight w:val="none"/>
                <w:lang w:val="en-US" w:eastAsia="zh-CN"/>
              </w:rPr>
              <w:t>HDMI接口、</w:t>
            </w:r>
            <w:r>
              <w:rPr>
                <w:rFonts w:hint="eastAsia" w:ascii="宋体" w:hAnsi="宋体" w:eastAsia="宋体" w:cs="宋体"/>
                <w:color w:val="auto"/>
                <w:sz w:val="21"/>
                <w:szCs w:val="21"/>
                <w:highlight w:val="none"/>
              </w:rPr>
              <w:t>1个以太网口</w:t>
            </w:r>
            <w:r>
              <w:rPr>
                <w:rFonts w:hint="eastAsia" w:ascii="宋体" w:hAnsi="宋体" w:eastAsia="宋体"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81" w:type="dxa"/>
            <w:vAlign w:val="center"/>
          </w:tcPr>
          <w:p>
            <w:pPr>
              <w:keepNext w:val="0"/>
              <w:keepLines w:val="0"/>
              <w:pageBreakBefore w:val="0"/>
              <w:widowControl w:val="0"/>
              <w:kinsoku/>
              <w:wordWrap/>
              <w:overflowPunct/>
              <w:topLinePunct w:val="0"/>
              <w:autoSpaceDE/>
              <w:autoSpaceDN/>
              <w:bidi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532"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提供原厂安装实施调试及</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年质保服务</w:t>
            </w:r>
            <w:r>
              <w:rPr>
                <w:rFonts w:hint="eastAsia" w:ascii="宋体" w:hAnsi="宋体" w:eastAsia="宋体"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81" w:type="dxa"/>
            <w:vAlign w:val="center"/>
          </w:tcPr>
          <w:p>
            <w:pPr>
              <w:keepNext w:val="0"/>
              <w:keepLines w:val="0"/>
              <w:pageBreakBefore w:val="0"/>
              <w:widowControl w:val="0"/>
              <w:kinsoku/>
              <w:wordWrap/>
              <w:overflowPunct/>
              <w:topLinePunct w:val="0"/>
              <w:autoSpaceDE/>
              <w:autoSpaceDN/>
              <w:bidi w:val="0"/>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532"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在瘦终端的管理方面，需支持分组管理、批量移动、删除、关闭瘦终端，支持配置定时开关机计划及加电自启动功能，支持自定义开机画面、支持联动关机功能、配置自动登录和保存密码</w:t>
            </w:r>
            <w:r>
              <w:rPr>
                <w:rFonts w:hint="eastAsia" w:ascii="宋体" w:hAnsi="宋体" w:eastAsia="宋体" w:cs="宋体"/>
                <w:color w:val="auto"/>
                <w:sz w:val="21"/>
                <w:szCs w:val="21"/>
                <w:highlight w:val="none"/>
                <w:lang w:eastAsia="zh-CN"/>
              </w:rPr>
              <w:t>。</w:t>
            </w:r>
          </w:p>
        </w:tc>
      </w:tr>
    </w:tbl>
    <w:p>
      <w:pPr>
        <w:pStyle w:val="13"/>
        <w:keepNext w:val="0"/>
        <w:keepLines w:val="0"/>
        <w:pageBreakBefore w:val="0"/>
        <w:widowControl w:val="0"/>
        <w:numPr>
          <w:ilvl w:val="0"/>
          <w:numId w:val="0"/>
        </w:numPr>
        <w:kinsoku/>
        <w:wordWrap/>
        <w:overflowPunct/>
        <w:topLinePunct w:val="0"/>
        <w:autoSpaceDE/>
        <w:autoSpaceDN/>
        <w:bidi w:val="0"/>
        <w:spacing w:before="313" w:beforeLines="100" w:after="0" w:line="320" w:lineRule="exact"/>
        <w:jc w:val="center"/>
        <w:rPr>
          <w:rFonts w:hint="eastAsia" w:ascii="宋体" w:hAnsi="宋体" w:eastAsia="宋体" w:cs="宋体"/>
          <w:b/>
          <w:color w:val="auto"/>
          <w:spacing w:val="0"/>
          <w:kern w:val="2"/>
          <w:sz w:val="21"/>
          <w:szCs w:val="21"/>
          <w:highlight w:val="none"/>
          <w:lang w:val="en-US" w:eastAsia="zh-CN" w:bidi="ar-SA"/>
        </w:rPr>
      </w:pPr>
      <w:r>
        <w:rPr>
          <w:rFonts w:hint="eastAsia" w:ascii="宋体" w:hAnsi="宋体" w:eastAsia="宋体" w:cs="宋体"/>
          <w:b w:val="0"/>
          <w:bCs/>
          <w:color w:val="auto"/>
          <w:spacing w:val="0"/>
          <w:kern w:val="2"/>
          <w:sz w:val="21"/>
          <w:szCs w:val="21"/>
          <w:highlight w:val="none"/>
          <w:lang w:val="en-US" w:eastAsia="zh-CN" w:bidi="ar-SA"/>
        </w:rPr>
        <w:t>3.终端显示装置</w:t>
      </w:r>
    </w:p>
    <w:tbl>
      <w:tblPr>
        <w:tblStyle w:val="8"/>
        <w:tblW w:w="93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985"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功能及技术指标</w:t>
            </w:r>
          </w:p>
        </w:tc>
        <w:tc>
          <w:tcPr>
            <w:tcW w:w="733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985" w:type="dxa"/>
            <w:vAlign w:val="center"/>
          </w:tcPr>
          <w:p>
            <w:pPr>
              <w:keepNext w:val="0"/>
              <w:keepLines w:val="0"/>
              <w:pageBreakBefore w:val="0"/>
              <w:widowControl w:val="0"/>
              <w:kinsoku/>
              <w:wordWrap/>
              <w:overflowPunct/>
              <w:topLinePunct w:val="0"/>
              <w:autoSpaceDE/>
              <w:autoSpaceDN/>
              <w:bidi w:val="0"/>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颜色</w:t>
            </w:r>
          </w:p>
        </w:tc>
        <w:tc>
          <w:tcPr>
            <w:tcW w:w="7330"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985" w:type="dxa"/>
            <w:vAlign w:val="center"/>
          </w:tcPr>
          <w:p>
            <w:pPr>
              <w:keepNext w:val="0"/>
              <w:keepLines w:val="0"/>
              <w:pageBreakBefore w:val="0"/>
              <w:widowControl w:val="0"/>
              <w:kinsoku/>
              <w:wordWrap/>
              <w:overflowPunct/>
              <w:topLinePunct w:val="0"/>
              <w:autoSpaceDE/>
              <w:autoSpaceDN/>
              <w:bidi w:val="0"/>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面板</w:t>
            </w:r>
          </w:p>
        </w:tc>
        <w:tc>
          <w:tcPr>
            <w:tcW w:w="7330"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IPS面板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985" w:type="dxa"/>
            <w:vAlign w:val="center"/>
          </w:tcPr>
          <w:p>
            <w:pPr>
              <w:keepNext w:val="0"/>
              <w:keepLines w:val="0"/>
              <w:pageBreakBefore w:val="0"/>
              <w:widowControl w:val="0"/>
              <w:kinsoku/>
              <w:wordWrap/>
              <w:overflowPunct/>
              <w:topLinePunct w:val="0"/>
              <w:autoSpaceDE/>
              <w:autoSpaceDN/>
              <w:bidi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能效标识</w:t>
            </w:r>
          </w:p>
        </w:tc>
        <w:tc>
          <w:tcPr>
            <w:tcW w:w="7330"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985" w:type="dxa"/>
            <w:vAlign w:val="center"/>
          </w:tcPr>
          <w:p>
            <w:pPr>
              <w:keepNext w:val="0"/>
              <w:keepLines w:val="0"/>
              <w:pageBreakBefore w:val="0"/>
              <w:widowControl w:val="0"/>
              <w:kinsoku/>
              <w:wordWrap/>
              <w:overflowPunct/>
              <w:topLinePunct w:val="0"/>
              <w:autoSpaceDE/>
              <w:autoSpaceDN/>
              <w:bidi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w:t>
            </w:r>
          </w:p>
        </w:tc>
        <w:tc>
          <w:tcPr>
            <w:tcW w:w="7330"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23.8英寸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985" w:type="dxa"/>
            <w:vAlign w:val="center"/>
          </w:tcPr>
          <w:p>
            <w:pPr>
              <w:keepNext w:val="0"/>
              <w:keepLines w:val="0"/>
              <w:pageBreakBefore w:val="0"/>
              <w:widowControl w:val="0"/>
              <w:kinsoku/>
              <w:wordWrap/>
              <w:overflowPunct/>
              <w:topLinePunct w:val="0"/>
              <w:autoSpaceDE/>
              <w:autoSpaceDN/>
              <w:bidi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7330"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1920×1080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985" w:type="dxa"/>
            <w:vAlign w:val="center"/>
          </w:tcPr>
          <w:p>
            <w:pPr>
              <w:keepNext w:val="0"/>
              <w:keepLines w:val="0"/>
              <w:pageBreakBefore w:val="0"/>
              <w:widowControl w:val="0"/>
              <w:kinsoku/>
              <w:wordWrap/>
              <w:overflowPunct/>
              <w:topLinePunct w:val="0"/>
              <w:autoSpaceDE/>
              <w:autoSpaceDN/>
              <w:bidi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比例</w:t>
            </w:r>
          </w:p>
        </w:tc>
        <w:tc>
          <w:tcPr>
            <w:tcW w:w="7330"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985" w:type="dxa"/>
            <w:vAlign w:val="center"/>
          </w:tcPr>
          <w:p>
            <w:pPr>
              <w:keepNext w:val="0"/>
              <w:keepLines w:val="0"/>
              <w:pageBreakBefore w:val="0"/>
              <w:widowControl w:val="0"/>
              <w:kinsoku/>
              <w:wordWrap/>
              <w:overflowPunct/>
              <w:topLinePunct w:val="0"/>
              <w:autoSpaceDE/>
              <w:autoSpaceDN/>
              <w:bidi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对比度</w:t>
            </w:r>
          </w:p>
        </w:tc>
        <w:tc>
          <w:tcPr>
            <w:tcW w:w="7330"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985" w:type="dxa"/>
            <w:vAlign w:val="center"/>
          </w:tcPr>
          <w:p>
            <w:pPr>
              <w:keepNext w:val="0"/>
              <w:keepLines w:val="0"/>
              <w:pageBreakBefore w:val="0"/>
              <w:widowControl w:val="0"/>
              <w:kinsoku/>
              <w:wordWrap/>
              <w:overflowPunct/>
              <w:topLinePunct w:val="0"/>
              <w:autoSpaceDE/>
              <w:autoSpaceDN/>
              <w:bidi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接口类型</w:t>
            </w:r>
          </w:p>
        </w:tc>
        <w:tc>
          <w:tcPr>
            <w:tcW w:w="7330"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VGA，DVI</w:t>
            </w:r>
          </w:p>
        </w:tc>
      </w:tr>
    </w:tbl>
    <w:p>
      <w:pPr>
        <w:pStyle w:val="13"/>
        <w:keepNext w:val="0"/>
        <w:keepLines w:val="0"/>
        <w:pageBreakBefore w:val="0"/>
        <w:widowControl w:val="0"/>
        <w:numPr>
          <w:ilvl w:val="0"/>
          <w:numId w:val="0"/>
        </w:numPr>
        <w:kinsoku/>
        <w:wordWrap/>
        <w:overflowPunct/>
        <w:topLinePunct w:val="0"/>
        <w:autoSpaceDE/>
        <w:autoSpaceDN/>
        <w:bidi w:val="0"/>
        <w:spacing w:before="313" w:beforeLines="100" w:after="0" w:line="320" w:lineRule="exact"/>
        <w:jc w:val="center"/>
        <w:rPr>
          <w:rFonts w:hint="eastAsia" w:ascii="宋体" w:hAnsi="宋体" w:eastAsia="宋体" w:cs="宋体"/>
          <w:b/>
          <w:color w:val="auto"/>
          <w:spacing w:val="0"/>
          <w:kern w:val="2"/>
          <w:sz w:val="21"/>
          <w:szCs w:val="21"/>
          <w:highlight w:val="none"/>
          <w:lang w:val="en-US" w:eastAsia="zh-CN" w:bidi="ar-SA"/>
        </w:rPr>
      </w:pPr>
      <w:r>
        <w:rPr>
          <w:rFonts w:hint="eastAsia" w:ascii="宋体" w:hAnsi="宋体" w:eastAsia="宋体" w:cs="宋体"/>
          <w:b w:val="0"/>
          <w:bCs/>
          <w:color w:val="auto"/>
          <w:spacing w:val="0"/>
          <w:kern w:val="2"/>
          <w:sz w:val="21"/>
          <w:szCs w:val="21"/>
          <w:highlight w:val="none"/>
          <w:lang w:val="en-US" w:eastAsia="zh-CN" w:bidi="ar-SA"/>
        </w:rPr>
        <w:t>4.终端接入操作设备</w:t>
      </w:r>
    </w:p>
    <w:tbl>
      <w:tblPr>
        <w:tblStyle w:val="8"/>
        <w:tblW w:w="93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985"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功能及技术指标</w:t>
            </w:r>
          </w:p>
        </w:tc>
        <w:tc>
          <w:tcPr>
            <w:tcW w:w="7363"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985"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配置</w:t>
            </w:r>
          </w:p>
        </w:tc>
        <w:tc>
          <w:tcPr>
            <w:tcW w:w="7363"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每套含键盘1个，鼠标1个；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985" w:type="dxa"/>
            <w:vAlign w:val="center"/>
          </w:tcPr>
          <w:p>
            <w:pPr>
              <w:keepNext w:val="0"/>
              <w:keepLines w:val="0"/>
              <w:pageBreakBefore w:val="0"/>
              <w:widowControl w:val="0"/>
              <w:kinsoku/>
              <w:wordWrap/>
              <w:overflowPunct/>
              <w:topLinePunct w:val="0"/>
              <w:autoSpaceDE/>
              <w:autoSpaceDN/>
              <w:bidi w:val="0"/>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连接方式</w:t>
            </w:r>
          </w:p>
        </w:tc>
        <w:tc>
          <w:tcPr>
            <w:tcW w:w="7363"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Usb 有线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985" w:type="dxa"/>
            <w:vAlign w:val="center"/>
          </w:tcPr>
          <w:p>
            <w:pPr>
              <w:keepNext w:val="0"/>
              <w:keepLines w:val="0"/>
              <w:pageBreakBefore w:val="0"/>
              <w:widowControl w:val="0"/>
              <w:kinsoku/>
              <w:wordWrap/>
              <w:overflowPunct/>
              <w:topLinePunct w:val="0"/>
              <w:autoSpaceDE/>
              <w:autoSpaceDN/>
              <w:bidi w:val="0"/>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工作电压</w:t>
            </w:r>
          </w:p>
        </w:tc>
        <w:tc>
          <w:tcPr>
            <w:tcW w:w="7363" w:type="dxa"/>
            <w:vAlign w:val="center"/>
          </w:tcPr>
          <w:p>
            <w:pPr>
              <w:keepNext w:val="0"/>
              <w:keepLines w:val="0"/>
              <w:pageBreakBefore w:val="0"/>
              <w:widowControl w:val="0"/>
              <w:kinsoku/>
              <w:wordWrap/>
              <w:overflowPunct/>
              <w:topLinePunct w:val="0"/>
              <w:autoSpaceDE/>
              <w:autoSpaceDN/>
              <w:bidi w:val="0"/>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5V</w:t>
            </w:r>
          </w:p>
        </w:tc>
      </w:tr>
    </w:tbl>
    <w:p>
      <w:pPr>
        <w:pStyle w:val="13"/>
        <w:keepNext w:val="0"/>
        <w:keepLines w:val="0"/>
        <w:pageBreakBefore w:val="0"/>
        <w:widowControl w:val="0"/>
        <w:numPr>
          <w:ilvl w:val="0"/>
          <w:numId w:val="0"/>
        </w:numPr>
        <w:kinsoku/>
        <w:wordWrap/>
        <w:overflowPunct/>
        <w:topLinePunct w:val="0"/>
        <w:autoSpaceDE/>
        <w:autoSpaceDN/>
        <w:bidi w:val="0"/>
        <w:spacing w:before="313" w:beforeLines="100" w:after="0" w:line="320" w:lineRule="exact"/>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r>
        <w:rPr>
          <w:rFonts w:hint="eastAsia" w:ascii="宋体" w:hAnsi="宋体" w:eastAsia="宋体" w:cs="宋体"/>
          <w:b w:val="0"/>
          <w:bCs w:val="0"/>
          <w:color w:val="auto"/>
          <w:spacing w:val="0"/>
          <w:kern w:val="2"/>
          <w:sz w:val="21"/>
          <w:szCs w:val="21"/>
          <w:highlight w:val="none"/>
          <w:lang w:val="en-US" w:eastAsia="zh-CN" w:bidi="ar-SA"/>
        </w:rPr>
        <w:t>终端安全防护软件</w:t>
      </w:r>
    </w:p>
    <w:tbl>
      <w:tblPr>
        <w:tblStyle w:val="8"/>
        <w:tblW w:w="9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序号</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★此项目要求</w:t>
            </w:r>
            <w:r>
              <w:rPr>
                <w:rFonts w:hint="eastAsia" w:ascii="宋体" w:hAnsi="宋体" w:eastAsia="宋体" w:cs="宋体"/>
                <w:color w:val="auto"/>
                <w:sz w:val="21"/>
                <w:szCs w:val="21"/>
                <w:highlight w:val="none"/>
                <w:lang w:val="en-US" w:eastAsia="zh-CN"/>
              </w:rPr>
              <w:t>提供30个PC端安全防护授权，并提供3年升级服务。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采用B/S架构的管理控制中心，具备终端安全可视，终端统一管理，统一威胁处置，统一漏洞修复，威胁响应处置，日志记录与查询等功能</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支持全网风险展示，包括但不限于未处理的勒索病毒数量、高级威胁、暴力破解、僵尸网络、WebShell后门、高危漏洞及其各自影响的终端数量</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▲提供勒索病毒整体防护体系入口，直观展示最近七天勒索病毒防护效果，包括已处置的勒索病毒数量、已阻止的勒索病毒行为次数、已阻止的未知进程操作次数、已阻止的暴力破解攻击次数 </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支持按“最近7天”、“最近30天”、“最近三个月”不同时间维度展示病毒查杀事件爆发趋势和病毒TOP5排行榜，并展示对应的事件数及终端数</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▲支持跳转链接至云端威胁情报中心，针对已发生的威胁提供详细的分析结果，包含威胁分析、网络行为、静态分析、分析环境和影响分析。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支持按照扫描网段、扫描方式、扫描协议、扫描端口对终端进行扫描，及时发现尚未纳入管控的终端</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支持终端客户端软件的启用禁用，统一重启和卸载客户端软件</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支持全网视角的终端资产统一清点，便于帮助用户快速发现风险面。清点信息包括操作系统、应用软件、监听端口和终端账户，其中操作系统和监听端口支持从资产和终端两个视角进行统计和展示。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系统账号信息进行梳理，了解账号权限分布概况以及风险账号分布情况，可按照隐藏账号、弱密码账号、可疑root权限账号、长期未使用账号、夜间登录、多IP登录进行账号分类查看，支持统计最近一年未修改密码的账户</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支持根据统计周期、终端名称、IP地址，补丁信息和漏洞等级等多维度的入侵检测日志，杀毒扫描日志，微隔离日志，合规检测日志，管理员操作日志，运维日志，联动日志等的日志查询和检测</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支持导出针对全网终端的终端风险报告，从整体分析全网安全状况，快速了解业务和网络的安全风险，提供安全规划建设建议</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支持客户端的错峰升级，可根据实际情况控制客户端同时升级的最大数量，避免大量终端程序同时更新造成网络拥堵或I/O风暴</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支持配置不同的权限角色，支持超级管理员、普通管理员（管理）、审计管理员（查看）三种权限，并配置可管辖的终端范围，支持管理员账号限制IP登录；支持管理员账号采用双因素认证</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通过智能识别终端环境情况（低配硬件、老旧设备、虚拟化等）和当前终端资源占用，在闲时实时监控和病毒扫描场景，都可智能调整EDR的资源占用（CPU、IO等），为业务让出资源，不卡业务，对业务零摩擦。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具备针对最新未知的文件，使用IOC特征（文件hash、dns、url、ip等）的技术，进行云端查询。云端的安全中心，使用大数据分析平台，基于多维威胁情报、云端沙箱技术、多引擎扩展的检测技术等，秒级响应未知文件的检测结果，构架公有云云查体系</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支持对zip， rar， jar， cab， 7z等常见压缩文件的扫描检测，支持压缩文件层级进行策略配置，最大可配置检查10层压缩文件</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▲支持一键云鉴定服务，提供云端专家+沙箱+多引擎鉴定能力，结合云端威胁情报对已告警的威胁文件再次进行综合研判并给出100%黑白结果，用户可自助对管理平台告警的威胁快速判断是否误报和了解威胁详情。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支持agent安装目录的文件保护，可以保护agent目录和文件实时监控驱动文件，可以保护agent的服务/进程/文件不被恶意删除，以免影响正常功能，导致用户的终端受到病毒入侵</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▲基于勒索病毒攻击过程，建立多维度立体防护机制，提供事前入侵防御-事中反加密-事后检测响应的完整防护体系，展示勒索病毒处置情况，对勒索病毒及变种实现专门有效防御</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▲支持对Windows停更的系统提供专项防护，包括0day漏洞防护、文件防护、暴破入侵防护、系统脆弱点识别和风险端口封堵等多项核心功能</w:t>
            </w:r>
            <w:r>
              <w:rPr>
                <w:rFonts w:hint="eastAsia" w:ascii="宋体" w:hAnsi="宋体" w:eastAsia="宋体" w:cs="宋体"/>
                <w:b w:val="0"/>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构建全网文件信誉库，当一台终端发现某一病毒文件，全网可进行感知并进行针对性查杀，支持处置病毒时选择是否在其它终端上同步处置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具备强力专杀云端下发通道，支持在管理端批量下发强力专杀工具到内网各终端快速响应终端威胁。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▲支持流行Windows高危漏洞的轻补丁免疫防御，支持Windows补丁批量一键修复</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8660" w:type="dxa"/>
            <w:vAlign w:val="center"/>
          </w:tcPr>
          <w:p>
            <w:pPr>
              <w:pStyle w:val="11"/>
              <w:keepNext w:val="0"/>
              <w:keepLines w:val="0"/>
              <w:pageBreakBefore w:val="0"/>
              <w:widowControl w:val="0"/>
              <w:kinsoku/>
              <w:wordWrap/>
              <w:overflowPunct/>
              <w:topLinePunct w:val="0"/>
              <w:autoSpaceDE/>
              <w:autoSpaceDN/>
              <w:bidi w:val="0"/>
              <w:spacing w:line="320" w:lineRule="exact"/>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支持基于IP（组）、服务和角色维度进行流量访问控制，实现对应用服务之间的访问隔离，并且支持对配置项的备份以及恢复操作</w:t>
            </w:r>
            <w:r>
              <w:rPr>
                <w:rFonts w:hint="eastAsia" w:ascii="宋体" w:hAnsi="宋体" w:eastAsia="宋体" w:cs="宋体"/>
                <w:color w:val="auto"/>
                <w:sz w:val="21"/>
                <w:szCs w:val="21"/>
                <w:highlight w:val="none"/>
                <w:lang w:eastAsia="zh-CN"/>
              </w:rPr>
              <w:t>。</w:t>
            </w:r>
          </w:p>
        </w:tc>
      </w:tr>
    </w:tbl>
    <w:p>
      <w:pPr>
        <w:spacing w:line="36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2.4 服务要求</w:t>
      </w:r>
    </w:p>
    <w:p>
      <w:pPr>
        <w:spacing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bidi="ar-SA"/>
        </w:rPr>
        <w:t>按国家规定的产品三包期限要求。</w:t>
      </w:r>
    </w:p>
    <w:p>
      <w:pPr>
        <w:spacing w:line="360" w:lineRule="auto"/>
        <w:ind w:firstLine="630" w:firstLineChars="3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bidi="ar-SA"/>
        </w:rPr>
        <w:t>供应商提供的</w:t>
      </w:r>
      <w:r>
        <w:rPr>
          <w:rFonts w:hint="eastAsia" w:ascii="宋体" w:hAnsi="宋体" w:cs="宋体"/>
          <w:b w:val="0"/>
          <w:bCs w:val="0"/>
          <w:color w:val="auto"/>
          <w:kern w:val="2"/>
          <w:sz w:val="21"/>
          <w:szCs w:val="21"/>
          <w:highlight w:val="none"/>
          <w:lang w:val="en-US" w:eastAsia="zh-CN" w:bidi="ar-SA"/>
        </w:rPr>
        <w:t>设备</w:t>
      </w:r>
      <w:r>
        <w:rPr>
          <w:rFonts w:hint="eastAsia" w:ascii="宋体" w:hAnsi="宋体" w:eastAsia="宋体" w:cs="宋体"/>
          <w:b w:val="0"/>
          <w:bCs w:val="0"/>
          <w:color w:val="auto"/>
          <w:kern w:val="2"/>
          <w:sz w:val="21"/>
          <w:szCs w:val="21"/>
          <w:highlight w:val="none"/>
          <w:lang w:val="en-US" w:eastAsia="zh-CN" w:bidi="ar-SA"/>
        </w:rPr>
        <w:t>质量必须符合国家相关标准、行业标准及采购文件要求。</w:t>
      </w:r>
    </w:p>
    <w:p>
      <w:pPr>
        <w:spacing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bidi="ar-SA"/>
        </w:rPr>
        <w:t>供应商提供的</w:t>
      </w:r>
      <w:r>
        <w:rPr>
          <w:rFonts w:hint="eastAsia" w:ascii="宋体" w:hAnsi="宋体" w:cs="宋体"/>
          <w:b w:val="0"/>
          <w:bCs w:val="0"/>
          <w:color w:val="auto"/>
          <w:kern w:val="2"/>
          <w:sz w:val="21"/>
          <w:szCs w:val="21"/>
          <w:highlight w:val="none"/>
          <w:lang w:val="en-US" w:eastAsia="zh-CN" w:bidi="ar-SA"/>
        </w:rPr>
        <w:t>设备</w:t>
      </w:r>
      <w:r>
        <w:rPr>
          <w:rFonts w:hint="eastAsia" w:ascii="宋体" w:hAnsi="宋体" w:eastAsia="宋体" w:cs="宋体"/>
          <w:b w:val="0"/>
          <w:bCs w:val="0"/>
          <w:color w:val="auto"/>
          <w:kern w:val="2"/>
          <w:sz w:val="21"/>
          <w:szCs w:val="21"/>
          <w:highlight w:val="none"/>
          <w:lang w:val="en-US" w:eastAsia="zh-CN" w:bidi="ar-SA"/>
        </w:rPr>
        <w:t>必须为原装出厂、正版、全新未启封、无污、表面无划痕、无缺陷隐患的产品，来源渠道合法，各项技术指标符合国家有关质量检测和环保标准，且无任何的侵权行为，</w:t>
      </w:r>
      <w:r>
        <w:rPr>
          <w:rFonts w:hint="eastAsia" w:ascii="宋体" w:hAnsi="宋体" w:cs="宋体"/>
          <w:b w:val="0"/>
          <w:bCs w:val="0"/>
          <w:color w:val="auto"/>
          <w:kern w:val="2"/>
          <w:sz w:val="21"/>
          <w:szCs w:val="21"/>
          <w:highlight w:val="none"/>
          <w:lang w:val="en-US" w:eastAsia="zh-CN" w:bidi="ar-SA"/>
        </w:rPr>
        <w:t>设备</w:t>
      </w:r>
      <w:r>
        <w:rPr>
          <w:rFonts w:hint="eastAsia" w:ascii="宋体" w:hAnsi="宋体" w:eastAsia="宋体" w:cs="宋体"/>
          <w:b w:val="0"/>
          <w:bCs w:val="0"/>
          <w:color w:val="auto"/>
          <w:kern w:val="2"/>
          <w:sz w:val="21"/>
          <w:szCs w:val="21"/>
          <w:highlight w:val="none"/>
          <w:lang w:val="en-US" w:eastAsia="zh-CN" w:bidi="ar-SA"/>
        </w:rPr>
        <w:t>在开箱检验时必须完好，无破损。</w:t>
      </w:r>
    </w:p>
    <w:p>
      <w:pPr>
        <w:spacing w:line="36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四</w:t>
      </w:r>
      <w:r>
        <w:rPr>
          <w:rFonts w:hint="eastAsia" w:ascii="宋体" w:hAnsi="宋体" w:cs="宋体"/>
          <w:color w:val="auto"/>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bidi="ar-SA"/>
        </w:rPr>
        <w:t>供应商提供的</w:t>
      </w:r>
      <w:r>
        <w:rPr>
          <w:rFonts w:hint="eastAsia" w:ascii="宋体" w:hAnsi="宋体" w:cs="宋体"/>
          <w:b w:val="0"/>
          <w:bCs w:val="0"/>
          <w:color w:val="auto"/>
          <w:kern w:val="2"/>
          <w:sz w:val="21"/>
          <w:szCs w:val="21"/>
          <w:highlight w:val="none"/>
          <w:lang w:val="en-US" w:eastAsia="zh-CN" w:bidi="ar-SA"/>
        </w:rPr>
        <w:t>设备</w:t>
      </w:r>
      <w:r>
        <w:rPr>
          <w:rFonts w:hint="eastAsia" w:ascii="宋体" w:hAnsi="宋体" w:eastAsia="宋体" w:cs="宋体"/>
          <w:b w:val="0"/>
          <w:bCs w:val="0"/>
          <w:color w:val="auto"/>
          <w:kern w:val="2"/>
          <w:sz w:val="21"/>
          <w:szCs w:val="21"/>
          <w:highlight w:val="none"/>
          <w:lang w:val="en-US" w:eastAsia="zh-CN" w:bidi="ar-SA"/>
        </w:rPr>
        <w:t>须按国家规定的标准及保护措施进行包装，包装材料、标识和随货资料应符合国家的有关要求。凡由于包装不良造成的损失和由此产生的费用均由供应商承担。</w:t>
      </w:r>
    </w:p>
    <w:p>
      <w:pPr>
        <w:spacing w:line="360" w:lineRule="auto"/>
        <w:ind w:firstLine="420" w:firstLineChars="200"/>
        <w:rPr>
          <w:rFonts w:hint="eastAsia" w:ascii="Times New Roman" w:hAnsi="Times New Roman" w:eastAsia="宋体" w:cs="Tahoma"/>
          <w:b w:val="0"/>
          <w:bCs/>
          <w:color w:val="auto"/>
          <w:kern w:val="28"/>
          <w:sz w:val="21"/>
          <w:szCs w:val="21"/>
          <w:highlight w:val="none"/>
          <w:lang w:val="en-US" w:eastAsia="zh-CN" w:bidi="ar-SA"/>
        </w:rPr>
      </w:pPr>
      <w:r>
        <w:rPr>
          <w:rFonts w:hint="eastAsia" w:ascii="Times New Roman" w:hAnsi="Times New Roman" w:eastAsia="宋体" w:cs="Tahoma"/>
          <w:b w:val="0"/>
          <w:bCs/>
          <w:color w:val="auto"/>
          <w:kern w:val="28"/>
          <w:sz w:val="21"/>
          <w:szCs w:val="21"/>
          <w:highlight w:val="none"/>
          <w:lang w:val="en-US" w:eastAsia="zh-CN" w:bidi="ar-SA"/>
        </w:rPr>
        <w:t>★（五）质保期≥3年。质保期内非因采购人的人为原因而出现产品质量及安装问题，由成交供应商负责包修、包换或包退，并承担因此而产生的一切费用。</w:t>
      </w:r>
    </w:p>
    <w:p>
      <w:pPr>
        <w:spacing w:line="360" w:lineRule="exact"/>
        <w:ind w:firstLine="420" w:firstLineChars="200"/>
        <w:rPr>
          <w:rFonts w:hint="eastAsia" w:ascii="宋体" w:hAnsi="宋体" w:eastAsia="宋体" w:cs="宋体"/>
          <w:b w:val="0"/>
          <w:bCs w:val="0"/>
          <w:color w:val="auto"/>
          <w:kern w:val="2"/>
          <w:sz w:val="21"/>
          <w:szCs w:val="21"/>
          <w:highlight w:val="none"/>
          <w:lang w:val="en-US" w:eastAsia="zh-CN" w:bidi="ar-SA"/>
        </w:rPr>
      </w:pPr>
    </w:p>
    <w:p>
      <w:pPr>
        <w:numPr>
          <w:ilvl w:val="0"/>
          <w:numId w:val="2"/>
        </w:numPr>
        <w:spacing w:line="360" w:lineRule="exact"/>
        <w:rPr>
          <w:rFonts w:hint="eastAsia" w:ascii="宋体" w:hAnsi="宋体"/>
          <w:b/>
          <w:bCs/>
          <w:color w:val="auto"/>
          <w:szCs w:val="21"/>
          <w:highlight w:val="none"/>
        </w:rPr>
      </w:pPr>
      <w:r>
        <w:rPr>
          <w:rFonts w:hint="eastAsia" w:ascii="宋体" w:hAnsi="宋体"/>
          <w:b/>
          <w:bCs/>
          <w:color w:val="auto"/>
          <w:szCs w:val="21"/>
          <w:highlight w:val="none"/>
        </w:rPr>
        <w:t>交货与验收</w:t>
      </w:r>
    </w:p>
    <w:p>
      <w:pPr>
        <w:spacing w:line="360" w:lineRule="exact"/>
        <w:ind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3.1 交货时间：</w:t>
      </w:r>
      <w:r>
        <w:rPr>
          <w:rFonts w:hint="eastAsia" w:ascii="宋体" w:hAnsi="宋体" w:cs="宋体"/>
          <w:b w:val="0"/>
          <w:bCs w:val="0"/>
          <w:color w:val="auto"/>
          <w:szCs w:val="21"/>
          <w:highlight w:val="none"/>
          <w:lang w:val="en-US" w:eastAsia="zh-CN"/>
        </w:rPr>
        <w:t>乙方</w:t>
      </w:r>
      <w:r>
        <w:rPr>
          <w:rFonts w:hint="eastAsia" w:ascii="宋体" w:hAnsi="宋体" w:eastAsia="宋体" w:cs="宋体"/>
          <w:b w:val="0"/>
          <w:bCs w:val="0"/>
          <w:color w:val="auto"/>
          <w:szCs w:val="21"/>
          <w:highlight w:val="none"/>
          <w:lang w:val="en-US" w:eastAsia="zh-CN"/>
        </w:rPr>
        <w:t>收到</w:t>
      </w:r>
      <w:r>
        <w:rPr>
          <w:rFonts w:hint="eastAsia" w:ascii="宋体" w:hAnsi="宋体" w:cs="宋体"/>
          <w:b w:val="0"/>
          <w:bCs w:val="0"/>
          <w:color w:val="auto"/>
          <w:szCs w:val="21"/>
          <w:highlight w:val="none"/>
          <w:lang w:val="en-US" w:eastAsia="zh-CN"/>
        </w:rPr>
        <w:t>甲方</w:t>
      </w:r>
      <w:r>
        <w:rPr>
          <w:rFonts w:hint="eastAsia" w:ascii="宋体" w:hAnsi="宋体" w:eastAsia="宋体" w:cs="宋体"/>
          <w:b w:val="0"/>
          <w:bCs w:val="0"/>
          <w:color w:val="auto"/>
          <w:szCs w:val="21"/>
          <w:highlight w:val="none"/>
          <w:lang w:val="en-US" w:eastAsia="zh-CN"/>
        </w:rPr>
        <w:t>通知后，于2个工作日内将按需下单的</w:t>
      </w:r>
      <w:r>
        <w:rPr>
          <w:rFonts w:hint="eastAsia" w:ascii="宋体" w:hAnsi="宋体" w:cs="宋体"/>
          <w:b w:val="0"/>
          <w:bCs w:val="0"/>
          <w:color w:val="auto"/>
          <w:szCs w:val="21"/>
          <w:highlight w:val="none"/>
          <w:lang w:val="en-US" w:eastAsia="zh-CN"/>
        </w:rPr>
        <w:t>设备</w:t>
      </w:r>
      <w:r>
        <w:rPr>
          <w:rFonts w:hint="eastAsia" w:ascii="宋体" w:hAnsi="宋体" w:eastAsia="宋体" w:cs="宋体"/>
          <w:b w:val="0"/>
          <w:bCs w:val="0"/>
          <w:color w:val="auto"/>
          <w:szCs w:val="21"/>
          <w:highlight w:val="none"/>
          <w:lang w:val="en-US" w:eastAsia="zh-CN"/>
        </w:rPr>
        <w:t>送到采购人指定位置，核对无误后，双方签署送货单。</w:t>
      </w:r>
    </w:p>
    <w:p>
      <w:pPr>
        <w:spacing w:line="360" w:lineRule="exact"/>
        <w:ind w:firstLine="420" w:firstLineChars="200"/>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3.2 交货方式：乙方负责运输并承担运费及运输风险，设备外包装须完好无损。</w:t>
      </w:r>
    </w:p>
    <w:p>
      <w:pPr>
        <w:spacing w:line="360" w:lineRule="exact"/>
        <w:ind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 安装与</w:t>
      </w:r>
      <w:r>
        <w:rPr>
          <w:rFonts w:hint="eastAsia" w:ascii="宋体" w:hAnsi="宋体" w:cs="宋体"/>
          <w:color w:val="auto"/>
          <w:szCs w:val="21"/>
          <w:highlight w:val="none"/>
          <w:lang w:val="en-US" w:eastAsia="zh-CN"/>
        </w:rPr>
        <w:t>交付</w:t>
      </w:r>
      <w:r>
        <w:rPr>
          <w:rFonts w:hint="eastAsia" w:ascii="宋体" w:hAnsi="宋体" w:eastAsia="宋体" w:cs="宋体"/>
          <w:color w:val="auto"/>
          <w:szCs w:val="21"/>
          <w:highlight w:val="none"/>
          <w:lang w:val="en-US" w:eastAsia="zh-CN"/>
        </w:rPr>
        <w:t>：乙方负责设备的安装、调试及操作培训，确保设备与甲方的</w:t>
      </w:r>
      <w:r>
        <w:rPr>
          <w:rFonts w:hint="eastAsia" w:ascii="宋体" w:hAnsi="宋体" w:cs="宋体"/>
          <w:color w:val="auto"/>
          <w:szCs w:val="21"/>
          <w:highlight w:val="none"/>
          <w:lang w:val="en-US" w:eastAsia="zh-CN"/>
        </w:rPr>
        <w:t>服务器、现有网络环境</w:t>
      </w:r>
      <w:r>
        <w:rPr>
          <w:rFonts w:hint="eastAsia" w:ascii="宋体" w:hAnsi="宋体" w:eastAsia="宋体" w:cs="宋体"/>
          <w:color w:val="auto"/>
          <w:szCs w:val="21"/>
          <w:highlight w:val="none"/>
          <w:lang w:val="en-US" w:eastAsia="zh-CN"/>
        </w:rPr>
        <w:t>对接无误，安装完成后，双方验收。</w:t>
      </w:r>
    </w:p>
    <w:p>
      <w:pPr>
        <w:spacing w:line="36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3.4 验收标准</w:t>
      </w:r>
    </w:p>
    <w:p>
      <w:pPr>
        <w:numPr>
          <w:ilvl w:val="-1"/>
          <w:numId w:val="0"/>
        </w:numPr>
        <w:spacing w:line="3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甲方在收到设备后依据本合同第二条进行现场验收，验收内容包括设备外观、数量、技术参数、功能测试</w:t>
      </w:r>
      <w:r>
        <w:rPr>
          <w:rFonts w:hint="eastAsia" w:ascii="宋体" w:hAnsi="宋体" w:cs="宋体"/>
          <w:color w:val="auto"/>
          <w:szCs w:val="21"/>
          <w:highlight w:val="none"/>
          <w:lang w:val="en-US" w:eastAsia="zh-CN"/>
        </w:rPr>
        <w:t>。</w:t>
      </w:r>
    </w:p>
    <w:p>
      <w:pPr>
        <w:numPr>
          <w:ilvl w:val="-1"/>
          <w:numId w:val="0"/>
        </w:numPr>
        <w:spacing w:line="3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r>
        <w:rPr>
          <w:rFonts w:hint="eastAsia" w:ascii="宋体" w:hAnsi="宋体" w:eastAsia="宋体" w:cs="宋体"/>
          <w:color w:val="auto"/>
          <w:szCs w:val="21"/>
          <w:highlight w:val="none"/>
          <w:lang w:val="en-US" w:eastAsia="zh-CN"/>
        </w:rPr>
        <w:t>售后</w:t>
      </w:r>
      <w:r>
        <w:rPr>
          <w:rFonts w:hint="eastAsia" w:ascii="宋体" w:hAnsi="宋体" w:cs="宋体"/>
          <w:color w:val="auto"/>
          <w:szCs w:val="21"/>
          <w:highlight w:val="none"/>
          <w:lang w:val="en-US" w:eastAsia="zh-CN"/>
        </w:rPr>
        <w:t>服务</w:t>
      </w:r>
    </w:p>
    <w:p>
      <w:pPr>
        <w:pStyle w:val="3"/>
        <w:numPr>
          <w:ilvl w:val="-1"/>
          <w:numId w:val="0"/>
        </w:numPr>
        <w:spacing w:line="360" w:lineRule="exact"/>
        <w:ind w:firstLine="420" w:firstLineChars="200"/>
        <w:rPr>
          <w:rFonts w:hint="eastAsia" w:ascii="宋体" w:hAnsi="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lang w:eastAsia="zh-CN"/>
        </w:rPr>
        <w:t>）</w:t>
      </w:r>
      <w:r>
        <w:rPr>
          <w:rFonts w:hint="eastAsia" w:ascii="宋体" w:hAnsi="宋体"/>
          <w:color w:val="auto"/>
          <w:sz w:val="21"/>
          <w:szCs w:val="21"/>
          <w:highlight w:val="none"/>
          <w:lang w:val="en-US" w:eastAsia="zh-CN"/>
        </w:rPr>
        <w:t xml:space="preserve">设备质保期须按照招标文件要求的原厂质保服务承诺严格执行。质保期内，乙方负责对其提供的设备整机进行维修，并且保证每季度上门检修一次，不再向甲方收取费用。免费质保期自验收合格之日算起。免费质保期过后，如需乙方继续对项目进行维护，每年的维护费不高于总合同价的8%。 </w:t>
      </w:r>
    </w:p>
    <w:p>
      <w:pPr>
        <w:pStyle w:val="3"/>
        <w:numPr>
          <w:ilvl w:val="-1"/>
          <w:numId w:val="0"/>
        </w:numPr>
        <w:spacing w:line="360" w:lineRule="exact"/>
        <w:ind w:firstLine="420" w:firstLineChars="2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（二）乙方所投软件授权永久终生免费授权，不因更换服务器而重新购买授权。</w:t>
      </w:r>
    </w:p>
    <w:p>
      <w:pPr>
        <w:pStyle w:val="3"/>
        <w:numPr>
          <w:ilvl w:val="-1"/>
          <w:numId w:val="0"/>
        </w:numPr>
        <w:spacing w:line="360" w:lineRule="exact"/>
        <w:ind w:firstLine="420" w:firstLineChars="2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（三）乙方须向甲方提供7×24小时电话支持、远程技术支持服务。紧急故障时10分钟内要做出有效响应，2个小时内要到现场，如果经过评估没法解除故障，需要提供备机服务。</w:t>
      </w:r>
    </w:p>
    <w:p>
      <w:pPr>
        <w:pStyle w:val="3"/>
        <w:numPr>
          <w:ilvl w:val="-1"/>
          <w:numId w:val="0"/>
        </w:numPr>
        <w:spacing w:line="360" w:lineRule="exact"/>
        <w:ind w:firstLine="420" w:firstLineChars="2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（四）为保证交付和后续运维，要求桌面云厂商提供所有管理平台相关的组件，包括但不限于管理平台的操作系统、数据库、中间件等。</w:t>
      </w:r>
    </w:p>
    <w:p>
      <w:pPr>
        <w:pStyle w:val="3"/>
        <w:numPr>
          <w:ilvl w:val="-1"/>
          <w:numId w:val="0"/>
        </w:numPr>
        <w:spacing w:line="360" w:lineRule="exact"/>
        <w:ind w:firstLine="420" w:firstLineChars="2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（五）乙方负责为甲方免费培训本项目书中的所有软件的安装、使用培训。免费培训1-2名系统维护人员，通过培训，使维护人员能熟练规范的进行操作，对一般故障能进行处理和日常维护。</w:t>
      </w:r>
    </w:p>
    <w:p>
      <w:pPr>
        <w:numPr>
          <w:ilvl w:val="0"/>
          <w:numId w:val="2"/>
        </w:numPr>
        <w:spacing w:line="360" w:lineRule="exact"/>
        <w:rPr>
          <w:rFonts w:hint="eastAsia" w:ascii="宋体" w:hAnsi="宋体"/>
          <w:b/>
          <w:bCs/>
          <w:color w:val="auto"/>
          <w:szCs w:val="21"/>
          <w:highlight w:val="none"/>
        </w:rPr>
      </w:pPr>
      <w:r>
        <w:rPr>
          <w:rFonts w:hint="eastAsia" w:ascii="宋体" w:hAnsi="宋体"/>
          <w:b/>
          <w:bCs/>
          <w:color w:val="auto"/>
          <w:szCs w:val="21"/>
          <w:highlight w:val="none"/>
        </w:rPr>
        <w:t>付款方式</w:t>
      </w:r>
    </w:p>
    <w:p>
      <w:pPr>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r>
        <w:rPr>
          <w:rFonts w:hint="eastAsia" w:ascii="宋体" w:hAnsi="宋体"/>
          <w:color w:val="auto"/>
          <w:szCs w:val="21"/>
          <w:highlight w:val="none"/>
        </w:rPr>
        <w:t>.1.本合同以人民币转账方式支付， 本项目分三期支付</w:t>
      </w:r>
      <w:r>
        <w:rPr>
          <w:rFonts w:hint="eastAsia" w:ascii="宋体" w:hAnsi="宋体"/>
          <w:color w:val="auto"/>
          <w:szCs w:val="21"/>
          <w:highlight w:val="none"/>
          <w:lang w:eastAsia="zh-CN"/>
        </w:rPr>
        <w:t>：</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第一期：合同签订完成后，合同设备送达甲方指定地点，交付并完成安装，其中瘦终端的累计供货数量达到项目采购瘦终端数量的</w:t>
      </w:r>
      <w:r>
        <w:rPr>
          <w:rFonts w:hint="eastAsia" w:ascii="宋体" w:hAnsi="宋体"/>
          <w:color w:val="auto"/>
          <w:szCs w:val="21"/>
          <w:highlight w:val="none"/>
          <w:lang w:val="en-US" w:eastAsia="zh-CN"/>
        </w:rPr>
        <w:t>3</w:t>
      </w:r>
      <w:r>
        <w:rPr>
          <w:rFonts w:hint="eastAsia" w:ascii="宋体" w:hAnsi="宋体"/>
          <w:color w:val="auto"/>
          <w:szCs w:val="21"/>
          <w:highlight w:val="none"/>
        </w:rPr>
        <w:t>0%，验收合格，双方签署阶段性验收表，乙方向甲方提交整体项目合同款项</w:t>
      </w:r>
      <w:r>
        <w:rPr>
          <w:rFonts w:hint="eastAsia" w:ascii="宋体" w:hAnsi="宋体"/>
          <w:color w:val="auto"/>
          <w:szCs w:val="21"/>
          <w:highlight w:val="none"/>
          <w:lang w:val="en-US" w:eastAsia="zh-CN"/>
        </w:rPr>
        <w:t>3</w:t>
      </w:r>
      <w:r>
        <w:rPr>
          <w:rFonts w:hint="eastAsia" w:ascii="宋体" w:hAnsi="宋体"/>
          <w:color w:val="auto"/>
          <w:szCs w:val="21"/>
          <w:highlight w:val="none"/>
        </w:rPr>
        <w:t>0%的发票，甲方向乙方支付</w:t>
      </w:r>
      <w:r>
        <w:rPr>
          <w:rFonts w:hint="eastAsia" w:ascii="宋体" w:hAnsi="宋体"/>
          <w:color w:val="auto"/>
          <w:szCs w:val="21"/>
          <w:highlight w:val="none"/>
          <w:lang w:val="en-US" w:eastAsia="zh-CN"/>
        </w:rPr>
        <w:t>3</w:t>
      </w:r>
      <w:r>
        <w:rPr>
          <w:rFonts w:hint="eastAsia" w:ascii="宋体" w:hAnsi="宋体"/>
          <w:color w:val="auto"/>
          <w:szCs w:val="21"/>
          <w:highlight w:val="none"/>
        </w:rPr>
        <w:t>0%合同款，即大写：人民币XXX元整（小写：¥XXX.00）。</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二期：合同设备送达甲方指定地点，交付并完成安装，其中瘦终端的累计供货数量达到项目采购瘦终端数量的70%，验收合格，双方签署阶段性验收表，乙方向甲方提交整体项目合同款项40%的发票，甲方向乙方支付40%合同款，即大写：人民币XXX元整（小写：¥XXX.00）。</w:t>
      </w:r>
    </w:p>
    <w:p>
      <w:pPr>
        <w:spacing w:line="36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第三期：合同设备送达甲方指定地点，交付并完成安装，其中瘦终端的累计供货数量达到项目采购瘦终端数量的100%，验收合格，双方签署阶段性验收表，乙方向甲方提交整体项目合同款项30%的发票，甲方向乙方支付30%合同款，即大写：人民币XXX元整（小写：¥XXX.00）。</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eastAsia="zh-CN"/>
        </w:rPr>
        <w:t>2</w:t>
      </w:r>
      <w:r>
        <w:rPr>
          <w:rFonts w:hint="eastAsia" w:ascii="宋体" w:hAnsi="宋体"/>
          <w:color w:val="auto"/>
          <w:szCs w:val="21"/>
          <w:highlight w:val="none"/>
        </w:rPr>
        <w:t xml:space="preserve"> 每期支付前由乙方提出验收申请，并向</w:t>
      </w:r>
      <w:r>
        <w:rPr>
          <w:rFonts w:hint="eastAsia"/>
          <w:color w:val="auto"/>
          <w:highlight w:val="none"/>
          <w:lang w:val="en-US" w:eastAsia="zh-CN"/>
        </w:rPr>
        <w:t>甲方</w:t>
      </w:r>
      <w:r>
        <w:rPr>
          <w:rFonts w:hint="eastAsia" w:ascii="宋体" w:hAnsi="宋体"/>
          <w:color w:val="auto"/>
          <w:szCs w:val="21"/>
          <w:highlight w:val="none"/>
        </w:rPr>
        <w:t>提交以下资料：</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)合同（复印件）；</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)经甲乙双方签字确认的验收表;</w:t>
      </w:r>
    </w:p>
    <w:p>
      <w:pPr>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)乙方开具的支付金额等额的正规发票（含税）</w:t>
      </w:r>
      <w:r>
        <w:rPr>
          <w:rFonts w:hint="eastAsia" w:ascii="宋体" w:hAnsi="宋体"/>
          <w:color w:val="auto"/>
          <w:szCs w:val="21"/>
          <w:highlight w:val="none"/>
          <w:lang w:val="en-US" w:eastAsia="zh-CN"/>
        </w:rPr>
        <w:t>甲方</w:t>
      </w:r>
      <w:r>
        <w:rPr>
          <w:rFonts w:hint="eastAsia" w:ascii="宋体" w:hAnsi="宋体"/>
          <w:color w:val="auto"/>
          <w:szCs w:val="21"/>
          <w:highlight w:val="none"/>
        </w:rPr>
        <w:t>确认无误后60日内支付</w:t>
      </w:r>
      <w:r>
        <w:rPr>
          <w:rFonts w:hint="eastAsia" w:ascii="宋体" w:hAnsi="宋体"/>
          <w:color w:val="auto"/>
          <w:szCs w:val="21"/>
          <w:highlight w:val="none"/>
          <w:lang w:eastAsia="zh-CN"/>
        </w:rPr>
        <w:t>，</w:t>
      </w:r>
    </w:p>
    <w:p>
      <w:pPr>
        <w:spacing w:line="36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(4)送货单。</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.因甲方使用的是财政资金，按政府审批流程支付，若审批延迟则相应货款到账延迟，不视为甲方违约。</w:t>
      </w:r>
    </w:p>
    <w:p>
      <w:pPr>
        <w:spacing w:line="360" w:lineRule="exac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4 </w:t>
      </w:r>
      <w:r>
        <w:rPr>
          <w:rFonts w:hint="eastAsia" w:ascii="宋体" w:hAnsi="宋体" w:cs="宋体"/>
          <w:color w:val="auto"/>
          <w:sz w:val="21"/>
          <w:szCs w:val="21"/>
          <w:highlight w:val="none"/>
          <w:lang w:val="en-US" w:eastAsia="zh-CN"/>
        </w:rPr>
        <w:t>双方银行账户信息</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甲方开户名称：中山市黄圃人民医院</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银行账户：12442000G19169144L</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开户银行：中国工商银行股份有限公司中山黄圃支行</w:t>
      </w:r>
    </w:p>
    <w:p>
      <w:pPr>
        <w:pStyle w:val="3"/>
        <w:spacing w:line="360" w:lineRule="exact"/>
        <w:rPr>
          <w:rFonts w:hint="eastAsia" w:ascii="宋体" w:hAnsi="宋体"/>
          <w:color w:val="auto"/>
          <w:sz w:val="21"/>
          <w:szCs w:val="21"/>
          <w:highlight w:val="none"/>
        </w:rPr>
      </w:pPr>
    </w:p>
    <w:p>
      <w:pPr>
        <w:spacing w:line="360" w:lineRule="exact"/>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rPr>
        <w:t>乙方开户名称：</w:t>
      </w:r>
      <w:r>
        <w:rPr>
          <w:rFonts w:hint="eastAsia" w:ascii="宋体" w:hAnsi="宋体"/>
          <w:color w:val="auto"/>
          <w:szCs w:val="21"/>
          <w:highlight w:val="none"/>
          <w:lang w:val="en-US" w:eastAsia="zh-CN"/>
        </w:rPr>
        <w:t>XXX</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银行账户：</w:t>
      </w:r>
      <w:r>
        <w:rPr>
          <w:rFonts w:hint="eastAsia" w:ascii="宋体" w:hAnsi="宋体"/>
          <w:color w:val="auto"/>
          <w:szCs w:val="21"/>
          <w:highlight w:val="none"/>
          <w:lang w:val="en-US" w:eastAsia="zh-CN"/>
        </w:rPr>
        <w:t>XXX</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lang w:val="en-US" w:eastAsia="zh-CN"/>
        </w:rPr>
        <w:t>XXX</w:t>
      </w:r>
      <w:r>
        <w:rPr>
          <w:rFonts w:hint="eastAsia" w:ascii="宋体" w:hAnsi="宋体"/>
          <w:color w:val="auto"/>
          <w:szCs w:val="21"/>
          <w:highlight w:val="none"/>
        </w:rPr>
        <w:t xml:space="preserve"> </w:t>
      </w:r>
    </w:p>
    <w:p>
      <w:pPr>
        <w:spacing w:line="360" w:lineRule="exact"/>
        <w:ind w:firstLine="420" w:firstLineChars="200"/>
        <w:rPr>
          <w:rFonts w:hint="eastAsia" w:ascii="宋体" w:hAnsi="宋体"/>
          <w:color w:val="auto"/>
          <w:szCs w:val="21"/>
          <w:highlight w:val="none"/>
        </w:rPr>
      </w:pPr>
    </w:p>
    <w:p>
      <w:pPr>
        <w:spacing w:line="360" w:lineRule="exact"/>
        <w:rPr>
          <w:rFonts w:hint="eastAsia" w:ascii="宋体" w:hAnsi="宋体"/>
          <w:color w:val="auto"/>
          <w:szCs w:val="21"/>
          <w:highlight w:val="none"/>
        </w:rPr>
      </w:pPr>
      <w:r>
        <w:rPr>
          <w:rFonts w:hint="eastAsia" w:ascii="宋体" w:hAnsi="宋体"/>
          <w:b/>
          <w:bCs/>
          <w:color w:val="auto"/>
          <w:szCs w:val="21"/>
          <w:highlight w:val="none"/>
        </w:rPr>
        <w:t>第五条 售后服务</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 乙方对所售出产品实行保修</w:t>
      </w:r>
      <w:r>
        <w:rPr>
          <w:rFonts w:hint="eastAsia" w:ascii="宋体" w:hAnsi="宋体"/>
          <w:color w:val="auto"/>
          <w:szCs w:val="21"/>
          <w:highlight w:val="none"/>
          <w:lang w:val="en-US" w:eastAsia="zh-CN"/>
        </w:rPr>
        <w:t>叁</w:t>
      </w:r>
      <w:r>
        <w:rPr>
          <w:rFonts w:hint="eastAsia" w:ascii="宋体" w:hAnsi="宋体"/>
          <w:color w:val="auto"/>
          <w:szCs w:val="21"/>
          <w:highlight w:val="none"/>
        </w:rPr>
        <w:t>年（自验收完成之日起算,整机含附属配件），并保证</w:t>
      </w:r>
      <w:r>
        <w:rPr>
          <w:rFonts w:hint="eastAsia" w:ascii="宋体" w:hAnsi="宋体"/>
          <w:color w:val="auto"/>
          <w:szCs w:val="21"/>
          <w:highlight w:val="none"/>
          <w:lang w:eastAsia="zh-CN"/>
        </w:rPr>
        <w:t>设备</w:t>
      </w:r>
      <w:r>
        <w:rPr>
          <w:rFonts w:hint="eastAsia" w:ascii="宋体" w:hAnsi="宋体"/>
          <w:color w:val="auto"/>
          <w:szCs w:val="21"/>
          <w:highlight w:val="none"/>
        </w:rPr>
        <w:t>是全新的、未使用过的，并完全符合合同约定的质量、规格和性能要求。</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5.2 在设备质保期内，乙方应对由于设计、工艺、质量或材料的缺陷而发生的故障负责保修。</w:t>
      </w:r>
      <w:r>
        <w:rPr>
          <w:rFonts w:hint="eastAsia" w:ascii="宋体" w:hAnsi="宋体"/>
          <w:color w:val="auto"/>
          <w:szCs w:val="21"/>
          <w:highlight w:val="none"/>
          <w:lang w:val="en-US" w:eastAsia="zh-CN"/>
        </w:rPr>
        <w:t>但因甲方重大过失或故意行为造成的损坏不在保修范围；对于外部因素（如雷击）导致的损坏，若设备本身未符合国家防雷标准，乙方仍应承担保修责任。</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5.3 设备质保期</w:t>
      </w:r>
      <w:r>
        <w:rPr>
          <w:rFonts w:hint="eastAsia" w:ascii="宋体" w:hAnsi="宋体"/>
          <w:color w:val="auto"/>
          <w:szCs w:val="21"/>
          <w:highlight w:val="none"/>
          <w:lang w:val="en-US" w:eastAsia="zh-CN"/>
        </w:rPr>
        <w:t>过</w:t>
      </w:r>
      <w:r>
        <w:rPr>
          <w:rFonts w:hint="eastAsia" w:ascii="宋体" w:hAnsi="宋体"/>
          <w:color w:val="auto"/>
          <w:szCs w:val="21"/>
          <w:highlight w:val="none"/>
        </w:rPr>
        <w:t>后，设备产品维修收取工本费，收费标准按照厂家客服中心维修收费规定执行。</w:t>
      </w:r>
    </w:p>
    <w:p>
      <w:pPr>
        <w:spacing w:line="360" w:lineRule="exact"/>
        <w:ind w:firstLine="420" w:firstLineChars="200"/>
        <w:rPr>
          <w:rFonts w:hint="eastAsia" w:ascii="宋体" w:hAnsi="宋体"/>
          <w:color w:val="auto"/>
          <w:szCs w:val="21"/>
          <w:highlight w:val="none"/>
        </w:rPr>
      </w:pPr>
    </w:p>
    <w:p>
      <w:pPr>
        <w:spacing w:line="360" w:lineRule="exact"/>
        <w:rPr>
          <w:rFonts w:hint="eastAsia" w:ascii="宋体" w:hAnsi="宋体"/>
          <w:color w:val="auto"/>
          <w:szCs w:val="21"/>
          <w:highlight w:val="none"/>
        </w:rPr>
      </w:pPr>
      <w:r>
        <w:rPr>
          <w:rFonts w:hint="eastAsia" w:ascii="宋体" w:hAnsi="宋体"/>
          <w:b/>
          <w:bCs/>
          <w:color w:val="auto"/>
          <w:szCs w:val="21"/>
          <w:highlight w:val="none"/>
        </w:rPr>
        <w:t>第六条 保密条款</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 在双方合作期间，双方未经对方许可，不得以任何理由向第三方的单位或个人泄露接触到双方产品的技术机密、商业机密和价格，违约者将承担违约责任并赔偿相应损失。</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 在本合同终止、变更、撤销后，各方在本合同项下的义务并不随之终止，各方仍需遵守本合同之保密条款。</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6.3 未经对方书面同意，不得向第三方披露保密信息；</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6.4 仅将保密信息用于本合同目的，禁止用于其他商业用途；</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6.5 合作终止后[3年]内仍需履行保密义务。</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6.6 违反保密义务的一方需赔偿对方因此遭受的全部损失（包括直接损失、商誉损失及法律费用）。</w:t>
      </w:r>
    </w:p>
    <w:p>
      <w:pPr>
        <w:spacing w:line="360" w:lineRule="exact"/>
        <w:ind w:firstLine="420" w:firstLineChars="200"/>
        <w:rPr>
          <w:rFonts w:hint="eastAsia" w:ascii="宋体" w:hAnsi="宋体"/>
          <w:color w:val="auto"/>
          <w:szCs w:val="21"/>
          <w:highlight w:val="none"/>
        </w:rPr>
      </w:pPr>
    </w:p>
    <w:p>
      <w:pPr>
        <w:numPr>
          <w:ilvl w:val="0"/>
          <w:numId w:val="3"/>
        </w:numPr>
        <w:spacing w:line="360" w:lineRule="exact"/>
        <w:rPr>
          <w:rFonts w:hint="eastAsia" w:ascii="宋体" w:hAnsi="宋体"/>
          <w:b/>
          <w:bCs/>
          <w:color w:val="auto"/>
          <w:szCs w:val="21"/>
          <w:highlight w:val="none"/>
        </w:rPr>
      </w:pPr>
      <w:r>
        <w:rPr>
          <w:rFonts w:hint="eastAsia" w:ascii="宋体" w:hAnsi="宋体"/>
          <w:b/>
          <w:bCs/>
          <w:color w:val="auto"/>
          <w:szCs w:val="21"/>
          <w:highlight w:val="none"/>
        </w:rPr>
        <w:t>免责条款</w:t>
      </w:r>
    </w:p>
    <w:p>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7.1 双方签订购销合同的行为视为甲方已对乙方产品的组成、质量、功能、运行环境等情况进行了充分了解，甲方未按说明书的要求使用产品，在非产品所规定的工作环境运行产品或错误安装、保管及使用（包括但不限于不正确插拔，非正常开关机，充电电压或电流不稳定，未使用产品配套电源适配器，网络环境不稳，使用环境过于潮湿、漏雨、进水，阳光暴晒导致温度过高等）所造成的故障或损坏不在产品或服务声明免费保修范围之内，因此造成的事故赔偿责任及损失由甲方承担，乙方因此承担责任的，有权向甲方追偿。</w:t>
      </w:r>
    </w:p>
    <w:p>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 xml:space="preserve">7.2 </w:t>
      </w:r>
      <w:r>
        <w:rPr>
          <w:rFonts w:hint="eastAsia" w:ascii="宋体" w:hAnsi="宋体"/>
          <w:color w:val="auto"/>
          <w:szCs w:val="21"/>
          <w:highlight w:val="none"/>
          <w:lang w:val="en-US" w:eastAsia="zh-CN"/>
        </w:rPr>
        <w:t>因甲方重大过失或故意行为导致的故障或损坏不在免费保修范围之内；但乙方应提供有偿维修服务，费用由双方协商确定。</w:t>
      </w:r>
    </w:p>
    <w:p>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7.3 不可抗力事件（包括地震、台风、洪水、海啸等自然灾害，因疫情防控采取管制措施或颁布禁运令等政府行为，罢工骚乱等社会异常行为等）造成的设备故障、毁损及事故乙方不承担维修及赔偿责任。</w:t>
      </w:r>
    </w:p>
    <w:p>
      <w:pPr>
        <w:spacing w:line="360" w:lineRule="exact"/>
        <w:ind w:firstLine="420"/>
        <w:rPr>
          <w:rFonts w:hint="eastAsia" w:ascii="宋体" w:hAnsi="宋体"/>
          <w:color w:val="auto"/>
          <w:szCs w:val="21"/>
          <w:highlight w:val="none"/>
        </w:rPr>
      </w:pPr>
    </w:p>
    <w:p>
      <w:pPr>
        <w:spacing w:line="360" w:lineRule="exact"/>
        <w:rPr>
          <w:rFonts w:hint="eastAsia" w:ascii="宋体" w:hAnsi="宋体"/>
          <w:b/>
          <w:bCs/>
          <w:color w:val="auto"/>
          <w:szCs w:val="21"/>
          <w:highlight w:val="none"/>
        </w:rPr>
      </w:pPr>
      <w:r>
        <w:rPr>
          <w:rFonts w:hint="eastAsia" w:ascii="宋体" w:hAnsi="宋体"/>
          <w:b/>
          <w:bCs/>
          <w:color w:val="auto"/>
          <w:szCs w:val="21"/>
          <w:highlight w:val="none"/>
        </w:rPr>
        <w:t>第八条 违约责任</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8.1 乙方没有正当理由未能按时完成合同项目，每拖延一天须向甲方支付合同金额的</w:t>
      </w:r>
      <w:r>
        <w:rPr>
          <w:rFonts w:hint="eastAsia" w:ascii="宋体" w:hAnsi="宋体"/>
          <w:color w:val="auto"/>
          <w:szCs w:val="21"/>
          <w:highlight w:val="none"/>
          <w:lang w:val="en-US" w:eastAsia="zh-CN"/>
        </w:rPr>
        <w:t>5</w:t>
      </w:r>
      <w:r>
        <w:rPr>
          <w:rFonts w:hint="eastAsia" w:ascii="宋体" w:hAnsi="宋体"/>
          <w:color w:val="auto"/>
          <w:szCs w:val="21"/>
          <w:highlight w:val="none"/>
        </w:rPr>
        <w:t>‰的违约金。</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8.2 若合同中的设备出现故障且乙方不能在两天内完成维修，以致影响甲方正常运作的，每逾期一日按合同总金额的[0.05%]支付违约金；逾期超过[10]日的，甲方有权解除合同并要求退还已付款项；在乙方没有正当理由逾期完成维修的情况下，甲方有权指派第三方完成维修，该次维修费用由乙方承担。</w:t>
      </w:r>
    </w:p>
    <w:p>
      <w:pPr>
        <w:numPr>
          <w:ilvl w:val="255"/>
          <w:numId w:val="0"/>
        </w:numPr>
        <w:spacing w:line="360" w:lineRule="exact"/>
        <w:ind w:firstLine="420"/>
        <w:rPr>
          <w:rFonts w:hint="eastAsia" w:ascii="宋体" w:hAnsi="宋体"/>
          <w:color w:val="auto"/>
          <w:szCs w:val="21"/>
          <w:highlight w:val="none"/>
        </w:rPr>
      </w:pPr>
      <w:r>
        <w:rPr>
          <w:rFonts w:hint="eastAsia" w:ascii="宋体" w:hAnsi="宋体"/>
          <w:color w:val="auto"/>
          <w:szCs w:val="21"/>
          <w:highlight w:val="none"/>
        </w:rPr>
        <w:t>8.3 若一年内单次故障造成设备无法使用超过[2小时]的情况发生超过三次的，或是乙方超过3次逾期履行合同约定的，甲方有权终止合同且乙方向甲方支付合同金额的10％的违约金，同时由此产生的损失由乙方承担（包括但不限于实际损失，预期利益损失，为维护其合法权益而支付的鉴定费、审计费、律师费、差旅费等费用）。甲方有权扣除当月服务费。</w:t>
      </w:r>
    </w:p>
    <w:p>
      <w:pPr>
        <w:numPr>
          <w:ilvl w:val="255"/>
          <w:numId w:val="0"/>
        </w:num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8.4泄露患者隐私或甲方商业秘密，需承担全部法律责任。</w:t>
      </w:r>
    </w:p>
    <w:p>
      <w:pPr>
        <w:spacing w:line="360" w:lineRule="exact"/>
        <w:rPr>
          <w:rFonts w:hint="eastAsia" w:ascii="宋体" w:hAnsi="宋体"/>
          <w:color w:val="auto"/>
          <w:szCs w:val="21"/>
          <w:highlight w:val="none"/>
        </w:rPr>
      </w:pPr>
    </w:p>
    <w:p>
      <w:pPr>
        <w:spacing w:line="360" w:lineRule="exact"/>
        <w:rPr>
          <w:rFonts w:hint="eastAsia" w:ascii="宋体" w:hAnsi="宋体"/>
          <w:color w:val="auto"/>
          <w:szCs w:val="21"/>
          <w:highlight w:val="none"/>
        </w:rPr>
      </w:pPr>
      <w:r>
        <w:rPr>
          <w:rFonts w:hint="eastAsia" w:ascii="宋体" w:hAnsi="宋体"/>
          <w:b/>
          <w:bCs/>
          <w:color w:val="auto"/>
          <w:szCs w:val="21"/>
          <w:highlight w:val="none"/>
        </w:rPr>
        <w:t>第九条 合同期限与终止</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出现以下情形时，守约方可书面通知解除合同：</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9.1一方严重违约且未在[15]日内整改；</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9.2因不可抗力导致合同无法履行超过[30]日；</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9.3法律法规或监管政策要求终止合作。</w:t>
      </w:r>
    </w:p>
    <w:p>
      <w:pPr>
        <w:spacing w:line="360" w:lineRule="exact"/>
        <w:ind w:firstLine="420" w:firstLineChars="200"/>
        <w:rPr>
          <w:rFonts w:hint="eastAsia" w:ascii="宋体" w:hAnsi="宋体"/>
          <w:color w:val="auto"/>
          <w:szCs w:val="21"/>
          <w:highlight w:val="none"/>
        </w:rPr>
      </w:pPr>
    </w:p>
    <w:p>
      <w:pPr>
        <w:spacing w:line="360" w:lineRule="exact"/>
        <w:rPr>
          <w:rFonts w:hint="eastAsia" w:ascii="宋体" w:hAnsi="宋体"/>
          <w:color w:val="auto"/>
          <w:szCs w:val="21"/>
          <w:highlight w:val="none"/>
        </w:rPr>
      </w:pPr>
      <w:r>
        <w:rPr>
          <w:rFonts w:hint="eastAsia" w:ascii="宋体" w:hAnsi="宋体"/>
          <w:b/>
          <w:bCs/>
          <w:color w:val="auto"/>
          <w:szCs w:val="21"/>
          <w:highlight w:val="none"/>
        </w:rPr>
        <w:t>第十条 争议解决</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双方应本着友好协商的原则解决争议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协商结果以补充协议形式明确</w:t>
      </w:r>
      <w:r>
        <w:rPr>
          <w:rFonts w:hint="eastAsia" w:ascii="宋体" w:hAnsi="宋体"/>
          <w:color w:val="auto"/>
          <w:szCs w:val="21"/>
          <w:highlight w:val="none"/>
        </w:rPr>
        <w:t>。如协商不成，应提交甲方所在地有管辖权的人民法院进行诉讼。本合同适用中华人民共和国法律。</w:t>
      </w:r>
    </w:p>
    <w:p>
      <w:pPr>
        <w:spacing w:line="360" w:lineRule="exact"/>
        <w:ind w:firstLine="420" w:firstLineChars="200"/>
        <w:rPr>
          <w:rFonts w:hint="eastAsia" w:ascii="宋体" w:hAnsi="宋体"/>
          <w:color w:val="auto"/>
          <w:szCs w:val="21"/>
          <w:highlight w:val="none"/>
        </w:rPr>
      </w:pPr>
    </w:p>
    <w:p>
      <w:pPr>
        <w:spacing w:line="360" w:lineRule="exact"/>
        <w:rPr>
          <w:rFonts w:hint="eastAsia" w:ascii="宋体" w:hAnsi="宋体"/>
          <w:color w:val="auto"/>
          <w:szCs w:val="21"/>
          <w:highlight w:val="none"/>
        </w:rPr>
      </w:pPr>
      <w:r>
        <w:rPr>
          <w:rFonts w:hint="eastAsia" w:ascii="宋体" w:hAnsi="宋体"/>
          <w:b/>
          <w:bCs/>
          <w:color w:val="auto"/>
          <w:szCs w:val="21"/>
          <w:highlight w:val="none"/>
        </w:rPr>
        <w:t>第十一条 其他条款</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11.1 不可抗力</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任何一方由于不可抗力原因不能履行合同时，应在不可抗力事件发生后1 日内向对方通报，以减轻可能给对方造成的损失，在取得有关机构的不可抗力证明或双方谅解确认后，允许延期履行或终止合同，并根据情况可部分或全部免于承担违约责任。</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本合同未尽事宜，双方可签订补充协议；任何修改需双方签字盖章确认，口头约定无效。</w:t>
      </w:r>
    </w:p>
    <w:p>
      <w:pPr>
        <w:spacing w:line="360" w:lineRule="exact"/>
        <w:ind w:firstLine="420" w:firstLineChars="200"/>
        <w:rPr>
          <w:rFonts w:hint="eastAsia" w:ascii="宋体" w:hAnsi="宋体"/>
          <w:color w:val="auto"/>
          <w:szCs w:val="21"/>
          <w:highlight w:val="none"/>
        </w:rPr>
      </w:pPr>
    </w:p>
    <w:p>
      <w:pPr>
        <w:spacing w:line="360" w:lineRule="exact"/>
        <w:rPr>
          <w:rFonts w:hint="eastAsia" w:ascii="宋体" w:hAnsi="宋体"/>
          <w:b/>
          <w:bCs/>
          <w:color w:val="auto"/>
          <w:szCs w:val="21"/>
          <w:highlight w:val="none"/>
        </w:rPr>
      </w:pPr>
      <w:r>
        <w:rPr>
          <w:rFonts w:hint="eastAsia" w:ascii="宋体" w:hAnsi="宋体"/>
          <w:b/>
          <w:bCs/>
          <w:color w:val="auto"/>
          <w:szCs w:val="21"/>
          <w:highlight w:val="none"/>
        </w:rPr>
        <w:t>第十二条 合同组成</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详细价格、技术说明及其它有关合同设备的特定信息由合同附件说明。所有附件及本项目的招投标文件、会议纪要、协议等均为本合同不可分割之一部分。</w:t>
      </w:r>
    </w:p>
    <w:p>
      <w:pPr>
        <w:spacing w:line="360" w:lineRule="exact"/>
        <w:ind w:firstLine="420" w:firstLineChars="200"/>
        <w:rPr>
          <w:rFonts w:hint="eastAsia" w:ascii="宋体" w:hAnsi="宋体"/>
          <w:color w:val="auto"/>
          <w:szCs w:val="21"/>
          <w:highlight w:val="none"/>
        </w:rPr>
      </w:pPr>
    </w:p>
    <w:p>
      <w:pPr>
        <w:spacing w:line="360" w:lineRule="exact"/>
        <w:rPr>
          <w:rFonts w:hint="eastAsia" w:ascii="宋体" w:hAnsi="宋体"/>
          <w:color w:val="auto"/>
          <w:szCs w:val="21"/>
          <w:highlight w:val="none"/>
        </w:rPr>
      </w:pPr>
      <w:r>
        <w:rPr>
          <w:rFonts w:hint="eastAsia" w:ascii="宋体" w:hAnsi="宋体"/>
          <w:b/>
          <w:bCs/>
          <w:color w:val="auto"/>
          <w:szCs w:val="21"/>
          <w:highlight w:val="none"/>
        </w:rPr>
        <w:t>第十</w:t>
      </w:r>
      <w:r>
        <w:rPr>
          <w:rFonts w:hint="eastAsia" w:ascii="宋体" w:hAnsi="宋体"/>
          <w:b/>
          <w:bCs/>
          <w:color w:val="auto"/>
          <w:szCs w:val="21"/>
          <w:highlight w:val="none"/>
          <w:lang w:val="en-US" w:eastAsia="zh-CN"/>
        </w:rPr>
        <w:t>三</w:t>
      </w:r>
      <w:r>
        <w:rPr>
          <w:rFonts w:hint="eastAsia" w:ascii="宋体" w:hAnsi="宋体"/>
          <w:b/>
          <w:bCs/>
          <w:color w:val="auto"/>
          <w:szCs w:val="21"/>
          <w:highlight w:val="none"/>
        </w:rPr>
        <w:t>条</w:t>
      </w:r>
      <w:r>
        <w:rPr>
          <w:rFonts w:hint="eastAsia" w:ascii="宋体" w:hAnsi="宋体"/>
          <w:color w:val="auto"/>
          <w:szCs w:val="21"/>
          <w:highlight w:val="none"/>
        </w:rPr>
        <w:t xml:space="preserve"> </w:t>
      </w:r>
      <w:r>
        <w:rPr>
          <w:rFonts w:hint="eastAsia" w:ascii="宋体" w:hAnsi="宋体"/>
          <w:b/>
          <w:bCs/>
          <w:color w:val="auto"/>
          <w:szCs w:val="21"/>
          <w:highlight w:val="none"/>
        </w:rPr>
        <w:t>其他</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合同正本一式</w:t>
      </w:r>
      <w:r>
        <w:rPr>
          <w:rFonts w:hint="eastAsia" w:ascii="宋体" w:hAnsi="宋体"/>
          <w:color w:val="auto"/>
          <w:szCs w:val="21"/>
          <w:highlight w:val="none"/>
          <w:lang w:val="en-US" w:eastAsia="zh-CN"/>
        </w:rPr>
        <w:t>肆</w:t>
      </w:r>
      <w:r>
        <w:rPr>
          <w:rFonts w:hint="eastAsia" w:ascii="宋体" w:hAnsi="宋体"/>
          <w:color w:val="auto"/>
          <w:szCs w:val="21"/>
          <w:highlight w:val="none"/>
        </w:rPr>
        <w:t>份，</w:t>
      </w:r>
      <w:r>
        <w:rPr>
          <w:rFonts w:hint="eastAsia" w:ascii="宋体" w:hAnsi="宋体"/>
          <w:color w:val="auto"/>
          <w:szCs w:val="21"/>
          <w:highlight w:val="none"/>
          <w:lang w:val="en-US" w:eastAsia="zh-CN"/>
        </w:rPr>
        <w:t>双方各</w:t>
      </w:r>
      <w:r>
        <w:rPr>
          <w:rFonts w:hint="eastAsia" w:ascii="宋体" w:hAnsi="宋体"/>
          <w:color w:val="auto"/>
          <w:szCs w:val="21"/>
          <w:highlight w:val="none"/>
        </w:rPr>
        <w:t>执贰份，经双方签字盖章生效，甲乙双方同意任何对合同条款的手写改动均无效。</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（以下无正文）</w:t>
      </w:r>
    </w:p>
    <w:p>
      <w:pPr>
        <w:spacing w:line="360" w:lineRule="exact"/>
        <w:ind w:firstLine="0" w:firstLineChars="0"/>
        <w:rPr>
          <w:rFonts w:hint="eastAsia" w:ascii="宋体" w:hAnsi="宋体"/>
          <w:color w:val="auto"/>
          <w:szCs w:val="21"/>
          <w:highlight w:val="none"/>
        </w:rPr>
      </w:pPr>
    </w:p>
    <w:p>
      <w:pPr>
        <w:pStyle w:val="3"/>
        <w:spacing w:line="360" w:lineRule="exact"/>
        <w:rPr>
          <w:rFonts w:hint="eastAsia" w:ascii="宋体" w:hAnsi="宋体"/>
          <w:color w:val="auto"/>
          <w:sz w:val="21"/>
          <w:szCs w:val="21"/>
          <w:highlight w:val="none"/>
        </w:rPr>
      </w:pPr>
    </w:p>
    <w:p>
      <w:pPr>
        <w:spacing w:line="36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甲方：中山市黄圃人民医院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乙方：</w:t>
      </w:r>
      <w:r>
        <w:rPr>
          <w:rFonts w:hint="eastAsia" w:ascii="宋体" w:hAnsi="宋体"/>
          <w:color w:val="auto"/>
          <w:szCs w:val="21"/>
          <w:highlight w:val="none"/>
          <w:lang w:val="en-US" w:eastAsia="zh-CN"/>
        </w:rPr>
        <w:t>XXX</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（盖章）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（盖章）</w:t>
      </w:r>
    </w:p>
    <w:p>
      <w:pPr>
        <w:spacing w:line="360" w:lineRule="exact"/>
        <w:rPr>
          <w:rFonts w:hint="eastAsia" w:ascii="宋体" w:hAnsi="宋体"/>
          <w:color w:val="auto"/>
          <w:szCs w:val="21"/>
          <w:highlight w:val="none"/>
        </w:rPr>
      </w:pPr>
      <w:r>
        <w:rPr>
          <w:rFonts w:hint="eastAsia" w:ascii="宋体" w:hAnsi="宋体"/>
          <w:color w:val="auto"/>
          <w:szCs w:val="21"/>
          <w:highlight w:val="none"/>
        </w:rPr>
        <w:t xml:space="preserve">法定代表人或授权委托人：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法定代表人或授权委托人：                  </w:t>
      </w:r>
    </w:p>
    <w:p>
      <w:pPr>
        <w:spacing w:line="360" w:lineRule="exact"/>
        <w:ind w:firstLine="420" w:firstLineChars="200"/>
        <w:rPr>
          <w:rFonts w:hint="eastAsia" w:ascii="宋体" w:hAnsi="宋体"/>
          <w:color w:val="auto"/>
          <w:szCs w:val="21"/>
          <w:highlight w:val="none"/>
        </w:rPr>
      </w:pPr>
    </w:p>
    <w:p>
      <w:pPr>
        <w:spacing w:line="360" w:lineRule="exact"/>
        <w:rPr>
          <w:rFonts w:hint="eastAsia"/>
          <w:color w:val="auto"/>
          <w:highlight w:val="none"/>
          <w:lang w:val="en-US" w:eastAsia="zh-CN"/>
        </w:rPr>
      </w:pPr>
      <w:r>
        <w:rPr>
          <w:rFonts w:hint="eastAsia" w:ascii="宋体" w:hAnsi="宋体"/>
          <w:color w:val="auto"/>
          <w:szCs w:val="21"/>
          <w:highlight w:val="none"/>
        </w:rPr>
        <w:t xml:space="preserve">日期：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日期：</w:t>
      </w:r>
      <w:r>
        <w:rPr>
          <w:rFonts w:hint="eastAsia" w:ascii="宋体" w:hAnsi="宋体"/>
          <w:bCs/>
          <w:color w:val="auto"/>
          <w:spacing w:val="20"/>
          <w:szCs w:val="21"/>
          <w:highlight w:val="none"/>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B9FD98"/>
    <w:multiLevelType w:val="singleLevel"/>
    <w:tmpl w:val="AFB9FD98"/>
    <w:lvl w:ilvl="0" w:tentative="0">
      <w:start w:val="7"/>
      <w:numFmt w:val="chineseCounting"/>
      <w:suff w:val="space"/>
      <w:lvlText w:val="第%1条"/>
      <w:lvlJc w:val="left"/>
      <w:rPr>
        <w:rFonts w:hint="eastAsia"/>
      </w:rPr>
    </w:lvl>
  </w:abstractNum>
  <w:abstractNum w:abstractNumId="1">
    <w:nsid w:val="F49C3190"/>
    <w:multiLevelType w:val="singleLevel"/>
    <w:tmpl w:val="F49C3190"/>
    <w:lvl w:ilvl="0" w:tentative="0">
      <w:start w:val="3"/>
      <w:numFmt w:val="chineseCounting"/>
      <w:suff w:val="space"/>
      <w:lvlText w:val="第%1条"/>
      <w:lvlJc w:val="left"/>
      <w:rPr>
        <w:rFonts w:hint="eastAsia"/>
      </w:rPr>
    </w:lvl>
  </w:abstractNum>
  <w:abstractNum w:abstractNumId="2">
    <w:nsid w:val="45120B61"/>
    <w:multiLevelType w:val="multilevel"/>
    <w:tmpl w:val="45120B61"/>
    <w:lvl w:ilvl="0" w:tentative="0">
      <w:start w:val="0"/>
      <w:numFmt w:val="decimal"/>
      <w:pStyle w:val="1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1CE"/>
    <w:rsid w:val="003D686D"/>
    <w:rsid w:val="003E31A4"/>
    <w:rsid w:val="00607ACF"/>
    <w:rsid w:val="006845B6"/>
    <w:rsid w:val="009171CE"/>
    <w:rsid w:val="009C08E3"/>
    <w:rsid w:val="00B30A24"/>
    <w:rsid w:val="00CB6EC2"/>
    <w:rsid w:val="02F2428C"/>
    <w:rsid w:val="031F2973"/>
    <w:rsid w:val="032F135D"/>
    <w:rsid w:val="045028A0"/>
    <w:rsid w:val="04CE01C9"/>
    <w:rsid w:val="068608DF"/>
    <w:rsid w:val="08BC047C"/>
    <w:rsid w:val="08D07683"/>
    <w:rsid w:val="0A09565A"/>
    <w:rsid w:val="0F0B47BD"/>
    <w:rsid w:val="0F8D66BA"/>
    <w:rsid w:val="107872B5"/>
    <w:rsid w:val="10951770"/>
    <w:rsid w:val="12F53B79"/>
    <w:rsid w:val="13945669"/>
    <w:rsid w:val="13E3112D"/>
    <w:rsid w:val="165302A7"/>
    <w:rsid w:val="18197AAE"/>
    <w:rsid w:val="20322DE9"/>
    <w:rsid w:val="22AD4186"/>
    <w:rsid w:val="23372843"/>
    <w:rsid w:val="241117BF"/>
    <w:rsid w:val="247B4DC1"/>
    <w:rsid w:val="25B36949"/>
    <w:rsid w:val="26EA6AC0"/>
    <w:rsid w:val="28357DD3"/>
    <w:rsid w:val="2B720980"/>
    <w:rsid w:val="2C085655"/>
    <w:rsid w:val="2CD7144F"/>
    <w:rsid w:val="2CE36CE1"/>
    <w:rsid w:val="2F012EAA"/>
    <w:rsid w:val="2F5C4541"/>
    <w:rsid w:val="30824D54"/>
    <w:rsid w:val="3163070E"/>
    <w:rsid w:val="31CF1A84"/>
    <w:rsid w:val="33645DF7"/>
    <w:rsid w:val="3468528B"/>
    <w:rsid w:val="34A53A6B"/>
    <w:rsid w:val="35FB29C9"/>
    <w:rsid w:val="36D05CFF"/>
    <w:rsid w:val="37437BB7"/>
    <w:rsid w:val="38FB32A4"/>
    <w:rsid w:val="3A79517B"/>
    <w:rsid w:val="3BA1222F"/>
    <w:rsid w:val="3E0D48C3"/>
    <w:rsid w:val="4138071D"/>
    <w:rsid w:val="425421A3"/>
    <w:rsid w:val="42A44EEA"/>
    <w:rsid w:val="44542317"/>
    <w:rsid w:val="46786A1A"/>
    <w:rsid w:val="478256E5"/>
    <w:rsid w:val="47CE0161"/>
    <w:rsid w:val="4984282A"/>
    <w:rsid w:val="49C96C7E"/>
    <w:rsid w:val="4A7B5341"/>
    <w:rsid w:val="4AFC082E"/>
    <w:rsid w:val="4B0D4D62"/>
    <w:rsid w:val="4F3864DC"/>
    <w:rsid w:val="50BB4E79"/>
    <w:rsid w:val="513B239A"/>
    <w:rsid w:val="51FE7839"/>
    <w:rsid w:val="5240467B"/>
    <w:rsid w:val="540A471E"/>
    <w:rsid w:val="5A4F2439"/>
    <w:rsid w:val="5B117F79"/>
    <w:rsid w:val="5B5F6A4D"/>
    <w:rsid w:val="5E7114D7"/>
    <w:rsid w:val="5F5046EA"/>
    <w:rsid w:val="60C64031"/>
    <w:rsid w:val="60CF2E83"/>
    <w:rsid w:val="61491637"/>
    <w:rsid w:val="62737189"/>
    <w:rsid w:val="62CC43C2"/>
    <w:rsid w:val="64133A6C"/>
    <w:rsid w:val="65E46196"/>
    <w:rsid w:val="668C77C3"/>
    <w:rsid w:val="67FC5B97"/>
    <w:rsid w:val="6C2B22D9"/>
    <w:rsid w:val="72A32D6D"/>
    <w:rsid w:val="74B31490"/>
    <w:rsid w:val="763F3134"/>
    <w:rsid w:val="76863E17"/>
    <w:rsid w:val="7A3B1353"/>
    <w:rsid w:val="7A6A448E"/>
    <w:rsid w:val="7BD40764"/>
    <w:rsid w:val="7CA0775F"/>
    <w:rsid w:val="7CB40B49"/>
    <w:rsid w:val="7CCB75CB"/>
    <w:rsid w:val="7D0378D1"/>
    <w:rsid w:val="7DC066FB"/>
    <w:rsid w:val="7FD1F812"/>
    <w:rsid w:val="8F6D0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rPr>
      <w:sz w:val="19"/>
      <w:szCs w:val="19"/>
    </w:rPr>
  </w:style>
  <w:style w:type="paragraph" w:styleId="4">
    <w:name w:val="toc 5"/>
    <w:basedOn w:val="1"/>
    <w:next w:val="1"/>
    <w:qFormat/>
    <w:uiPriority w:val="0"/>
    <w:pPr>
      <w:ind w:left="1680" w:leftChars="800"/>
    </w:pPr>
  </w:style>
  <w:style w:type="paragraph" w:styleId="5">
    <w:name w:val="footer"/>
    <w:basedOn w:val="1"/>
    <w:qFormat/>
    <w:uiPriority w:val="99"/>
    <w:pPr>
      <w:tabs>
        <w:tab w:val="center" w:pos="4153"/>
        <w:tab w:val="right" w:pos="8306"/>
      </w:tabs>
      <w:snapToGrid w:val="0"/>
    </w:pPr>
    <w:rPr>
      <w:rFonts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0">
    <w:name w:val="Revision"/>
    <w:hidden/>
    <w:unhideWhenUsed/>
    <w:qFormat/>
    <w:uiPriority w:val="99"/>
    <w:rPr>
      <w:rFonts w:ascii="Calibri" w:hAnsi="Calibri" w:eastAsia="宋体" w:cs="宋体"/>
      <w:kern w:val="2"/>
      <w:sz w:val="21"/>
      <w:szCs w:val="24"/>
      <w:lang w:val="en-US" w:eastAsia="zh-CN" w:bidi="ar-SA"/>
    </w:rPr>
  </w:style>
  <w:style w:type="paragraph" w:styleId="11">
    <w:name w:val="List Paragraph"/>
    <w:basedOn w:val="1"/>
    <w:qFormat/>
    <w:uiPriority w:val="34"/>
    <w:pPr>
      <w:ind w:firstLine="420" w:firstLineChars="200"/>
    </w:pPr>
    <w:rPr>
      <w:rFonts w:ascii="Times New Roman" w:hAnsi="Times New Roman" w:cs="Times New Roman"/>
    </w:rPr>
  </w:style>
  <w:style w:type="paragraph" w:customStyle="1" w:styleId="12">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 w:type="paragraph" w:customStyle="1" w:styleId="13">
    <w:name w:val="样式1"/>
    <w:basedOn w:val="1"/>
    <w:next w:val="1"/>
    <w:qFormat/>
    <w:uiPriority w:val="0"/>
    <w:pPr>
      <w:numPr>
        <w:ilvl w:val="0"/>
        <w:numId w:val="1"/>
      </w:numPr>
      <w:tabs>
        <w:tab w:val="left" w:pos="948"/>
      </w:tabs>
      <w:adjustRightInd w:val="0"/>
      <w:snapToGrid w:val="0"/>
      <w:spacing w:before="40" w:after="40" w:line="300" w:lineRule="auto"/>
      <w:jc w:val="center"/>
      <w:textAlignment w:val="center"/>
    </w:pPr>
    <w:rPr>
      <w:spacing w:val="20"/>
      <w:kern w:val="0"/>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8862</Words>
  <Characters>9430</Characters>
  <Lines>123</Lines>
  <Paragraphs>149</Paragraphs>
  <ScaleCrop>false</ScaleCrop>
  <LinksUpToDate>false</LinksUpToDate>
  <CharactersWithSpaces>9635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2025-07-04T18:29:00Z</dcterms:created>
  <dc:creator>Administrator</dc:creator>
  <cp:lastModifiedBy>赖宇娟</cp:lastModifiedBy>
  <dcterms:modified xsi:type="dcterms:W3CDTF">2026-06-16T08:09:23Z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TemplateDocerSaveRecord">
    <vt:lpwstr>eyJoZGlkIjoiY2YxNTJiOTNhZjAwNGZmNTNhNmJmZmZlYmY3YTYyNDEiLCJ1c2VySWQiOiIxNzE4ODc4In0=</vt:lpwstr>
  </property>
  <property fmtid="{D5CDD505-2E9C-101B-9397-08002B2CF9AE}" pid="4" name="ICV">
    <vt:lpwstr>34201F0FD41CAC27B510BA6920E6C30E_43</vt:lpwstr>
  </property>
</Properties>
</file>