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bCs/>
          <w:sz w:val="24"/>
        </w:rPr>
      </w:pPr>
      <w:r>
        <w:rPr>
          <w:rFonts w:hint="eastAsia"/>
          <w:bCs/>
          <w:sz w:val="24"/>
        </w:rPr>
        <w:t xml:space="preserve">附件1：              </w:t>
      </w:r>
    </w:p>
    <w:p>
      <w:pPr>
        <w:spacing w:line="480" w:lineRule="auto"/>
        <w:jc w:val="center"/>
        <w:rPr>
          <w:rFonts w:hint="eastAsia"/>
          <w:b/>
          <w:sz w:val="28"/>
          <w:szCs w:val="28"/>
        </w:rPr>
      </w:pPr>
      <w:r>
        <w:rPr>
          <w:rFonts w:hint="eastAsia"/>
          <w:b/>
          <w:sz w:val="36"/>
          <w:szCs w:val="36"/>
        </w:rPr>
        <w:t>用户需求书</w:t>
      </w:r>
      <w:bookmarkStart w:id="0" w:name="_Toc49329249"/>
      <w:bookmarkStart w:id="1" w:name="_Toc37670349"/>
      <w:bookmarkStart w:id="2" w:name="_Toc78604590"/>
      <w:bookmarkStart w:id="3" w:name="_Toc113157418"/>
    </w:p>
    <w:bookmarkEnd w:id="0"/>
    <w:bookmarkEnd w:id="1"/>
    <w:bookmarkEnd w:id="2"/>
    <w:bookmarkEnd w:id="3"/>
    <w:p>
      <w:pPr>
        <w:pStyle w:val="7"/>
        <w:spacing w:line="360" w:lineRule="exact"/>
        <w:ind w:firstLine="422"/>
        <w:rPr>
          <w:rFonts w:hint="eastAsia" w:ascii="宋体" w:hAnsi="宋体" w:cs="宋体"/>
          <w:b/>
          <w:sz w:val="21"/>
          <w:szCs w:val="21"/>
        </w:rPr>
      </w:pPr>
      <w:bookmarkStart w:id="4" w:name="_Toc49329250"/>
      <w:bookmarkStart w:id="5" w:name="_Toc37670350"/>
      <w:bookmarkStart w:id="6" w:name="文字29"/>
      <w:r>
        <w:rPr>
          <w:rFonts w:hint="eastAsia" w:ascii="宋体" w:hAnsi="宋体" w:cs="宋体"/>
          <w:b/>
          <w:sz w:val="21"/>
          <w:szCs w:val="21"/>
        </w:rPr>
        <w:t>总则</w:t>
      </w:r>
    </w:p>
    <w:p>
      <w:pPr>
        <w:pStyle w:val="7"/>
        <w:spacing w:line="360" w:lineRule="exact"/>
        <w:ind w:firstLine="420"/>
        <w:rPr>
          <w:rFonts w:hint="eastAsia" w:ascii="宋体" w:hAnsi="宋体" w:cs="宋体"/>
          <w:sz w:val="21"/>
          <w:szCs w:val="21"/>
        </w:rPr>
      </w:pPr>
      <w:r>
        <w:rPr>
          <w:rFonts w:hint="eastAsia" w:ascii="宋体" w:hAnsi="宋体" w:cs="宋体"/>
          <w:sz w:val="21"/>
          <w:szCs w:val="21"/>
        </w:rPr>
        <w:t>1、成交供应商必须按国家、行业的标准及采购文件的要求对本项目提供相应的货物及服务。</w:t>
      </w:r>
    </w:p>
    <w:p>
      <w:pPr>
        <w:pStyle w:val="7"/>
        <w:spacing w:line="360" w:lineRule="exact"/>
        <w:ind w:firstLine="420"/>
        <w:rPr>
          <w:rFonts w:hint="eastAsia" w:ascii="宋体" w:hAnsi="宋体" w:cs="宋体"/>
          <w:sz w:val="21"/>
          <w:szCs w:val="21"/>
        </w:rPr>
      </w:pPr>
      <w:r>
        <w:rPr>
          <w:rFonts w:hint="eastAsia" w:ascii="宋体" w:hAnsi="宋体" w:cs="宋体"/>
          <w:sz w:val="21"/>
          <w:szCs w:val="21"/>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7"/>
        <w:spacing w:line="360" w:lineRule="exact"/>
        <w:ind w:firstLine="420"/>
        <w:rPr>
          <w:rFonts w:hint="eastAsia" w:ascii="宋体" w:hAnsi="宋体" w:cs="宋体"/>
          <w:sz w:val="21"/>
          <w:szCs w:val="21"/>
        </w:rPr>
      </w:pPr>
      <w:r>
        <w:rPr>
          <w:rFonts w:hint="eastAsia" w:ascii="宋体" w:hAnsi="宋体" w:cs="宋体"/>
          <w:sz w:val="21"/>
          <w:szCs w:val="21"/>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7"/>
        <w:rPr>
          <w:rFonts w:hint="eastAsia" w:ascii="宋体" w:hAnsi="宋体" w:eastAsia="宋体" w:cs="宋体"/>
          <w:sz w:val="21"/>
          <w:szCs w:val="21"/>
        </w:rPr>
      </w:pPr>
      <w:r>
        <w:rPr>
          <w:rFonts w:hint="eastAsia" w:ascii="宋体" w:hAnsi="宋体" w:eastAsia="宋体" w:cs="宋体"/>
          <w:sz w:val="21"/>
          <w:szCs w:val="21"/>
        </w:rPr>
        <w:t>4、本项目不允许提交备选方案，不允许联合体响应、转包或分包。</w:t>
      </w:r>
    </w:p>
    <w:p>
      <w:pPr>
        <w:spacing w:line="360" w:lineRule="exact"/>
        <w:ind w:firstLine="422" w:firstLineChars="200"/>
        <w:rPr>
          <w:rFonts w:ascii="宋体" w:hAnsi="宋体" w:cs="宋体"/>
          <w:b/>
          <w:szCs w:val="21"/>
        </w:rPr>
      </w:pPr>
    </w:p>
    <w:p>
      <w:pPr>
        <w:spacing w:line="360" w:lineRule="exact"/>
        <w:ind w:firstLine="0" w:firstLineChars="0"/>
        <w:rPr>
          <w:rFonts w:hint="eastAsia" w:ascii="宋体" w:hAnsi="宋体" w:cs="宋体"/>
          <w:b/>
          <w:szCs w:val="21"/>
        </w:rPr>
      </w:pPr>
      <w:r>
        <w:rPr>
          <w:rFonts w:hint="eastAsia" w:ascii="宋体" w:hAnsi="宋体" w:cs="宋体"/>
          <w:b/>
          <w:szCs w:val="21"/>
        </w:rPr>
        <w:t>一、项目概况</w:t>
      </w:r>
    </w:p>
    <w:p>
      <w:pPr>
        <w:pStyle w:val="7"/>
        <w:spacing w:line="360" w:lineRule="exact"/>
        <w:ind w:firstLine="420"/>
        <w:rPr>
          <w:rFonts w:hint="eastAsia" w:ascii="宋体" w:hAnsi="宋体" w:eastAsia="宋体" w:cs="宋体"/>
          <w:sz w:val="21"/>
          <w:szCs w:val="21"/>
          <w:lang w:eastAsia="zh-CN"/>
        </w:rPr>
      </w:pPr>
      <w:r>
        <w:rPr>
          <w:rFonts w:hint="eastAsia" w:ascii="宋体" w:hAnsi="宋体" w:cs="宋体"/>
          <w:sz w:val="21"/>
          <w:szCs w:val="21"/>
          <w:lang w:eastAsia="zh-CN"/>
        </w:rPr>
        <w:t>（一）</w:t>
      </w:r>
      <w:r>
        <w:rPr>
          <w:rFonts w:hint="eastAsia" w:ascii="宋体" w:hAnsi="宋体" w:cs="宋体"/>
          <w:sz w:val="21"/>
          <w:szCs w:val="21"/>
        </w:rPr>
        <w:t>项目名称：</w:t>
      </w:r>
      <w:r>
        <w:rPr>
          <w:rFonts w:hint="eastAsia" w:ascii="宋体" w:hAnsi="宋体" w:eastAsia="宋体" w:cs="宋体"/>
          <w:sz w:val="21"/>
          <w:szCs w:val="21"/>
          <w:lang w:val="en-US" w:eastAsia="zh-CN"/>
        </w:rPr>
        <w:t>中山市黄圃人民医院桌面云系统点位扩增项目</w:t>
      </w:r>
    </w:p>
    <w:p>
      <w:pPr>
        <w:pStyle w:val="7"/>
        <w:spacing w:line="360" w:lineRule="exact"/>
        <w:ind w:firstLine="420"/>
        <w:rPr>
          <w:rFonts w:hint="eastAsia" w:ascii="宋体" w:hAnsi="宋体" w:cs="宋体"/>
          <w:sz w:val="21"/>
          <w:szCs w:val="21"/>
        </w:rPr>
      </w:pPr>
      <w:r>
        <w:rPr>
          <w:rFonts w:hint="eastAsia" w:ascii="宋体" w:hAnsi="宋体" w:cs="宋体"/>
          <w:sz w:val="21"/>
          <w:szCs w:val="21"/>
          <w:lang w:val="en-US" w:eastAsia="zh-CN"/>
        </w:rPr>
        <w:t>（二）</w:t>
      </w:r>
      <w:r>
        <w:rPr>
          <w:rFonts w:hint="eastAsia" w:ascii="宋体" w:hAnsi="宋体" w:cs="宋体"/>
          <w:sz w:val="21"/>
          <w:szCs w:val="21"/>
        </w:rPr>
        <w:t>项目编号：</w:t>
      </w:r>
      <w:bookmarkEnd w:id="4"/>
      <w:bookmarkEnd w:id="5"/>
      <w:bookmarkEnd w:id="6"/>
      <w:r>
        <w:rPr>
          <w:rFonts w:hint="eastAsia" w:ascii="宋体" w:hAnsi="宋体" w:cs="宋体"/>
          <w:sz w:val="21"/>
          <w:szCs w:val="21"/>
        </w:rPr>
        <w:t>PYCG-XX-202606-12</w:t>
      </w:r>
    </w:p>
    <w:p>
      <w:pPr>
        <w:pStyle w:val="7"/>
        <w:spacing w:line="360" w:lineRule="exact"/>
        <w:ind w:firstLine="42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三</w:t>
      </w:r>
      <w:r>
        <w:rPr>
          <w:rFonts w:hint="eastAsia" w:ascii="宋体" w:hAnsi="宋体" w:cs="宋体"/>
          <w:sz w:val="21"/>
          <w:szCs w:val="21"/>
          <w:lang w:eastAsia="zh-CN"/>
        </w:rPr>
        <w:t>）预算金额：¥104000元。</w:t>
      </w:r>
    </w:p>
    <w:p>
      <w:pPr>
        <w:pStyle w:val="7"/>
        <w:spacing w:line="360" w:lineRule="exact"/>
        <w:ind w:firstLine="420"/>
        <w:rPr>
          <w:rFonts w:hint="eastAsia" w:ascii="宋体" w:hAnsi="宋体" w:cs="宋体"/>
          <w:sz w:val="21"/>
          <w:szCs w:val="21"/>
          <w:lang w:val="en-US" w:eastAsia="zh-CN"/>
        </w:rPr>
      </w:pPr>
      <w:r>
        <w:rPr>
          <w:rFonts w:hint="eastAsia" w:ascii="宋体" w:hAnsi="宋体" w:cs="宋体"/>
          <w:sz w:val="21"/>
          <w:szCs w:val="21"/>
          <w:lang w:val="en-US" w:eastAsia="zh-CN"/>
        </w:rPr>
        <w:t>（四）采购清单：</w:t>
      </w:r>
    </w:p>
    <w:tbl>
      <w:tblPr>
        <w:tblStyle w:val="6"/>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3"/>
        <w:gridCol w:w="1817"/>
        <w:gridCol w:w="822"/>
        <w:gridCol w:w="832"/>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1" w:hRule="atLeast"/>
          <w:tblHeader/>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jc w:val="center"/>
              <w:rPr>
                <w:rFonts w:ascii="Arial" w:hAnsi="Arial" w:eastAsia="等线" w:cs="Arial"/>
                <w:b/>
                <w:sz w:val="22"/>
              </w:rPr>
            </w:pPr>
            <w:r>
              <w:rPr>
                <w:rFonts w:hint="eastAsia" w:ascii="Arial" w:hAnsi="Arial" w:eastAsia="等线" w:cs="Arial"/>
                <w:b/>
                <w:sz w:val="22"/>
              </w:rPr>
              <w:t>序号</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ascii="Arial" w:hAnsi="Arial" w:eastAsia="等线" w:cs="Arial"/>
                <w:b/>
                <w:sz w:val="22"/>
              </w:rPr>
            </w:pPr>
            <w:r>
              <w:rPr>
                <w:rFonts w:hint="eastAsia" w:ascii="Arial" w:hAnsi="Arial" w:eastAsia="等线" w:cs="Arial"/>
                <w:b/>
                <w:sz w:val="22"/>
              </w:rPr>
              <w:t>产品名称</w:t>
            </w:r>
          </w:p>
        </w:tc>
        <w:tc>
          <w:tcPr>
            <w:tcW w:w="82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Arial" w:hAnsi="Arial" w:eastAsia="等线" w:cs="Arial"/>
                <w:b/>
                <w:sz w:val="22"/>
              </w:rPr>
            </w:pPr>
            <w:r>
              <w:rPr>
                <w:rFonts w:hint="eastAsia" w:ascii="Arial" w:hAnsi="Arial" w:eastAsia="等线" w:cs="Arial"/>
                <w:b/>
                <w:sz w:val="22"/>
              </w:rPr>
              <w:t>单位</w:t>
            </w:r>
          </w:p>
        </w:tc>
        <w:tc>
          <w:tcPr>
            <w:tcW w:w="83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Arial" w:hAnsi="Arial" w:eastAsia="等线" w:cs="Arial"/>
                <w:b/>
                <w:sz w:val="22"/>
              </w:rPr>
            </w:pPr>
            <w:r>
              <w:rPr>
                <w:rFonts w:hint="eastAsia" w:ascii="Arial" w:hAnsi="Arial" w:eastAsia="等线" w:cs="Arial"/>
                <w:b/>
                <w:sz w:val="22"/>
              </w:rPr>
              <w:t>数量</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jc w:val="center"/>
              <w:rPr>
                <w:rFonts w:ascii="Arial" w:hAnsi="Arial" w:eastAsia="等线" w:cs="Arial"/>
                <w:b/>
                <w:sz w:val="22"/>
              </w:rPr>
            </w:pPr>
            <w:r>
              <w:rPr>
                <w:rFonts w:hint="eastAsia" w:ascii="Arial" w:hAnsi="Arial" w:eastAsia="等线" w:cs="Arial"/>
                <w:b/>
                <w:sz w:val="22"/>
                <w:lang w:val="en-US" w:eastAsia="zh-CN"/>
              </w:rPr>
              <w:t>技术</w:t>
            </w:r>
            <w:r>
              <w:rPr>
                <w:rFonts w:hint="eastAsia" w:ascii="Arial" w:hAnsi="Arial" w:eastAsia="等线" w:cs="Arial"/>
                <w:b/>
                <w:sz w:val="22"/>
                <w:lang w:eastAsia="zh-CN"/>
              </w:rPr>
              <w:t>要求（</w:t>
            </w:r>
            <w:r>
              <w:rPr>
                <w:rFonts w:hint="eastAsia" w:ascii="Arial" w:hAnsi="Arial" w:eastAsia="等线" w:cs="Arial"/>
                <w:b/>
                <w:sz w:val="22"/>
                <w:lang w:val="en-US" w:eastAsia="zh-CN"/>
              </w:rPr>
              <w:t>详细见第三点</w:t>
            </w:r>
            <w:r>
              <w:rPr>
                <w:rFonts w:hint="eastAsia" w:ascii="Arial" w:hAnsi="Arial" w:eastAsia="等线" w:cs="Arial"/>
                <w:b/>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rPr>
              <w:t>桌面云软件</w:t>
            </w:r>
          </w:p>
        </w:tc>
        <w:tc>
          <w:tcPr>
            <w:tcW w:w="822"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8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深信服桌面云管理平台软件授权VDI授权与配件(aDesk)</w:t>
            </w:r>
            <w:r>
              <w:rPr>
                <w:rFonts w:hint="eastAsia" w:hAnsi="宋体" w:cs="宋体"/>
                <w:sz w:val="21"/>
                <w:szCs w:val="21"/>
                <w:highlight w:val="none"/>
                <w:lang w:val="en-US" w:eastAsia="zh-CN"/>
              </w:rPr>
              <w:t>，共30个授权</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瘦终端</w:t>
            </w:r>
          </w:p>
        </w:tc>
        <w:tc>
          <w:tcPr>
            <w:tcW w:w="822"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8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深信服aDesk-STD-320(VGA</w:t>
            </w:r>
            <w:r>
              <w:rPr>
                <w:rFonts w:hint="eastAsia" w:hAnsi="宋体" w:cs="宋体"/>
                <w:sz w:val="21"/>
                <w:szCs w:val="21"/>
                <w:highlight w:val="none"/>
                <w:lang w:val="en-US" w:eastAsia="zh-CN"/>
              </w:rPr>
              <w:t>+</w:t>
            </w:r>
            <w:r>
              <w:rPr>
                <w:rFonts w:hint="eastAsia" w:ascii="宋体" w:hAnsi="宋体" w:eastAsia="宋体" w:cs="宋体"/>
                <w:sz w:val="21"/>
                <w:szCs w:val="21"/>
                <w:highlight w:val="none"/>
                <w:lang w:val="en-US" w:eastAsia="zh-CN"/>
              </w:rPr>
              <w:t>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终端显示装置</w:t>
            </w:r>
          </w:p>
        </w:tc>
        <w:tc>
          <w:tcPr>
            <w:tcW w:w="822"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8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23.8寸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终端接入操作设备</w:t>
            </w:r>
          </w:p>
        </w:tc>
        <w:tc>
          <w:tcPr>
            <w:tcW w:w="822"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8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rPr>
              <w:t>键鼠套装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81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终端安全防护软件</w:t>
            </w:r>
          </w:p>
        </w:tc>
        <w:tc>
          <w:tcPr>
            <w:tcW w:w="822" w:type="dxa"/>
            <w:tcBorders>
              <w:top w:val="single" w:color="auto" w:sz="4" w:space="0"/>
              <w:left w:val="single" w:color="auto" w:sz="4" w:space="0"/>
              <w:bottom w:val="single" w:color="auto" w:sz="4" w:space="0"/>
              <w:right w:val="single" w:color="auto" w:sz="4" w:space="0"/>
            </w:tcBorders>
            <w:vAlign w:val="center"/>
          </w:tcPr>
          <w:p>
            <w:pPr>
              <w:pStyle w:val="8"/>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83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525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深信服端点安全软件V3.0</w:t>
            </w:r>
          </w:p>
        </w:tc>
      </w:tr>
    </w:tbl>
    <w:p>
      <w:pPr>
        <w:spacing w:line="360" w:lineRule="exact"/>
        <w:ind w:firstLine="0" w:firstLineChars="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二、服务要求</w:t>
      </w:r>
    </w:p>
    <w:p>
      <w:pPr>
        <w:spacing w:line="360" w:lineRule="auto"/>
        <w:ind w:firstLine="420" w:firstLineChars="200"/>
        <w:rPr>
          <w:rFonts w:hint="eastAsia" w:ascii="宋体" w:hAnsi="宋体" w:eastAsia="宋体" w:cs="宋体"/>
          <w:b w:val="0"/>
          <w:bCs w:val="0"/>
          <w:kern w:val="2"/>
          <w:sz w:val="21"/>
          <w:szCs w:val="21"/>
          <w:highlight w:val="white"/>
          <w:lang w:val="en-US" w:eastAsia="zh-CN" w:bidi="ar-SA"/>
        </w:rPr>
      </w:pP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一</w:t>
      </w:r>
      <w:r>
        <w:rPr>
          <w:rFonts w:hint="eastAsia" w:ascii="宋体" w:hAnsi="宋体" w:cs="宋体"/>
          <w:sz w:val="21"/>
          <w:szCs w:val="21"/>
          <w:lang w:eastAsia="zh-CN"/>
        </w:rPr>
        <w:t>）</w:t>
      </w:r>
      <w:r>
        <w:rPr>
          <w:rFonts w:hint="eastAsia" w:ascii="宋体" w:hAnsi="宋体" w:eastAsia="宋体" w:cs="宋体"/>
          <w:b w:val="0"/>
          <w:bCs w:val="0"/>
          <w:kern w:val="2"/>
          <w:sz w:val="21"/>
          <w:szCs w:val="21"/>
          <w:highlight w:val="white"/>
          <w:lang w:val="en-US" w:eastAsia="zh-CN" w:bidi="ar-SA"/>
        </w:rPr>
        <w:t>按国家规定的产品三包期限要求。</w:t>
      </w:r>
      <w:r>
        <w:rPr>
          <w:rFonts w:hint="eastAsia" w:cs="Tahoma"/>
          <w:b w:val="0"/>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p>
      <w:pPr>
        <w:spacing w:line="360" w:lineRule="auto"/>
        <w:ind w:firstLine="630" w:firstLineChars="300"/>
        <w:rPr>
          <w:rFonts w:hint="eastAsia" w:ascii="宋体" w:hAnsi="宋体" w:eastAsia="宋体" w:cs="宋体"/>
          <w:b w:val="0"/>
          <w:bCs w:val="0"/>
          <w:kern w:val="2"/>
          <w:sz w:val="21"/>
          <w:szCs w:val="21"/>
          <w:highlight w:val="white"/>
          <w:lang w:val="en-US" w:eastAsia="zh-CN" w:bidi="ar-SA"/>
        </w:rPr>
      </w:pPr>
      <w:r>
        <w:rPr>
          <w:rFonts w:hint="eastAsia" w:ascii="宋体" w:hAnsi="宋体" w:cs="宋体"/>
          <w:sz w:val="21"/>
          <w:szCs w:val="21"/>
          <w:lang w:eastAsia="zh-CN"/>
        </w:rPr>
        <w:t>（</w:t>
      </w:r>
      <w:r>
        <w:rPr>
          <w:rFonts w:hint="eastAsia" w:ascii="宋体" w:hAnsi="宋体" w:cs="宋体"/>
          <w:sz w:val="21"/>
          <w:szCs w:val="21"/>
          <w:lang w:val="en-US" w:eastAsia="zh-CN"/>
        </w:rPr>
        <w:t>二</w:t>
      </w:r>
      <w:r>
        <w:rPr>
          <w:rFonts w:hint="eastAsia" w:ascii="宋体" w:hAnsi="宋体" w:cs="宋体"/>
          <w:sz w:val="21"/>
          <w:szCs w:val="21"/>
          <w:lang w:eastAsia="zh-CN"/>
        </w:rPr>
        <w:t>）</w:t>
      </w:r>
      <w:r>
        <w:rPr>
          <w:rFonts w:hint="eastAsia" w:ascii="宋体" w:hAnsi="宋体" w:eastAsia="宋体" w:cs="宋体"/>
          <w:b w:val="0"/>
          <w:bCs w:val="0"/>
          <w:kern w:val="2"/>
          <w:sz w:val="21"/>
          <w:szCs w:val="21"/>
          <w:highlight w:val="white"/>
          <w:lang w:val="en-US" w:eastAsia="zh-CN" w:bidi="ar-SA"/>
        </w:rPr>
        <w:t>供应商提供的货物质量必须符合国家相关标准、行业标准及采购文件要求。</w:t>
      </w:r>
    </w:p>
    <w:p>
      <w:pPr>
        <w:spacing w:line="360" w:lineRule="auto"/>
        <w:ind w:firstLine="420" w:firstLineChars="200"/>
        <w:rPr>
          <w:rFonts w:hint="eastAsia" w:ascii="宋体" w:hAnsi="宋体" w:eastAsia="宋体" w:cs="宋体"/>
          <w:b/>
          <w:bCs/>
          <w:kern w:val="2"/>
          <w:sz w:val="21"/>
          <w:szCs w:val="21"/>
          <w:highlight w:val="white"/>
          <w:lang w:val="en-US" w:eastAsia="zh-CN" w:bidi="ar-SA"/>
        </w:rPr>
      </w:pPr>
      <w:r>
        <w:rPr>
          <w:rFonts w:hint="eastAsia" w:ascii="宋体" w:hAnsi="宋体" w:cs="宋体"/>
          <w:sz w:val="21"/>
          <w:szCs w:val="21"/>
        </w:rPr>
        <w:t>★</w:t>
      </w:r>
      <w:r>
        <w:rPr>
          <w:rFonts w:hint="eastAsia" w:ascii="宋体" w:hAnsi="宋体" w:cs="宋体"/>
          <w:b/>
          <w:bCs/>
          <w:sz w:val="21"/>
          <w:szCs w:val="21"/>
          <w:lang w:eastAsia="zh-CN"/>
        </w:rPr>
        <w:t>（</w:t>
      </w:r>
      <w:r>
        <w:rPr>
          <w:rFonts w:hint="eastAsia" w:ascii="宋体" w:hAnsi="宋体" w:cs="宋体"/>
          <w:b/>
          <w:bCs/>
          <w:sz w:val="21"/>
          <w:szCs w:val="21"/>
          <w:lang w:val="en-US" w:eastAsia="zh-CN"/>
        </w:rPr>
        <w:t>三</w:t>
      </w:r>
      <w:r>
        <w:rPr>
          <w:rFonts w:hint="eastAsia" w:ascii="宋体" w:hAnsi="宋体" w:cs="宋体"/>
          <w:b/>
          <w:bCs/>
          <w:sz w:val="21"/>
          <w:szCs w:val="21"/>
          <w:lang w:eastAsia="zh-CN"/>
        </w:rPr>
        <w:t>）</w:t>
      </w:r>
      <w:r>
        <w:rPr>
          <w:rFonts w:hint="eastAsia" w:ascii="宋体" w:hAnsi="宋体" w:eastAsia="宋体" w:cs="宋体"/>
          <w:b/>
          <w:bCs/>
          <w:kern w:val="2"/>
          <w:sz w:val="21"/>
          <w:szCs w:val="21"/>
          <w:highlight w:val="white"/>
          <w:lang w:val="en-US" w:eastAsia="zh-CN" w:bidi="ar-SA"/>
        </w:rPr>
        <w:t>供应商提供的货物必须为原装出厂、正版、全新未启封、无污、表面无划痕、无缺陷隐患的产品，来源渠道合法，各项技术指标符合国家有关质量检测和环保标准，且无任何的侵权行为，货物在开箱检验时必须完好，无破损。</w:t>
      </w:r>
      <w:r>
        <w:rPr>
          <w:rFonts w:hint="eastAsia" w:cs="Tahoma"/>
          <w:b/>
          <w:bCs/>
          <w:color w:val="auto"/>
          <w:kern w:val="28"/>
          <w:sz w:val="21"/>
          <w:szCs w:val="21"/>
          <w:highlight w:val="none"/>
          <w:lang w:eastAsia="zh-CN"/>
        </w:rPr>
        <w:t>（</w:t>
      </w:r>
      <w:r>
        <w:rPr>
          <w:rFonts w:hint="eastAsia" w:ascii="Times New Roman" w:hAnsi="Times New Roman" w:eastAsia="宋体" w:cs="Tahoma"/>
          <w:b/>
          <w:bCs/>
          <w:color w:val="auto"/>
          <w:kern w:val="28"/>
          <w:sz w:val="21"/>
          <w:szCs w:val="21"/>
          <w:highlight w:val="none"/>
          <w:lang w:val="en-US" w:eastAsia="zh-CN" w:bidi="ar-SA"/>
        </w:rPr>
        <w:t>提供承诺函并加盖供应商公章，格式见附件4）</w:t>
      </w:r>
    </w:p>
    <w:p>
      <w:pPr>
        <w:spacing w:line="360" w:lineRule="auto"/>
        <w:ind w:firstLine="420" w:firstLineChars="200"/>
        <w:rPr>
          <w:rFonts w:hint="eastAsia" w:ascii="Times New Roman" w:hAnsi="Times New Roman" w:eastAsia="宋体" w:cs="Tahoma"/>
          <w:b/>
          <w:bCs w:val="0"/>
          <w:color w:val="auto"/>
          <w:kern w:val="28"/>
          <w:sz w:val="21"/>
          <w:szCs w:val="21"/>
          <w:highlight w:val="none"/>
          <w:lang w:val="en-US" w:eastAsia="zh-CN" w:bidi="ar-SA"/>
        </w:rPr>
      </w:pP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四</w:t>
      </w:r>
      <w:r>
        <w:rPr>
          <w:rFonts w:hint="eastAsia" w:ascii="宋体" w:hAnsi="宋体" w:cs="宋体"/>
          <w:sz w:val="21"/>
          <w:szCs w:val="21"/>
          <w:lang w:eastAsia="zh-CN"/>
        </w:rPr>
        <w:t>）</w:t>
      </w:r>
      <w:r>
        <w:rPr>
          <w:rFonts w:hint="eastAsia" w:ascii="宋体" w:hAnsi="宋体" w:eastAsia="宋体" w:cs="宋体"/>
          <w:b w:val="0"/>
          <w:bCs w:val="0"/>
          <w:kern w:val="2"/>
          <w:sz w:val="21"/>
          <w:szCs w:val="21"/>
          <w:highlight w:val="white"/>
          <w:lang w:val="en-US" w:eastAsia="zh-CN" w:bidi="ar-SA"/>
        </w:rPr>
        <w:t>供应商提供的货物须按国家规定的标准及保护措施进行包装，包装材料、标识和随货资料应符合国家的有关要求。凡由于包装不良造成的损失和由此产生的费用均由供应商承担。</w:t>
      </w:r>
      <w:r>
        <w:rPr>
          <w:rFonts w:hint="eastAsia" w:cs="Tahoma"/>
          <w:b w:val="0"/>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p>
      <w:pPr>
        <w:spacing w:line="360" w:lineRule="auto"/>
        <w:ind w:firstLine="422" w:firstLineChars="200"/>
        <w:rPr>
          <w:rFonts w:hint="eastAsia" w:ascii="Times New Roman" w:hAnsi="Times New Roman" w:eastAsia="宋体" w:cs="Tahoma"/>
          <w:b/>
          <w:bCs w:val="0"/>
          <w:color w:val="auto"/>
          <w:kern w:val="28"/>
          <w:sz w:val="21"/>
          <w:szCs w:val="21"/>
          <w:highlight w:val="none"/>
          <w:lang w:val="en-US" w:eastAsia="zh-CN" w:bidi="ar-SA"/>
        </w:rPr>
      </w:pPr>
      <w:r>
        <w:rPr>
          <w:rFonts w:hint="eastAsia" w:ascii="Times New Roman" w:hAnsi="Times New Roman" w:eastAsia="宋体" w:cs="Tahoma"/>
          <w:b/>
          <w:bCs w:val="0"/>
          <w:color w:val="auto"/>
          <w:kern w:val="28"/>
          <w:sz w:val="21"/>
          <w:szCs w:val="21"/>
          <w:highlight w:val="none"/>
          <w:lang w:val="en-US" w:eastAsia="zh-CN" w:bidi="ar-SA"/>
        </w:rPr>
        <w:t>★（五）质保期≥3年。质保期内非因采购人的人为原因而出现产品质量及安装问题，由成交供应商负责包修、包换或包退，并承担因此而产生的一切费用。（提供承诺函并加盖供应商公章，格式见附件4）</w:t>
      </w:r>
    </w:p>
    <w:p>
      <w:pPr>
        <w:spacing w:line="360" w:lineRule="auto"/>
        <w:ind w:firstLine="422" w:firstLineChars="200"/>
        <w:rPr>
          <w:rFonts w:hint="eastAsia" w:ascii="Times New Roman" w:hAnsi="Times New Roman" w:eastAsia="宋体" w:cs="Tahoma"/>
          <w:b/>
          <w:bCs w:val="0"/>
          <w:color w:val="auto"/>
          <w:kern w:val="28"/>
          <w:sz w:val="21"/>
          <w:szCs w:val="21"/>
          <w:highlight w:val="none"/>
          <w:lang w:val="en-US" w:eastAsia="zh-CN" w:bidi="ar-SA"/>
        </w:rPr>
      </w:pPr>
    </w:p>
    <w:p>
      <w:pPr>
        <w:numPr>
          <w:ilvl w:val="0"/>
          <w:numId w:val="2"/>
        </w:numPr>
        <w:spacing w:line="360" w:lineRule="exact"/>
        <w:ind w:firstLine="0" w:firstLineChars="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技术要求</w:t>
      </w:r>
    </w:p>
    <w:p>
      <w:pPr>
        <w:pStyle w:val="10"/>
        <w:numPr>
          <w:ilvl w:val="0"/>
          <w:numId w:val="0"/>
        </w:numPr>
        <w:spacing w:before="156" w:after="0" w:line="360" w:lineRule="auto"/>
        <w:jc w:val="cente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val="0"/>
          <w:bCs w:val="0"/>
          <w:kern w:val="2"/>
          <w:sz w:val="24"/>
          <w:szCs w:val="22"/>
          <w:highlight w:val="none"/>
          <w:lang w:val="en-US" w:eastAsia="zh-CN" w:bidi="ar-SA"/>
        </w:rPr>
        <w:t>1.</w:t>
      </w:r>
      <w:r>
        <w:rPr>
          <w:rFonts w:hint="eastAsia" w:ascii="宋体" w:hAnsi="宋体" w:eastAsia="宋体" w:cs="宋体"/>
          <w:b w:val="0"/>
          <w:bCs w:val="0"/>
          <w:color w:val="auto"/>
          <w:spacing w:val="0"/>
          <w:kern w:val="2"/>
          <w:sz w:val="24"/>
          <w:szCs w:val="24"/>
          <w:highlight w:val="none"/>
          <w:lang w:val="en-US" w:eastAsia="zh-CN" w:bidi="ar-SA"/>
        </w:rPr>
        <w:t>桌面云软件</w:t>
      </w:r>
    </w:p>
    <w:tbl>
      <w:tblPr>
        <w:tblStyle w:val="6"/>
        <w:tblW w:w="9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8556"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★此项目要求</w:t>
            </w:r>
            <w:r>
              <w:rPr>
                <w:rFonts w:hint="eastAsia" w:asciiTheme="minorEastAsia" w:hAnsiTheme="minorEastAsia" w:eastAsiaTheme="minorEastAsia" w:cstheme="minorEastAsia"/>
                <w:b/>
                <w:bCs/>
                <w:color w:val="auto"/>
                <w:sz w:val="21"/>
                <w:szCs w:val="21"/>
                <w:highlight w:val="none"/>
                <w:lang w:val="en-US" w:eastAsia="zh-CN"/>
              </w:rPr>
              <w:t>提供桌面云VDI接入授权30个，支持发布专有桌面、还原桌面、共享桌面等多种桌面资源，满足不同场景的应用需求。</w:t>
            </w:r>
            <w:r>
              <w:rPr>
                <w:rFonts w:hint="eastAsia" w:cs="Tahoma"/>
                <w:b w:val="0"/>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配备存储虚拟化软件模块，并不限制存储容量，提供低成本、高可靠的存储方案，根据实际需求支持两副本及三副本技术。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确保业务连续性，虚拟化平台需支持平滑滚动升级，支持群集不停机情况下的服务器逐台升级，升级时将自动迁移虚拟机至其他主机，不影响业务运行。为保障业务实时性，虚拟化平台非内核级更新支持业务不中断热升级，升级过程无需重启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▲平台内置备份功能，支持虚拟机集中备份与恢复，可按需选择多个虚拟机或全部虚拟机备份至外置存储（NFS、IP-SAN、FC-SAN等），支持设置备份策略，实现全自动化备份。</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提供产品功能截图，并加盖</w:t>
            </w:r>
            <w:r>
              <w:rPr>
                <w:rFonts w:hint="eastAsia" w:asciiTheme="minorEastAsia" w:hAnsiTheme="minorEastAsia" w:eastAsiaTheme="minorEastAsia" w:cstheme="minorEastAsia"/>
                <w:b/>
                <w:bCs/>
                <w:color w:val="auto"/>
                <w:sz w:val="21"/>
                <w:szCs w:val="21"/>
                <w:highlight w:val="none"/>
                <w:lang w:val="en-US" w:eastAsia="zh-CN"/>
              </w:rPr>
              <w:t>制造商</w:t>
            </w:r>
            <w:r>
              <w:rPr>
                <w:rFonts w:hint="eastAsia" w:asciiTheme="minorEastAsia" w:hAnsiTheme="minorEastAsia" w:eastAsiaTheme="minorEastAsia" w:cstheme="minorEastAsia"/>
                <w:b/>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支持多种类型终端登录桌面云，包括PC台式机、笔记本（含Windows操作系统和MAC笔记本）、云终端（含ARM和X86）、移动终端（手机、平板）等设备接入访问虚拟桌面，终端操作系统支持Windows7/10/11、IOS、MAC OS、Android、Linux、统信UOS、麒麟Kylin OS等。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虚拟机操作系统：</w:t>
            </w:r>
            <w:r>
              <w:rPr>
                <w:rFonts w:hint="eastAsia" w:asciiTheme="minorEastAsia" w:hAnsiTheme="minorEastAsia" w:eastAsiaTheme="minorEastAsia" w:cstheme="minorEastAsia"/>
                <w:color w:val="auto"/>
                <w:sz w:val="21"/>
                <w:szCs w:val="21"/>
                <w:highlight w:val="none"/>
              </w:rPr>
              <w:t>支持Windows 7/10/11、Windows Server，支持三种以上的Linux虚拟桌面操作系统，其中要包含国产Linux操作系统统信UOS和麒麟。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为了保障外设兼容性及稳定性，所投产品需支持USB映射，兼容主流使用外设，如高拍仪、扫描枪、扫描仪、摄像头、密码小键盘、指纹收集器、身份证读卡器、手写板、打印机、USB-key等不同外设。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▲为提升云桌面中业务软件的使用体验，可针对当下使用频率较高的软件做进程加速，管理员也可自定义需加速应用进程名，以保障应用的流畅运行。</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提供功能配置截图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考虑到数据存储及数据共享需求，所投</w:t>
            </w:r>
            <w:r>
              <w:rPr>
                <w:rFonts w:hint="eastAsia" w:asciiTheme="minorEastAsia" w:hAnsiTheme="minorEastAsia" w:eastAsiaTheme="minorEastAsia" w:cstheme="minorEastAsia"/>
                <w:color w:val="auto"/>
                <w:sz w:val="21"/>
                <w:szCs w:val="21"/>
                <w:highlight w:val="none"/>
                <w:lang w:val="en-US" w:eastAsia="zh-CN"/>
              </w:rPr>
              <w:t>产品</w:t>
            </w:r>
            <w:r>
              <w:rPr>
                <w:rFonts w:hint="eastAsia" w:asciiTheme="minorEastAsia" w:hAnsiTheme="minorEastAsia" w:eastAsiaTheme="minorEastAsia" w:cstheme="minorEastAsia"/>
                <w:color w:val="auto"/>
                <w:sz w:val="21"/>
                <w:szCs w:val="21"/>
                <w:highlight w:val="none"/>
              </w:rPr>
              <w:t>需自带云盘存储方案，通过分配个人盘保护用户个人数据存储需求及隐私保护需求，而共用盘允许所有人访问，实现数据共享需求。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提升用户使用体验，所投桌面云产品需能够达到与PC一致的开关机体验，支持查看终端接入时云桌面的启动/关机过程以及出现异常情况（例如开机打补丁或蓝屏卡死等画面），便于用户进一步处理，提升用户开关机体验，从一定程度降低管理员维护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为了提高桌面稳定性与使用体验，所投产品在连接虚拟桌面时无需依赖虚拟机网络，如用户禁用虚拟机网卡或更改虚拟机IP不能造成桌面会话中断，降低因误操作而导致虚拟桌面连接中断的风险。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为了提高桌面视频播放体验，所投产品需支持视频重定向技术，视频播放时直接重定向到终端本地解码，以达到高清流畅的播放效果同时降低服务器端资源占用，重定向应能够兼容Media Player等多种本地播放器。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为了保障带宽不会被某个用户抢占，所投产品需支持终端流量控制，可设置USB映射、磁盘映射及剪切板的上下行带宽，以避免带宽被抢占，优先保证用户体验。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▲支持就近打印配置，可以根据客户机对象或者终端IP对象关联打印机配置，用户通过终端登录桌面，自动匹配终端管理的打印机配置，实现就近打印。</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支持自助快照恢复，当用户自己误操作导致云桌面卡慢、蓝屏、死机或者中病毒的时候，用户通过导航条按钮，可以自助进行系统盘快照还原操作，支持安卓瘦终端、PC客户端。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提供桌面云外设类辅助定位工具，支持针对用户的策略自检、接入外设状态，策略状态，配置指导、常规分析、深入诊断等，提升外设问题的解决效率。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便于用户了解桌面运行状态，性能状态等，提供桌面内置运维工具，可查看桌面运行状态，VDI版本信息，客户端实时带宽/流量/网络时延等，采用的网络协议，传输优化策略，虚拟机资源使用状态、操作系统版本、显示分辨率、连接状态等信息。</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提高用户在随机池化桌面内的数据访问体验，桌面云平台应支持个人虚拟磁盘功能（高速盘），通过管理界面，维护用户个人账号与虚拟化层保存的块存储文件的对应关系，提供为用户新建、分配、删除、锁定个人虚拟磁盘功能。该磁盘将在用户登录至某个随机池化桌面过程中，自动挂载至该虚拟机并分配固定盘符，并在用户注销时自动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为了实现大规模部署及简化管理，平台需提供全局模板功能，可通过跨多个虚拟化集群使用全局模板实现云桌面统一创建、统一更新、统一管理，避免管理员需要重复维护多个相同配置的模板。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为了实现大规模部署及简化管理，在单类桌面使用场景下（如同一部门、同一用途），桌面云平台应支持跨越多个虚拟化集群创建桌面组，管理员仅需维护一个桌面组即可。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保障用户的使用体验，并降低云桌面平台的运维难度和减少潜在故障风险节点，所投桌面虚拟化平台自身提供经过优化的用户配置文件管理功能，实现VDI云桌面的“个性化设置跟随用户账号”。用户之前的个性化配置（如chrome配置、输入法配置、ntuser.dat重定向，edge配置、系统凭证、桌面布局等）还能够继续保留使用，并支持指定路径重定向（如C:\SOFT\ABC.INI等），解决特殊软件配置还原后无法保存的问题；支持配置文件存放本地磁盘、网络路径、平台自带网盘等；同时能够支持AD域控和非AD域控两种环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支持空闲虚拟机识别，通过算法分析识别一段时间内的空闲和僵尸虚拟机，并能导出统计报告，用于管理员做统计报表和分析，避免不必要的资源开销。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提供打印机配置保留功能截图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所投产品需支持桌面还原模式下重启、专有模式下模板更新都不会修丢失打印机配置，无需重复配置打印机，提高用户工作效率和满意度。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需满足高效维护，所投产品需支持批量完成常用配置，如创建用户、删除用户、设置虚拟机IP地址、禁止/踢除用户、关联/解除关联虚拟机、导入导出用户、用户分组。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简化桌面软件管理并满足用户的个性化业务软件需求，桌面云平台应提供软件分发功能，可以将软件分发到特定虚拟机，支持管理员在使用桌面云基础模板完成部署后，能够根据业务部门或员工的个性化软件需求，灵活、快速、高效的给员工分发对应的软件，且软件能够免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便于管理，所投产品应具备文件分发及命令下发能力，可以将文件（文件、程序、脚本）分发到特定的虚拟机，分发的文件可以直接下发到虚拟机的指定位置，也可以通过脚本直接运行，无需用户在桌面虚拟机中再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提高数据中心专线带宽利用率降低线路资源浪费，同时避免专线资源不足影响云桌面用户使用体验，管理平台应支持监控和统计用户流量和并发用户趋势，以方便管理员及时评估专线带宽需求并调整网络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满足管理员日常运营数据统计与安全事件发生时信息追溯审计要求，平台应支持管理记录所有用户的登录记录，包括登录账号、终端IP地址、MAC地址、终端型号、登录登出时间等，并支持信息导出，以方便管理员输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保证平台平稳运行，避免业务部门因云平台资源不足或异常影响业务开展，平台应可依据虚拟机/服务器/集群当前的资源占用和调度情况，量化出每个虚拟机/服务器/集群的体验和风险的综合评分（评分越低，代表此虚拟机/服务器/集群的使用体验越差，越有可能发生风险问题），且支持查看评分趋势变化图，帮助管理员及时识别相关问题。并且给出处置建议引导管理员解决，如虚机配置不足提示扩容，服务器负载过高建议迁移部分虚机等。</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提高桌面云平台问题的处置效率，帮助管理员快速定位问题根因，降低管理员的运维负担。运维平台应可持续性检测并发现虚拟机、主机、集群相关的软硬件问题（如虚机卡慢问题），检测出的问题按照严重程度做分级，并支持结合内置AI智能诊断库，进行自动化问题诊断，可直接在平台上以图文形式直接展示问题分析说明、问题举证分析、问题处置建议，管理员根据处置建议操作即可。</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可通过运维平台查看到集群内所有虚拟机的软件安装情况统计，按照软件安装数量做相关排序，同时可以列出安装了特定软件的虚拟机列表。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虚拟机扩容和减配识别，由于用户实际业务的复杂性，每个用户对虚拟机的性能需求有差异，为了更好地平衡体验和资源利用效率，监控平台需要能够智能识别虚拟机是否需要扩容以满足用户体验，还需要识别哪些虚拟机性能过剩，建议管理员做智能降配，以达到主机资源最大利用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w:t>
            </w:r>
            <w:r>
              <w:rPr>
                <w:rFonts w:hint="eastAsia" w:asciiTheme="minorEastAsia" w:hAnsiTheme="minorEastAsia" w:eastAsiaTheme="minorEastAsia" w:cstheme="minorEastAsia"/>
                <w:b/>
                <w:bCs/>
                <w:color w:val="auto"/>
                <w:sz w:val="21"/>
                <w:szCs w:val="21"/>
                <w:highlight w:val="none"/>
              </w:rPr>
              <w:t>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▲具备智能运维图谱能力，可以通过分析上下游集群、主机、进程之间的关联关系，展示问题传播链路，帮助管理员全面了解平台运行情况，快速定位故障根因，快速解决故障虚拟机，效率显著提升。</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响应文件中须</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eastAsiaTheme="minorEastAsia" w:cstheme="minorEastAsia"/>
                <w:b/>
                <w:bCs/>
                <w:color w:val="auto"/>
                <w:sz w:val="21"/>
                <w:szCs w:val="21"/>
                <w:highlight w:val="none"/>
                <w:lang w:val="en-US" w:eastAsia="zh-CN"/>
              </w:rPr>
              <w:t>产品功能截图</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并加盖制造商公章</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top"/>
          </w:tcPr>
          <w:p>
            <w:pPr>
              <w:pStyle w:val="9"/>
              <w:spacing w:line="36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p>
        </w:tc>
        <w:tc>
          <w:tcPr>
            <w:tcW w:w="8556"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★本项目要求提供</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年原厂认证工程师</w:t>
            </w:r>
            <w:r>
              <w:rPr>
                <w:rFonts w:hint="eastAsia" w:asciiTheme="minorEastAsia" w:hAnsiTheme="minorEastAsia" w:eastAsiaTheme="minorEastAsia" w:cstheme="minorEastAsia"/>
                <w:b/>
                <w:bCs/>
                <w:color w:val="auto"/>
                <w:sz w:val="21"/>
                <w:szCs w:val="21"/>
                <w:highlight w:val="none"/>
                <w:lang w:val="en-US" w:eastAsia="zh-CN"/>
              </w:rPr>
              <w:t>的</w:t>
            </w:r>
            <w:r>
              <w:rPr>
                <w:rFonts w:hint="eastAsia" w:asciiTheme="minorEastAsia" w:hAnsiTheme="minorEastAsia" w:eastAsiaTheme="minorEastAsia" w:cstheme="minorEastAsia"/>
                <w:b/>
                <w:bCs/>
                <w:color w:val="auto"/>
                <w:sz w:val="21"/>
                <w:szCs w:val="21"/>
                <w:highlight w:val="none"/>
              </w:rPr>
              <w:t>技术支持服务</w:t>
            </w:r>
            <w:r>
              <w:rPr>
                <w:rFonts w:hint="eastAsia" w:asciiTheme="minorEastAsia" w:hAnsiTheme="minorEastAsia" w:eastAsiaTheme="minorEastAsia" w:cstheme="minorEastAsia"/>
                <w:b/>
                <w:bCs/>
                <w:color w:val="auto"/>
                <w:sz w:val="21"/>
                <w:szCs w:val="21"/>
                <w:highlight w:val="none"/>
                <w:lang w:eastAsia="zh-CN"/>
              </w:rPr>
              <w:t>。</w:t>
            </w:r>
            <w:r>
              <w:rPr>
                <w:rFonts w:hint="eastAsia" w:cs="Tahoma"/>
                <w:b/>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tc>
      </w:tr>
    </w:tbl>
    <w:p>
      <w:pPr>
        <w:pStyle w:val="10"/>
        <w:numPr>
          <w:ilvl w:val="0"/>
          <w:numId w:val="0"/>
        </w:numPr>
        <w:spacing w:before="313" w:beforeLines="100" w:after="0" w:line="360" w:lineRule="auto"/>
        <w:jc w:val="center"/>
        <w:rPr>
          <w:rFonts w:hint="default" w:ascii="宋体" w:hAnsi="宋体" w:eastAsia="宋体" w:cs="宋体"/>
          <w:b/>
          <w:color w:val="auto"/>
          <w:spacing w:val="0"/>
          <w:kern w:val="2"/>
          <w:sz w:val="24"/>
          <w:szCs w:val="24"/>
          <w:highlight w:val="none"/>
          <w:lang w:val="en-US" w:eastAsia="zh-CN" w:bidi="ar-SA"/>
        </w:rPr>
      </w:pPr>
      <w:r>
        <w:rPr>
          <w:rFonts w:hint="eastAsia" w:ascii="宋体" w:hAnsi="宋体" w:eastAsia="宋体" w:cs="宋体"/>
          <w:b w:val="0"/>
          <w:bCs w:val="0"/>
          <w:kern w:val="2"/>
          <w:sz w:val="24"/>
          <w:szCs w:val="22"/>
          <w:highlight w:val="none"/>
          <w:lang w:val="en-US" w:eastAsia="zh-CN" w:bidi="ar-SA"/>
        </w:rPr>
        <w:t>2.</w:t>
      </w:r>
      <w:r>
        <w:rPr>
          <w:rFonts w:hint="eastAsia" w:ascii="宋体" w:hAnsi="宋体" w:eastAsia="宋体" w:cs="宋体"/>
          <w:b w:val="0"/>
          <w:bCs w:val="0"/>
          <w:color w:val="auto"/>
          <w:spacing w:val="0"/>
          <w:kern w:val="2"/>
          <w:sz w:val="24"/>
          <w:szCs w:val="24"/>
          <w:highlight w:val="none"/>
          <w:lang w:val="en-US" w:eastAsia="zh-CN" w:bidi="ar-SA"/>
        </w:rPr>
        <w:t>瘦终端</w:t>
      </w:r>
    </w:p>
    <w:tbl>
      <w:tblPr>
        <w:tblStyle w:val="6"/>
        <w:tblW w:w="9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pStyle w:val="9"/>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序号</w:t>
            </w:r>
          </w:p>
        </w:tc>
        <w:tc>
          <w:tcPr>
            <w:tcW w:w="8532"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pStyle w:val="9"/>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1</w:t>
            </w:r>
          </w:p>
        </w:tc>
        <w:tc>
          <w:tcPr>
            <w:tcW w:w="8532"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本项目要求</w:t>
            </w:r>
            <w:r>
              <w:rPr>
                <w:rFonts w:hint="eastAsia" w:ascii="宋体" w:hAnsi="宋体" w:eastAsia="宋体" w:cs="宋体"/>
                <w:color w:val="auto"/>
                <w:sz w:val="22"/>
                <w:highlight w:val="none"/>
                <w:lang w:val="en-US" w:eastAsia="zh-CN"/>
              </w:rPr>
              <w:t>瘦</w:t>
            </w:r>
            <w:r>
              <w:rPr>
                <w:rFonts w:hint="eastAsia" w:ascii="宋体" w:hAnsi="宋体" w:eastAsia="宋体" w:cs="宋体"/>
                <w:color w:val="auto"/>
                <w:sz w:val="22"/>
                <w:highlight w:val="none"/>
              </w:rPr>
              <w:t>终端，与桌面云软件、</w:t>
            </w:r>
            <w:r>
              <w:rPr>
                <w:rFonts w:hint="eastAsia" w:ascii="宋体" w:hAnsi="宋体" w:eastAsia="宋体" w:cs="宋体"/>
                <w:color w:val="auto"/>
                <w:sz w:val="22"/>
                <w:highlight w:val="none"/>
                <w:lang w:val="en-US" w:eastAsia="zh-CN"/>
              </w:rPr>
              <w:t>现有</w:t>
            </w:r>
            <w:r>
              <w:rPr>
                <w:rFonts w:hint="eastAsia" w:ascii="宋体" w:hAnsi="宋体" w:eastAsia="宋体" w:cs="宋体"/>
                <w:color w:val="auto"/>
                <w:sz w:val="22"/>
                <w:highlight w:val="none"/>
              </w:rPr>
              <w:t>服务器</w:t>
            </w:r>
            <w:r>
              <w:rPr>
                <w:rFonts w:hint="eastAsia" w:ascii="宋体" w:hAnsi="宋体" w:eastAsia="宋体" w:cs="宋体"/>
                <w:color w:val="auto"/>
                <w:sz w:val="22"/>
                <w:highlight w:val="none"/>
                <w:lang w:val="en-US" w:eastAsia="zh-CN"/>
              </w:rPr>
              <w:t>为</w:t>
            </w:r>
            <w:r>
              <w:rPr>
                <w:rFonts w:hint="eastAsia" w:ascii="宋体" w:hAnsi="宋体" w:eastAsia="宋体" w:cs="宋体"/>
                <w:color w:val="auto"/>
                <w:sz w:val="22"/>
                <w:highlight w:val="none"/>
              </w:rPr>
              <w:t>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spacing w:line="360" w:lineRule="auto"/>
              <w:jc w:val="center"/>
              <w:rPr>
                <w:rFonts w:hint="eastAsia" w:ascii="宋体" w:hAnsi="宋体" w:cs="宋体"/>
                <w:color w:val="auto"/>
                <w:sz w:val="22"/>
                <w:highlight w:val="none"/>
              </w:rPr>
            </w:pPr>
            <w:r>
              <w:rPr>
                <w:rFonts w:ascii="宋体" w:hAnsi="宋体" w:cs="宋体"/>
                <w:color w:val="auto"/>
                <w:sz w:val="22"/>
                <w:highlight w:val="none"/>
              </w:rPr>
              <w:t>2</w:t>
            </w:r>
          </w:p>
        </w:tc>
        <w:tc>
          <w:tcPr>
            <w:tcW w:w="8532" w:type="dxa"/>
            <w:vAlign w:val="center"/>
          </w:tcPr>
          <w:p>
            <w:pPr>
              <w:spacing w:line="360" w:lineRule="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★硬件配置：ARM架构，CPU≥</w:t>
            </w:r>
            <w:r>
              <w:rPr>
                <w:rFonts w:hint="eastAsia" w:ascii="宋体" w:hAnsi="宋体" w:eastAsia="宋体" w:cs="宋体"/>
                <w:b/>
                <w:bCs/>
                <w:color w:val="auto"/>
                <w:sz w:val="22"/>
                <w:highlight w:val="none"/>
                <w:lang w:val="en-US" w:eastAsia="zh-CN"/>
              </w:rPr>
              <w:t>4</w:t>
            </w:r>
            <w:r>
              <w:rPr>
                <w:rFonts w:hint="eastAsia" w:ascii="宋体" w:hAnsi="宋体" w:eastAsia="宋体" w:cs="宋体"/>
                <w:b/>
                <w:bCs/>
                <w:color w:val="auto"/>
                <w:sz w:val="22"/>
                <w:highlight w:val="none"/>
              </w:rPr>
              <w:t>核1.</w:t>
            </w:r>
            <w:r>
              <w:rPr>
                <w:rFonts w:hint="eastAsia" w:ascii="宋体" w:hAnsi="宋体" w:eastAsia="宋体" w:cs="宋体"/>
                <w:b/>
                <w:bCs/>
                <w:color w:val="auto"/>
                <w:sz w:val="22"/>
                <w:highlight w:val="none"/>
                <w:lang w:val="en-US" w:eastAsia="zh-CN"/>
              </w:rPr>
              <w:t>6</w:t>
            </w:r>
            <w:r>
              <w:rPr>
                <w:rFonts w:hint="eastAsia" w:ascii="宋体" w:hAnsi="宋体" w:eastAsia="宋体" w:cs="宋体"/>
                <w:b/>
                <w:bCs/>
                <w:color w:val="auto"/>
                <w:sz w:val="22"/>
                <w:highlight w:val="none"/>
              </w:rPr>
              <w:t>Ghz、内存≥</w:t>
            </w: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rPr>
              <w:t>G、存储≥</w:t>
            </w:r>
            <w:r>
              <w:rPr>
                <w:rFonts w:hint="eastAsia" w:ascii="宋体" w:hAnsi="宋体" w:eastAsia="宋体" w:cs="宋体"/>
                <w:b/>
                <w:bCs/>
                <w:color w:val="auto"/>
                <w:sz w:val="22"/>
                <w:highlight w:val="none"/>
                <w:lang w:val="en-US" w:eastAsia="zh-CN"/>
              </w:rPr>
              <w:t>8</w:t>
            </w:r>
            <w:r>
              <w:rPr>
                <w:rFonts w:hint="eastAsia" w:ascii="宋体" w:hAnsi="宋体" w:eastAsia="宋体" w:cs="宋体"/>
                <w:b/>
                <w:bCs/>
                <w:color w:val="auto"/>
                <w:sz w:val="22"/>
                <w:highlight w:val="none"/>
              </w:rPr>
              <w:t>G、USB</w:t>
            </w:r>
            <w:r>
              <w:rPr>
                <w:rFonts w:hint="eastAsia" w:ascii="宋体" w:hAnsi="宋体" w:eastAsia="宋体" w:cs="宋体"/>
                <w:b/>
                <w:bCs/>
                <w:color w:val="auto"/>
                <w:sz w:val="22"/>
                <w:highlight w:val="none"/>
                <w:lang w:val="en-US" w:eastAsia="zh-CN"/>
              </w:rPr>
              <w:t>2.0</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en-US" w:eastAsia="zh-CN"/>
              </w:rPr>
              <w:t>4</w:t>
            </w:r>
            <w:r>
              <w:rPr>
                <w:rFonts w:hint="eastAsia" w:ascii="宋体" w:hAnsi="宋体" w:eastAsia="宋体" w:cs="宋体"/>
                <w:b/>
                <w:bCs/>
                <w:color w:val="auto"/>
                <w:sz w:val="22"/>
                <w:highlight w:val="none"/>
              </w:rPr>
              <w:t>个、USB</w:t>
            </w:r>
            <w:r>
              <w:rPr>
                <w:rFonts w:hint="eastAsia" w:ascii="宋体" w:hAnsi="宋体" w:eastAsia="宋体" w:cs="宋体"/>
                <w:b/>
                <w:bCs/>
                <w:color w:val="auto"/>
                <w:sz w:val="22"/>
                <w:highlight w:val="none"/>
                <w:lang w:val="en-US" w:eastAsia="zh-CN"/>
              </w:rPr>
              <w:t>3.0</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rPr>
              <w:t>个</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1个</w:t>
            </w:r>
            <w:r>
              <w:rPr>
                <w:rFonts w:hint="eastAsia" w:ascii="宋体" w:hAnsi="宋体" w:eastAsia="宋体" w:cs="宋体"/>
                <w:b/>
                <w:bCs/>
                <w:color w:val="auto"/>
                <w:sz w:val="22"/>
                <w:highlight w:val="none"/>
                <w:lang w:val="en-US" w:eastAsia="zh-CN"/>
              </w:rPr>
              <w:t>VGA接口</w:t>
            </w:r>
            <w:r>
              <w:rPr>
                <w:rFonts w:hint="eastAsia" w:ascii="宋体" w:hAnsi="宋体" w:eastAsia="宋体" w:cs="宋体"/>
                <w:b/>
                <w:bCs/>
                <w:color w:val="auto"/>
                <w:sz w:val="22"/>
                <w:highlight w:val="none"/>
              </w:rPr>
              <w:t>、1个</w:t>
            </w:r>
            <w:r>
              <w:rPr>
                <w:rFonts w:hint="eastAsia" w:ascii="宋体" w:hAnsi="宋体" w:eastAsia="宋体" w:cs="宋体"/>
                <w:b/>
                <w:bCs/>
                <w:color w:val="auto"/>
                <w:sz w:val="22"/>
                <w:highlight w:val="none"/>
                <w:lang w:val="en-US" w:eastAsia="zh-CN"/>
              </w:rPr>
              <w:t>HDMI接口、</w:t>
            </w:r>
            <w:r>
              <w:rPr>
                <w:rFonts w:hint="eastAsia" w:ascii="宋体" w:hAnsi="宋体" w:eastAsia="宋体" w:cs="宋体"/>
                <w:b/>
                <w:bCs/>
                <w:color w:val="auto"/>
                <w:sz w:val="22"/>
                <w:highlight w:val="none"/>
              </w:rPr>
              <w:t>1个以太网口</w:t>
            </w:r>
            <w:r>
              <w:rPr>
                <w:rFonts w:hint="eastAsia" w:ascii="宋体" w:hAnsi="宋体" w:eastAsia="宋体" w:cs="宋体"/>
                <w:b/>
                <w:bCs/>
                <w:color w:val="auto"/>
                <w:sz w:val="22"/>
                <w:highlight w:val="none"/>
                <w:lang w:eastAsia="zh-CN"/>
              </w:rPr>
              <w:t>。</w:t>
            </w:r>
            <w:r>
              <w:rPr>
                <w:rFonts w:hint="eastAsia" w:cs="Tahoma"/>
                <w:b/>
                <w:bCs w:val="0"/>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spacing w:line="360" w:lineRule="auto"/>
              <w:jc w:val="center"/>
              <w:rPr>
                <w:rFonts w:ascii="宋体" w:hAnsi="宋体" w:cs="宋体"/>
                <w:color w:val="auto"/>
                <w:sz w:val="22"/>
                <w:highlight w:val="none"/>
              </w:rPr>
            </w:pPr>
            <w:r>
              <w:rPr>
                <w:rFonts w:ascii="宋体" w:hAnsi="宋体" w:cs="宋体"/>
                <w:color w:val="auto"/>
                <w:sz w:val="22"/>
                <w:highlight w:val="none"/>
              </w:rPr>
              <w:t>3</w:t>
            </w:r>
          </w:p>
        </w:tc>
        <w:tc>
          <w:tcPr>
            <w:tcW w:w="8532" w:type="dxa"/>
            <w:vAlign w:val="center"/>
          </w:tcPr>
          <w:p>
            <w:pPr>
              <w:spacing w:line="360" w:lineRule="auto"/>
              <w:rPr>
                <w:rFonts w:hint="eastAsia" w:ascii="宋体" w:hAnsi="宋体" w:eastAsia="宋体" w:cs="宋体"/>
                <w:color w:val="auto"/>
                <w:sz w:val="22"/>
                <w:highlight w:val="none"/>
                <w:lang w:eastAsia="zh-CN"/>
              </w:rPr>
            </w:pPr>
            <w:r>
              <w:rPr>
                <w:rFonts w:hint="eastAsia" w:ascii="宋体" w:hAnsi="宋体" w:eastAsia="宋体" w:cs="宋体"/>
                <w:b/>
                <w:bCs/>
                <w:color w:val="auto"/>
                <w:sz w:val="22"/>
                <w:highlight w:val="none"/>
              </w:rPr>
              <w:t>★提供原厂安装实施调试及</w:t>
            </w: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rPr>
              <w:t>年质保服务</w:t>
            </w:r>
            <w:r>
              <w:rPr>
                <w:rFonts w:hint="eastAsia" w:ascii="宋体" w:hAnsi="宋体" w:eastAsia="宋体" w:cs="宋体"/>
                <w:b/>
                <w:bCs/>
                <w:color w:val="auto"/>
                <w:sz w:val="22"/>
                <w:highlight w:val="none"/>
                <w:lang w:eastAsia="zh-CN"/>
              </w:rPr>
              <w:t>。</w:t>
            </w:r>
            <w:r>
              <w:rPr>
                <w:rFonts w:hint="eastAsia" w:cs="Tahoma"/>
                <w:b/>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81" w:type="dxa"/>
            <w:vAlign w:val="center"/>
          </w:tcPr>
          <w:p>
            <w:pPr>
              <w:spacing w:line="360" w:lineRule="auto"/>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8532"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在瘦终端的管理方面，需支持分组管理、批量移动、删除、关闭瘦终端，支持配置定时开关机计划及加电自启动功能，支持自定义开机画面、支持联动关机功能、配置自动登录和保存密码</w:t>
            </w:r>
            <w:r>
              <w:rPr>
                <w:rFonts w:hint="eastAsia" w:ascii="宋体" w:hAnsi="宋体" w:eastAsia="宋体" w:cs="宋体"/>
                <w:color w:val="auto"/>
                <w:sz w:val="22"/>
                <w:highlight w:val="none"/>
                <w:lang w:eastAsia="zh-CN"/>
              </w:rPr>
              <w:t>。</w:t>
            </w:r>
          </w:p>
        </w:tc>
      </w:tr>
    </w:tbl>
    <w:p>
      <w:pPr>
        <w:pStyle w:val="10"/>
        <w:numPr>
          <w:ilvl w:val="0"/>
          <w:numId w:val="0"/>
        </w:numPr>
        <w:spacing w:before="313" w:beforeLines="100" w:after="0" w:line="360" w:lineRule="auto"/>
        <w:jc w:val="cente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3.终端显示装置</w:t>
      </w:r>
    </w:p>
    <w:tbl>
      <w:tblPr>
        <w:tblStyle w:val="6"/>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功能及技术指标</w:t>
            </w:r>
          </w:p>
        </w:tc>
        <w:tc>
          <w:tcPr>
            <w:tcW w:w="7330"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985" w:type="dxa"/>
            <w:vAlign w:val="center"/>
          </w:tcPr>
          <w:p>
            <w:pPr>
              <w:spacing w:line="360" w:lineRule="auto"/>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颜色</w:t>
            </w:r>
          </w:p>
        </w:tc>
        <w:tc>
          <w:tcPr>
            <w:tcW w:w="7330" w:type="dxa"/>
            <w:vAlign w:val="center"/>
          </w:tcPr>
          <w:p>
            <w:pPr>
              <w:spacing w:line="360" w:lineRule="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985" w:type="dxa"/>
            <w:vAlign w:val="center"/>
          </w:tcPr>
          <w:p>
            <w:pPr>
              <w:spacing w:line="360" w:lineRule="auto"/>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面板</w:t>
            </w:r>
          </w:p>
        </w:tc>
        <w:tc>
          <w:tcPr>
            <w:tcW w:w="7330" w:type="dxa"/>
            <w:vAlign w:val="center"/>
          </w:tcPr>
          <w:p>
            <w:pPr>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IPS面板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能效标识</w:t>
            </w:r>
          </w:p>
        </w:tc>
        <w:tc>
          <w:tcPr>
            <w:tcW w:w="7330"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一级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尺寸</w:t>
            </w:r>
          </w:p>
        </w:tc>
        <w:tc>
          <w:tcPr>
            <w:tcW w:w="7330"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23.8英寸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分辨率</w:t>
            </w:r>
          </w:p>
        </w:tc>
        <w:tc>
          <w:tcPr>
            <w:tcW w:w="7330"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1920×1080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比例</w:t>
            </w:r>
          </w:p>
        </w:tc>
        <w:tc>
          <w:tcPr>
            <w:tcW w:w="7330"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对比度</w:t>
            </w:r>
          </w:p>
        </w:tc>
        <w:tc>
          <w:tcPr>
            <w:tcW w:w="7330" w:type="dxa"/>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985" w:type="dxa"/>
            <w:vAlign w:val="center"/>
          </w:tcPr>
          <w:p>
            <w:pPr>
              <w:spacing w:line="360" w:lineRule="auto"/>
              <w:jc w:val="center"/>
              <w:rPr>
                <w:rFonts w:ascii="宋体" w:hAnsi="宋体" w:cs="宋体"/>
                <w:color w:val="auto"/>
                <w:sz w:val="22"/>
                <w:highlight w:val="none"/>
              </w:rPr>
            </w:pPr>
            <w:r>
              <w:rPr>
                <w:rFonts w:hint="eastAsia" w:ascii="宋体" w:hAnsi="宋体" w:cs="宋体"/>
                <w:color w:val="auto"/>
                <w:sz w:val="22"/>
                <w:highlight w:val="none"/>
              </w:rPr>
              <w:t>接口类型</w:t>
            </w:r>
          </w:p>
        </w:tc>
        <w:tc>
          <w:tcPr>
            <w:tcW w:w="7330" w:type="dxa"/>
            <w:vAlign w:val="center"/>
          </w:tcPr>
          <w:p>
            <w:pPr>
              <w:spacing w:line="360" w:lineRule="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VGA，DVI</w:t>
            </w:r>
          </w:p>
        </w:tc>
      </w:tr>
    </w:tbl>
    <w:p>
      <w:pPr>
        <w:pStyle w:val="10"/>
        <w:numPr>
          <w:ilvl w:val="0"/>
          <w:numId w:val="0"/>
        </w:numPr>
        <w:spacing w:before="313" w:beforeLines="100" w:after="0" w:line="360" w:lineRule="auto"/>
        <w:jc w:val="cente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4.终端接入操作设备</w:t>
      </w:r>
    </w:p>
    <w:tbl>
      <w:tblPr>
        <w:tblStyle w:val="6"/>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功能及技术指标</w:t>
            </w:r>
          </w:p>
        </w:tc>
        <w:tc>
          <w:tcPr>
            <w:tcW w:w="7363"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985" w:type="dxa"/>
            <w:vAlign w:val="center"/>
          </w:tcPr>
          <w:p>
            <w:pPr>
              <w:pStyle w:val="9"/>
              <w:spacing w:line="360" w:lineRule="auto"/>
              <w:ind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tc>
        <w:tc>
          <w:tcPr>
            <w:tcW w:w="7363" w:type="dxa"/>
            <w:vAlign w:val="center"/>
          </w:tcPr>
          <w:p>
            <w:pPr>
              <w:spacing w:line="360" w:lineRule="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每套含键盘1个，鼠标1个；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985" w:type="dxa"/>
            <w:vAlign w:val="center"/>
          </w:tcPr>
          <w:p>
            <w:pPr>
              <w:spacing w:line="360" w:lineRule="auto"/>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连接方式</w:t>
            </w:r>
          </w:p>
        </w:tc>
        <w:tc>
          <w:tcPr>
            <w:tcW w:w="7363" w:type="dxa"/>
            <w:vAlign w:val="center"/>
          </w:tcPr>
          <w:p>
            <w:pPr>
              <w:spacing w:line="360" w:lineRule="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Usb 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985" w:type="dxa"/>
            <w:vAlign w:val="center"/>
          </w:tcPr>
          <w:p>
            <w:pPr>
              <w:spacing w:line="360" w:lineRule="auto"/>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工作电压</w:t>
            </w:r>
          </w:p>
        </w:tc>
        <w:tc>
          <w:tcPr>
            <w:tcW w:w="7363" w:type="dxa"/>
            <w:vAlign w:val="center"/>
          </w:tcPr>
          <w:p>
            <w:pPr>
              <w:spacing w:line="360" w:lineRule="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5V</w:t>
            </w:r>
          </w:p>
        </w:tc>
      </w:tr>
    </w:tbl>
    <w:p>
      <w:pPr>
        <w:pStyle w:val="10"/>
        <w:numPr>
          <w:ilvl w:val="0"/>
          <w:numId w:val="0"/>
        </w:numPr>
        <w:spacing w:before="313" w:beforeLines="100" w:after="0" w:line="360" w:lineRule="auto"/>
        <w:jc w:val="center"/>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kern w:val="2"/>
          <w:sz w:val="24"/>
          <w:szCs w:val="22"/>
          <w:highlight w:val="none"/>
          <w:lang w:val="en-US" w:eastAsia="zh-CN" w:bidi="ar-SA"/>
        </w:rPr>
        <w:t>5.</w:t>
      </w:r>
      <w:r>
        <w:rPr>
          <w:rFonts w:hint="eastAsia" w:ascii="宋体" w:hAnsi="宋体" w:eastAsia="宋体" w:cs="宋体"/>
          <w:b w:val="0"/>
          <w:bCs w:val="0"/>
          <w:color w:val="auto"/>
          <w:spacing w:val="0"/>
          <w:kern w:val="2"/>
          <w:sz w:val="24"/>
          <w:szCs w:val="24"/>
          <w:highlight w:val="none"/>
          <w:lang w:val="en-US" w:eastAsia="zh-CN" w:bidi="ar-SA"/>
        </w:rPr>
        <w:t>终端安全防护软件</w:t>
      </w:r>
    </w:p>
    <w:tbl>
      <w:tblPr>
        <w:tblStyle w:val="6"/>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09"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序号</w:t>
            </w:r>
          </w:p>
        </w:tc>
        <w:tc>
          <w:tcPr>
            <w:tcW w:w="8660" w:type="dxa"/>
            <w:vAlign w:val="center"/>
          </w:tcPr>
          <w:p>
            <w:pPr>
              <w:pStyle w:val="9"/>
              <w:spacing w:line="360" w:lineRule="auto"/>
              <w:ind w:firstLine="0" w:firstLineChars="0"/>
              <w:jc w:val="center"/>
              <w:rPr>
                <w:rFonts w:ascii="宋体" w:hAnsi="宋体"/>
                <w:color w:val="auto"/>
                <w:szCs w:val="21"/>
                <w:highlight w:val="none"/>
              </w:rPr>
            </w:pPr>
            <w:r>
              <w:rPr>
                <w:rFonts w:hint="eastAsia" w:ascii="宋体" w:hAnsi="宋体" w:cs="宋体"/>
                <w:b/>
                <w:color w:val="auto"/>
                <w:szCs w:val="21"/>
                <w:highlight w:val="none"/>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hint="eastAsia" w:ascii="宋体" w:hAnsi="宋体" w:cs="宋体"/>
                <w:color w:val="auto"/>
                <w:sz w:val="22"/>
                <w:highlight w:val="none"/>
              </w:rPr>
              <w:t>1</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此项目要求</w:t>
            </w:r>
            <w:r>
              <w:rPr>
                <w:rFonts w:hint="eastAsia" w:ascii="宋体" w:hAnsi="宋体" w:cs="宋体"/>
                <w:b/>
                <w:bCs/>
                <w:color w:val="auto"/>
                <w:sz w:val="22"/>
                <w:highlight w:val="none"/>
                <w:lang w:val="en-US" w:eastAsia="zh-CN"/>
              </w:rPr>
              <w:t>提供30个PC端安全防护授权，并提供3年升级服务。</w:t>
            </w:r>
            <w:r>
              <w:rPr>
                <w:rFonts w:hint="eastAsia" w:cs="Tahoma"/>
                <w:b/>
                <w:bCs/>
                <w:color w:val="auto"/>
                <w:kern w:val="28"/>
                <w:sz w:val="21"/>
                <w:szCs w:val="21"/>
                <w:highlight w:val="none"/>
                <w:lang w:eastAsia="zh-CN"/>
              </w:rPr>
              <w:t>（</w:t>
            </w:r>
            <w:r>
              <w:rPr>
                <w:rFonts w:hint="eastAsia" w:ascii="Times New Roman" w:hAnsi="Times New Roman" w:eastAsia="宋体" w:cs="Tahoma"/>
                <w:b/>
                <w:bCs w:val="0"/>
                <w:color w:val="auto"/>
                <w:kern w:val="28"/>
                <w:sz w:val="21"/>
                <w:szCs w:val="21"/>
                <w:highlight w:val="none"/>
                <w:lang w:val="en-US" w:eastAsia="zh-CN" w:bidi="ar-SA"/>
              </w:rPr>
              <w:t>提供承诺函并加盖供应商公章，格式见附件4）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宋体"/>
                <w:color w:val="auto"/>
                <w:sz w:val="22"/>
                <w:highlight w:val="none"/>
              </w:rPr>
            </w:pPr>
            <w:r>
              <w:rPr>
                <w:rFonts w:ascii="宋体" w:hAnsi="宋体" w:cs="宋体"/>
                <w:color w:val="auto"/>
                <w:sz w:val="22"/>
                <w:highlight w:val="none"/>
              </w:rPr>
              <w:t>2</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采用B/S架构的管理控制中心，具备终端安全可视，终端统一管理，统一威胁处置，统一漏洞修复，威胁响应处置，日志记录与查询等功能</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宋体"/>
                <w:color w:val="auto"/>
                <w:sz w:val="22"/>
                <w:highlight w:val="none"/>
              </w:rPr>
            </w:pPr>
            <w:r>
              <w:rPr>
                <w:rFonts w:ascii="宋体" w:hAnsi="宋体" w:cs="宋体"/>
                <w:color w:val="auto"/>
                <w:sz w:val="22"/>
                <w:highlight w:val="none"/>
              </w:rPr>
              <w:t>3</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支持全网风险展示，包括但不限于未处理的勒索病毒数量、高级威胁、暴力破解、僵尸网络、WebShell后门、高危漏洞及其各自影响的终端数量</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4</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 xml:space="preserve">▲提供勒索病毒整体防护体系入口，直观展示最近七天勒索病毒防护效果，包括已处置的勒索病毒数量、已阻止的勒索病毒行为次数、已阻止的未知进程操作次数、已阻止的暴力破解攻击次数 </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响应文件中须</w:t>
            </w:r>
            <w:r>
              <w:rPr>
                <w:rFonts w:hint="eastAsia" w:ascii="宋体" w:hAnsi="宋体" w:cs="宋体"/>
                <w:b/>
                <w:bCs/>
                <w:color w:val="auto"/>
                <w:sz w:val="22"/>
                <w:highlight w:val="none"/>
              </w:rPr>
              <w:t>提供产品功能截图，并加盖</w:t>
            </w:r>
            <w:r>
              <w:rPr>
                <w:rFonts w:hint="eastAsia" w:ascii="宋体" w:hAnsi="宋体" w:cs="宋体"/>
                <w:b/>
                <w:bCs/>
                <w:color w:val="auto"/>
                <w:sz w:val="22"/>
                <w:highlight w:val="none"/>
                <w:lang w:val="en-US" w:eastAsia="zh-CN"/>
              </w:rPr>
              <w:t>制造商</w:t>
            </w:r>
            <w:r>
              <w:rPr>
                <w:rFonts w:hint="eastAsia" w:ascii="宋体" w:hAnsi="宋体" w:cs="宋体"/>
                <w:b/>
                <w:bCs/>
                <w:color w:val="auto"/>
                <w:sz w:val="22"/>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5</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支持按“最近7天”、“最近30天”、“最近三个月”不同时间维度展示病毒查杀事件爆发趋势和病毒TOP5排行榜，并展示对应的事件数及终端数</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6</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▲支持跳转链接至云端威胁情报中心，针对已发生的威胁提供详细的分析结果，包含威胁分析、网络行为、静态分析、分析环境和影响分析。</w:t>
            </w:r>
            <w:r>
              <w:rPr>
                <w:rFonts w:hint="eastAsia" w:ascii="宋体" w:hAnsi="宋体" w:cs="宋体"/>
                <w:b/>
                <w:bCs/>
                <w:color w:val="auto"/>
                <w:sz w:val="22"/>
                <w:highlight w:val="none"/>
              </w:rPr>
              <w:t>（</w:t>
            </w:r>
            <w:r>
              <w:rPr>
                <w:rFonts w:hint="eastAsia" w:ascii="宋体" w:hAnsi="宋体" w:cs="宋体"/>
                <w:b/>
                <w:bCs/>
                <w:color w:val="auto"/>
                <w:sz w:val="22"/>
                <w:highlight w:val="none"/>
                <w:lang w:eastAsia="zh-CN"/>
              </w:rPr>
              <w:t>响应文件</w:t>
            </w:r>
            <w:r>
              <w:rPr>
                <w:rFonts w:hint="eastAsia" w:ascii="宋体" w:hAnsi="宋体" w:cs="宋体"/>
                <w:b/>
                <w:bCs/>
                <w:color w:val="auto"/>
                <w:sz w:val="22"/>
                <w:highlight w:val="none"/>
              </w:rPr>
              <w:t>中须提供产品功能截图，并加盖制造商公章）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7</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支持按照扫描网段、扫描方式、扫描协议、扫描端口对终端进行扫描，及时发现尚未纳入管控的终端</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8</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支持终端客户端软件的启用禁用，统一重启和卸载客户端软件</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9</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支持全网视角的终端资产统一清点，便于帮助用户快速发现风险面。清点信息包括操作系统、应用软件、监听端口和终端账户，其中操作系统和监听端口支持从资产和终端两个视角进行统计和展示。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10</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hint="eastAsia" w:ascii="宋体" w:hAnsi="宋体" w:cs="等线"/>
                <w:color w:val="auto"/>
                <w:szCs w:val="21"/>
                <w:highlight w:val="none"/>
              </w:rPr>
              <w:t>1</w:t>
            </w:r>
            <w:r>
              <w:rPr>
                <w:rFonts w:ascii="宋体" w:hAnsi="宋体" w:cs="等线"/>
                <w:color w:val="auto"/>
                <w:szCs w:val="21"/>
                <w:highlight w:val="none"/>
              </w:rPr>
              <w:t>1</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支持根据统计周期、终端名称、IP地址，补丁信息和漏洞等级等多维度的入侵检测日志，杀毒扫描日志，微隔离日志，合规检测日志，管理员操作日志，运维日志，联动日志等的日志查询和检测</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hint="eastAsia" w:ascii="宋体" w:hAnsi="宋体" w:cs="等线"/>
                <w:color w:val="auto"/>
                <w:szCs w:val="21"/>
                <w:highlight w:val="none"/>
              </w:rPr>
              <w:t>1</w:t>
            </w:r>
            <w:r>
              <w:rPr>
                <w:rFonts w:ascii="宋体" w:hAnsi="宋体" w:cs="等线"/>
                <w:color w:val="auto"/>
                <w:szCs w:val="21"/>
                <w:highlight w:val="none"/>
              </w:rPr>
              <w:t>2</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支持导出针对全网终端的终端风险报告，从整体分析全网安全状况，快速了解业务和网络的安全风险，提供安全规划建设建议</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hint="eastAsia" w:ascii="宋体" w:hAnsi="宋体" w:cs="等线"/>
                <w:color w:val="auto"/>
                <w:szCs w:val="21"/>
                <w:highlight w:val="none"/>
              </w:rPr>
              <w:t>1</w:t>
            </w:r>
            <w:r>
              <w:rPr>
                <w:rFonts w:ascii="宋体" w:hAnsi="宋体" w:cs="等线"/>
                <w:color w:val="auto"/>
                <w:szCs w:val="21"/>
                <w:highlight w:val="none"/>
              </w:rPr>
              <w:t>3</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支持客户端的错峰升级，可根据实际情况控制客户端同时升级的最大数量，避免大量终端程序同时更新造成网络拥堵或I/O风暴</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hint="eastAsia" w:ascii="宋体" w:hAnsi="宋体" w:cs="等线"/>
                <w:color w:val="auto"/>
                <w:szCs w:val="21"/>
                <w:highlight w:val="none"/>
              </w:rPr>
              <w:t>1</w:t>
            </w:r>
            <w:r>
              <w:rPr>
                <w:rFonts w:ascii="宋体" w:hAnsi="宋体" w:cs="等线"/>
                <w:color w:val="auto"/>
                <w:szCs w:val="21"/>
                <w:highlight w:val="none"/>
              </w:rPr>
              <w:t>4</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支持配置不同的权限角色，支持超级管理员、普通管理员（管理）、审计管理员（查看）三种权限，并配置可管辖的终端范围，支持管理员账号限制IP登录；支持管理员账号采用双因素认证</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hint="eastAsia" w:ascii="宋体" w:hAnsi="宋体" w:cs="等线"/>
                <w:color w:val="auto"/>
                <w:szCs w:val="21"/>
                <w:highlight w:val="none"/>
              </w:rPr>
              <w:t>1</w:t>
            </w:r>
            <w:r>
              <w:rPr>
                <w:rFonts w:ascii="宋体" w:hAnsi="宋体" w:cs="等线"/>
                <w:color w:val="auto"/>
                <w:szCs w:val="21"/>
                <w:highlight w:val="none"/>
              </w:rPr>
              <w:t>5</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通过智能识别终端环境情况（低配硬件、老旧设备、虚拟化等）和当前终端资源占用，在闲时实时监控和病毒扫描场景，都可智能调整EDR的资源占用（CPU、IO等），为业务让出资源，不卡业务，对业务零摩擦。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16</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具备针对最新未知的文件，使用IOC特征（文件hash、dns、url、ip等）的技术，进行云端查询。云端的安全中心，使用大数据分析平台，基于多维威胁情报、云端沙箱技术、多引擎扩展的检测技术等，秒级响应未知文件的检测结果，构架公有云云查体系</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17</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支持对zip， rar， jar， cab， 7z等常见压缩文件的扫描检测，支持压缩文件层级进行策略配置，最大可配置检查10层压缩文件</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18</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▲支持一键云鉴定服务，提供云端专家+沙箱+多引擎鉴定能力，结合云端威胁情报对已告警的威胁文件再次进行综合研判并给出100%黑白结果，用户可自助对管理平台告警的威胁快速判断是否误报和了解威胁详情。</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响应文件中须</w:t>
            </w:r>
            <w:r>
              <w:rPr>
                <w:rFonts w:hint="eastAsia" w:ascii="宋体" w:hAnsi="宋体" w:cs="宋体"/>
                <w:b/>
                <w:bCs/>
                <w:color w:val="auto"/>
                <w:sz w:val="22"/>
                <w:highlight w:val="none"/>
              </w:rPr>
              <w:t>提供产品功能截图，并加盖</w:t>
            </w:r>
            <w:r>
              <w:rPr>
                <w:rFonts w:hint="eastAsia" w:ascii="宋体" w:hAnsi="宋体" w:cs="宋体"/>
                <w:b/>
                <w:bCs/>
                <w:color w:val="auto"/>
                <w:sz w:val="22"/>
                <w:highlight w:val="none"/>
                <w:lang w:val="en-US" w:eastAsia="zh-CN"/>
              </w:rPr>
              <w:t>制造商</w:t>
            </w:r>
            <w:r>
              <w:rPr>
                <w:rFonts w:hint="eastAsia" w:ascii="宋体" w:hAnsi="宋体" w:cs="宋体"/>
                <w:b/>
                <w:bCs/>
                <w:color w:val="auto"/>
                <w:sz w:val="22"/>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19</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支持agent安装目录的文件保护，可以保护agent目录和文件实时监控驱动文件，可以保护agent的服务/进程/文件不被恶意删除，以免影响正常功能，导致用户的终端受到病毒入侵</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20</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▲基于勒索病毒攻击过程，建立多维度立体防护机制，提供事前入侵防御-事中反加密-事后检测响应的完整防护体系，展示勒索病毒处置情况，对勒索病毒及变种实现专门有效防御</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响应文件中须</w:t>
            </w:r>
            <w:r>
              <w:rPr>
                <w:rFonts w:hint="eastAsia" w:ascii="宋体" w:hAnsi="宋体" w:cs="宋体"/>
                <w:b/>
                <w:bCs/>
                <w:color w:val="auto"/>
                <w:sz w:val="22"/>
                <w:highlight w:val="none"/>
              </w:rPr>
              <w:t>提供产品功能截图，并加盖</w:t>
            </w:r>
            <w:r>
              <w:rPr>
                <w:rFonts w:hint="eastAsia" w:ascii="宋体" w:hAnsi="宋体" w:cs="宋体"/>
                <w:b/>
                <w:bCs/>
                <w:color w:val="auto"/>
                <w:sz w:val="22"/>
                <w:highlight w:val="none"/>
                <w:lang w:val="en-US" w:eastAsia="zh-CN"/>
              </w:rPr>
              <w:t>制造商</w:t>
            </w:r>
            <w:r>
              <w:rPr>
                <w:rFonts w:hint="eastAsia" w:ascii="宋体" w:hAnsi="宋体" w:cs="宋体"/>
                <w:b/>
                <w:bCs/>
                <w:color w:val="auto"/>
                <w:sz w:val="22"/>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21</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▲支持对Windows停更的系统提供专项防护，包括0day漏洞防护、文件防护、暴破入侵防护、系统脆弱点识别和风险端口封堵等多项核心功能</w:t>
            </w:r>
            <w:r>
              <w:rPr>
                <w:rFonts w:hint="eastAsia" w:ascii="宋体" w:hAnsi="宋体" w:cs="宋体"/>
                <w:b w:val="0"/>
                <w:bCs w:val="0"/>
                <w:color w:val="auto"/>
                <w:sz w:val="22"/>
                <w:highlight w:val="none"/>
                <w:lang w:eastAsia="zh-CN"/>
              </w:rPr>
              <w:t>。</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响应文件中须</w:t>
            </w:r>
            <w:r>
              <w:rPr>
                <w:rFonts w:hint="eastAsia" w:ascii="宋体" w:hAnsi="宋体" w:cs="宋体"/>
                <w:b/>
                <w:bCs/>
                <w:color w:val="auto"/>
                <w:sz w:val="22"/>
                <w:highlight w:val="none"/>
              </w:rPr>
              <w:t>提供产品功能截图，并加盖</w:t>
            </w:r>
            <w:r>
              <w:rPr>
                <w:rFonts w:hint="eastAsia" w:ascii="宋体" w:hAnsi="宋体" w:cs="宋体"/>
                <w:b/>
                <w:bCs/>
                <w:color w:val="auto"/>
                <w:sz w:val="22"/>
                <w:highlight w:val="none"/>
                <w:lang w:val="en-US" w:eastAsia="zh-CN"/>
              </w:rPr>
              <w:t>制造商</w:t>
            </w:r>
            <w:r>
              <w:rPr>
                <w:rFonts w:hint="eastAsia" w:ascii="宋体" w:hAnsi="宋体" w:cs="宋体"/>
                <w:b/>
                <w:bCs/>
                <w:color w:val="auto"/>
                <w:sz w:val="22"/>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22</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构建全网文件信誉库，当一台终端发现某一病毒文件，全网可进行感知并进行针对性查杀，支持处置病毒时选择是否在其它终端上同步处置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ascii="宋体" w:hAnsi="宋体" w:cs="等线"/>
                <w:color w:val="auto"/>
                <w:szCs w:val="21"/>
                <w:highlight w:val="none"/>
              </w:rPr>
              <w:t>23</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具备强力专杀云端下发通道，支持在管理端批量下发强力专杀工具到内网各终端快速响应终端威胁。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hint="eastAsia" w:ascii="宋体" w:hAnsi="宋体" w:cs="等线"/>
                <w:color w:val="auto"/>
                <w:szCs w:val="21"/>
                <w:highlight w:val="none"/>
              </w:rPr>
            </w:pPr>
            <w:r>
              <w:rPr>
                <w:rFonts w:ascii="宋体" w:hAnsi="宋体" w:cs="等线"/>
                <w:color w:val="auto"/>
                <w:szCs w:val="21"/>
                <w:highlight w:val="none"/>
              </w:rPr>
              <w:t>24</w:t>
            </w:r>
          </w:p>
        </w:tc>
        <w:tc>
          <w:tcPr>
            <w:tcW w:w="8660" w:type="dxa"/>
            <w:vAlign w:val="center"/>
          </w:tcPr>
          <w:p>
            <w:pPr>
              <w:pStyle w:val="9"/>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▲支持流行Windows高危漏洞的轻补丁免疫防御，支持Windows补丁批量一键修复</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响应文件中须</w:t>
            </w:r>
            <w:r>
              <w:rPr>
                <w:rFonts w:hint="eastAsia" w:ascii="宋体" w:hAnsi="宋体" w:cs="宋体"/>
                <w:b/>
                <w:bCs/>
                <w:color w:val="auto"/>
                <w:sz w:val="22"/>
                <w:highlight w:val="none"/>
              </w:rPr>
              <w:t>提供产品功能截图，并加盖</w:t>
            </w:r>
            <w:r>
              <w:rPr>
                <w:rFonts w:hint="eastAsia" w:ascii="宋体" w:hAnsi="宋体" w:cs="宋体"/>
                <w:b/>
                <w:bCs/>
                <w:color w:val="auto"/>
                <w:sz w:val="22"/>
                <w:highlight w:val="none"/>
                <w:lang w:val="en-US" w:eastAsia="zh-CN"/>
              </w:rPr>
              <w:t>制造商</w:t>
            </w:r>
            <w:r>
              <w:rPr>
                <w:rFonts w:hint="eastAsia" w:ascii="宋体" w:hAnsi="宋体" w:cs="宋体"/>
                <w:b/>
                <w:bCs/>
                <w:color w:val="auto"/>
                <w:sz w:val="22"/>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Align w:val="center"/>
          </w:tcPr>
          <w:p>
            <w:pPr>
              <w:pStyle w:val="9"/>
              <w:spacing w:line="360" w:lineRule="auto"/>
              <w:ind w:firstLine="0" w:firstLineChars="0"/>
              <w:jc w:val="center"/>
              <w:rPr>
                <w:rFonts w:ascii="宋体" w:hAnsi="宋体" w:cs="等线"/>
                <w:color w:val="auto"/>
                <w:szCs w:val="21"/>
                <w:highlight w:val="none"/>
              </w:rPr>
            </w:pPr>
            <w:r>
              <w:rPr>
                <w:rFonts w:ascii="宋体" w:hAnsi="宋体" w:cs="等线"/>
                <w:color w:val="auto"/>
                <w:szCs w:val="21"/>
                <w:highlight w:val="none"/>
              </w:rPr>
              <w:t>25</w:t>
            </w:r>
          </w:p>
        </w:tc>
        <w:tc>
          <w:tcPr>
            <w:tcW w:w="8660" w:type="dxa"/>
            <w:vAlign w:val="center"/>
          </w:tcPr>
          <w:p>
            <w:pPr>
              <w:pStyle w:val="9"/>
              <w:spacing w:line="360" w:lineRule="auto"/>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支持基于IP（组）、服务和角色维度进行流量访问控制，实现对应用服务之间的访问隔离，并且支持对配置项的备份以及恢复操作</w:t>
            </w:r>
            <w:r>
              <w:rPr>
                <w:rFonts w:hint="eastAsia" w:ascii="宋体" w:hAnsi="宋体" w:cs="宋体"/>
                <w:color w:val="auto"/>
                <w:sz w:val="22"/>
                <w:highlight w:val="none"/>
                <w:lang w:eastAsia="zh-CN"/>
              </w:rPr>
              <w:t>。</w:t>
            </w:r>
          </w:p>
        </w:tc>
      </w:tr>
    </w:tbl>
    <w:p>
      <w:pPr>
        <w:numPr>
          <w:ilvl w:val="0"/>
          <w:numId w:val="0"/>
        </w:numPr>
        <w:spacing w:line="360" w:lineRule="exact"/>
        <w:rPr>
          <w:rFonts w:hint="eastAsia" w:ascii="宋体" w:hAnsi="宋体" w:eastAsia="宋体" w:cs="宋体"/>
          <w:b/>
          <w:bCs w:val="0"/>
          <w:sz w:val="21"/>
          <w:szCs w:val="21"/>
          <w:lang w:val="en-US" w:eastAsia="zh-CN"/>
        </w:rPr>
      </w:pPr>
    </w:p>
    <w:p>
      <w:pPr>
        <w:numPr>
          <w:ilvl w:val="0"/>
          <w:numId w:val="0"/>
        </w:numPr>
        <w:tabs>
          <w:tab w:val="decimal" w:pos="315"/>
          <w:tab w:val="left" w:pos="630"/>
        </w:tabs>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四、报价要求</w:t>
      </w:r>
    </w:p>
    <w:p>
      <w:pPr>
        <w:pStyle w:val="2"/>
        <w:spacing w:beforeLines="0" w:afterLines="0" w:line="360" w:lineRule="auto"/>
        <w:rPr>
          <w:rFonts w:hint="eastAsia"/>
          <w:highlight w:val="lightGray"/>
          <w:lang w:val="en-US" w:eastAsia="zh-CN"/>
        </w:rPr>
      </w:pPr>
      <w:r>
        <w:rPr>
          <w:rFonts w:hint="eastAsia"/>
          <w:lang w:val="en-US" w:eastAsia="zh-CN"/>
        </w:rPr>
        <w:t xml:space="preserve">   本项目报价为全包价，包含但不限于</w:t>
      </w:r>
      <w:r>
        <w:rPr>
          <w:rFonts w:hint="eastAsia" w:ascii="宋体" w:hAnsi="宋体" w:eastAsia="宋体" w:cs="宋体"/>
          <w:b w:val="0"/>
          <w:bCs w:val="0"/>
          <w:kern w:val="2"/>
          <w:sz w:val="21"/>
          <w:szCs w:val="21"/>
          <w:highlight w:val="white"/>
          <w:lang w:val="en-US" w:eastAsia="zh-CN" w:bidi="ar-SA"/>
        </w:rPr>
        <w:t>建设期及维护期内涉及的所有第三方技术相关费用、知识产权、税费、专利、货物成本、运输、安装、调试、人工、培训、验收等。所有完成合同内容所需的含税费用，项目实施及合同履行期间采购人不再额外支付其他任何费用。供应商漏报或不报，采购人将视为该漏报或不报部分的费用已包括在已报的报价中而不予支付。</w:t>
      </w:r>
    </w:p>
    <w:p>
      <w:pPr>
        <w:tabs>
          <w:tab w:val="decimal" w:pos="315"/>
          <w:tab w:val="left" w:pos="630"/>
        </w:tabs>
        <w:spacing w:beforeLines="0" w:afterLines="0" w:line="360" w:lineRule="auto"/>
        <w:ind w:firstLine="422" w:firstLineChars="200"/>
        <w:rPr>
          <w:rFonts w:hint="eastAsia" w:cs="宋体"/>
          <w:b w:val="0"/>
          <w:bCs w:val="0"/>
          <w:kern w:val="2"/>
          <w:sz w:val="21"/>
          <w:szCs w:val="21"/>
          <w:highlight w:val="white"/>
          <w:lang w:val="en-US" w:eastAsia="zh-CN" w:bidi="ar-SA"/>
        </w:rPr>
      </w:pPr>
      <w:r>
        <w:rPr>
          <w:rFonts w:hint="eastAsia" w:ascii="宋体" w:hAnsi="宋体" w:eastAsia="宋体" w:cs="宋体"/>
          <w:b/>
          <w:bCs w:val="0"/>
          <w:color w:val="auto"/>
          <w:kern w:val="2"/>
          <w:sz w:val="21"/>
          <w:szCs w:val="21"/>
          <w:highlight w:val="none"/>
          <w:lang w:val="en-US" w:eastAsia="zh-CN" w:bidi="ar-SA"/>
        </w:rPr>
        <w:t>五、</w:t>
      </w:r>
      <w:r>
        <w:rPr>
          <w:rFonts w:hint="eastAsia" w:ascii="宋体" w:hAnsi="宋体" w:cs="宋体"/>
          <w:b/>
          <w:bCs w:val="0"/>
          <w:color w:val="auto"/>
          <w:kern w:val="2"/>
          <w:sz w:val="21"/>
          <w:szCs w:val="21"/>
          <w:highlight w:val="none"/>
          <w:lang w:val="en-US" w:eastAsia="zh-CN" w:bidi="ar-SA"/>
        </w:rPr>
        <w:t>供货</w:t>
      </w:r>
      <w:r>
        <w:rPr>
          <w:rFonts w:hint="eastAsia" w:ascii="宋体" w:hAnsi="宋体" w:eastAsia="宋体" w:cs="宋体"/>
          <w:b/>
          <w:bCs w:val="0"/>
          <w:color w:val="auto"/>
          <w:kern w:val="2"/>
          <w:sz w:val="21"/>
          <w:szCs w:val="21"/>
          <w:highlight w:val="none"/>
          <w:lang w:val="en-US" w:eastAsia="zh-CN" w:bidi="ar-SA"/>
        </w:rPr>
        <w:t>要求</w:t>
      </w:r>
    </w:p>
    <w:p>
      <w:pPr>
        <w:pStyle w:val="2"/>
        <w:spacing w:beforeLines="0" w:afterLines="0" w:line="360" w:lineRule="auto"/>
        <w:ind w:firstLine="420" w:firstLineChars="200"/>
        <w:rPr>
          <w:rFonts w:hint="default"/>
          <w:lang w:val="en-US" w:eastAsia="zh-CN"/>
        </w:rPr>
      </w:pPr>
      <w:r>
        <w:rPr>
          <w:rFonts w:hint="eastAsia" w:cs="宋体"/>
          <w:b w:val="0"/>
          <w:bCs w:val="0"/>
          <w:kern w:val="2"/>
          <w:sz w:val="21"/>
          <w:szCs w:val="21"/>
          <w:highlight w:val="white"/>
          <w:lang w:val="en-US" w:eastAsia="zh-CN" w:bidi="ar-SA"/>
        </w:rPr>
        <w:t>成交供应商收到采购人通知后，于2个工作日内将按需下单的货物送到采购人指定位置，核对无误后，双方签署送货单。</w:t>
      </w:r>
    </w:p>
    <w:p>
      <w:pPr>
        <w:numPr>
          <w:ilvl w:val="0"/>
          <w:numId w:val="0"/>
        </w:numPr>
        <w:tabs>
          <w:tab w:val="decimal" w:pos="315"/>
          <w:tab w:val="left" w:pos="630"/>
        </w:tabs>
        <w:spacing w:line="360" w:lineRule="auto"/>
        <w:ind w:firstLine="0"/>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六、验收要求</w:t>
      </w:r>
    </w:p>
    <w:p>
      <w:pPr>
        <w:pStyle w:val="7"/>
        <w:ind w:firstLine="420" w:firstLineChars="200"/>
        <w:rPr>
          <w:rFonts w:ascii="宋体" w:cs="Tahoma"/>
          <w:bCs/>
          <w:kern w:val="28"/>
          <w:sz w:val="21"/>
          <w:szCs w:val="21"/>
        </w:rPr>
      </w:pPr>
      <w:r>
        <w:rPr>
          <w:rFonts w:hint="eastAsia" w:ascii="宋体" w:cs="Tahoma"/>
          <w:bCs/>
          <w:kern w:val="28"/>
          <w:sz w:val="21"/>
          <w:szCs w:val="21"/>
          <w:lang w:eastAsia="zh-CN"/>
        </w:rPr>
        <w:t>（</w:t>
      </w:r>
      <w:r>
        <w:rPr>
          <w:rFonts w:hint="eastAsia" w:ascii="宋体" w:cs="Tahoma"/>
          <w:bCs/>
          <w:kern w:val="28"/>
          <w:sz w:val="21"/>
          <w:szCs w:val="21"/>
          <w:lang w:val="en-US" w:eastAsia="zh-CN"/>
        </w:rPr>
        <w:t>一</w:t>
      </w:r>
      <w:r>
        <w:rPr>
          <w:rFonts w:hint="eastAsia" w:ascii="宋体" w:cs="Tahoma"/>
          <w:bCs/>
          <w:kern w:val="28"/>
          <w:sz w:val="21"/>
          <w:szCs w:val="21"/>
          <w:lang w:eastAsia="zh-CN"/>
        </w:rPr>
        <w:t>）</w:t>
      </w:r>
      <w:r>
        <w:rPr>
          <w:rFonts w:hint="eastAsia" w:ascii="宋体" w:cs="Tahoma"/>
          <w:bCs/>
          <w:kern w:val="28"/>
          <w:sz w:val="21"/>
          <w:szCs w:val="21"/>
        </w:rPr>
        <w:t>货物安装调试完成后30日内验收，验收应在采购人和成交供应商双方共同参加下进行，验收标准按照国家有关标准。</w:t>
      </w:r>
    </w:p>
    <w:p>
      <w:pPr>
        <w:pStyle w:val="7"/>
        <w:ind w:firstLine="420" w:firstLineChars="200"/>
        <w:rPr>
          <w:rFonts w:ascii="宋体" w:cs="Tahoma"/>
          <w:bCs/>
          <w:kern w:val="28"/>
          <w:sz w:val="21"/>
          <w:szCs w:val="21"/>
        </w:rPr>
      </w:pPr>
      <w:r>
        <w:rPr>
          <w:rFonts w:hint="eastAsia" w:ascii="宋体" w:cs="Tahoma"/>
          <w:bCs/>
          <w:kern w:val="28"/>
          <w:sz w:val="21"/>
          <w:szCs w:val="21"/>
          <w:lang w:eastAsia="zh-CN"/>
        </w:rPr>
        <w:t>（</w:t>
      </w:r>
      <w:r>
        <w:rPr>
          <w:rFonts w:hint="eastAsia" w:ascii="宋体" w:cs="Tahoma"/>
          <w:bCs/>
          <w:kern w:val="28"/>
          <w:sz w:val="21"/>
          <w:szCs w:val="21"/>
          <w:lang w:val="en-US" w:eastAsia="zh-CN"/>
        </w:rPr>
        <w:t>二</w:t>
      </w:r>
      <w:r>
        <w:rPr>
          <w:rFonts w:hint="eastAsia" w:ascii="宋体" w:cs="Tahoma"/>
          <w:bCs/>
          <w:kern w:val="28"/>
          <w:sz w:val="21"/>
          <w:szCs w:val="21"/>
          <w:lang w:eastAsia="zh-CN"/>
        </w:rPr>
        <w:t>）</w:t>
      </w:r>
      <w:r>
        <w:rPr>
          <w:rFonts w:hint="eastAsia" w:ascii="宋体" w:cs="Tahoma"/>
          <w:bCs/>
          <w:kern w:val="28"/>
          <w:sz w:val="21"/>
          <w:szCs w:val="21"/>
        </w:rPr>
        <w:t>验收时如发现所交付的货物有短装、次品、损坏或其它不符合本项目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7"/>
        <w:ind w:firstLine="420" w:firstLineChars="200"/>
        <w:rPr>
          <w:rFonts w:ascii="宋体" w:cs="Tahoma"/>
          <w:bCs/>
          <w:kern w:val="28"/>
          <w:sz w:val="21"/>
          <w:szCs w:val="21"/>
        </w:rPr>
      </w:pPr>
      <w:r>
        <w:rPr>
          <w:rFonts w:hint="eastAsia" w:ascii="宋体" w:cs="Tahoma"/>
          <w:bCs/>
          <w:kern w:val="28"/>
          <w:sz w:val="21"/>
          <w:szCs w:val="21"/>
          <w:lang w:eastAsia="zh-CN"/>
        </w:rPr>
        <w:t>（</w:t>
      </w:r>
      <w:r>
        <w:rPr>
          <w:rFonts w:hint="eastAsia" w:ascii="宋体" w:cs="Tahoma"/>
          <w:bCs/>
          <w:kern w:val="28"/>
          <w:sz w:val="21"/>
          <w:szCs w:val="21"/>
          <w:lang w:val="en-US" w:eastAsia="zh-CN"/>
        </w:rPr>
        <w:t>三</w:t>
      </w:r>
      <w:r>
        <w:rPr>
          <w:rFonts w:hint="eastAsia" w:ascii="宋体" w:cs="Tahoma"/>
          <w:bCs/>
          <w:kern w:val="28"/>
          <w:sz w:val="21"/>
          <w:szCs w:val="21"/>
          <w:lang w:eastAsia="zh-CN"/>
        </w:rPr>
        <w:t>）</w:t>
      </w:r>
      <w:r>
        <w:rPr>
          <w:rFonts w:hint="eastAsia" w:ascii="宋体" w:cs="Tahoma"/>
          <w:bCs/>
          <w:kern w:val="28"/>
          <w:sz w:val="21"/>
          <w:szCs w:val="21"/>
        </w:rPr>
        <w:t>如果货物运输和安装调试过程中因事故造成货物短缺、损坏，成交供应商应及时安排换装，以保证货物安装调试的成功完成。换货的相关费用由成交供应商承担。</w:t>
      </w:r>
    </w:p>
    <w:p>
      <w:pPr>
        <w:keepNext w:val="0"/>
        <w:keepLines w:val="0"/>
        <w:pageBreakBefore w:val="0"/>
        <w:widowControl/>
        <w:numPr>
          <w:ilvl w:val="0"/>
          <w:numId w:val="0"/>
        </w:numPr>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cs="Tahoma"/>
          <w:bCs/>
          <w:kern w:val="28"/>
          <w:sz w:val="21"/>
          <w:szCs w:val="21"/>
        </w:rPr>
      </w:pPr>
      <w:r>
        <w:rPr>
          <w:rFonts w:hint="eastAsia" w:ascii="宋体" w:cs="Tahoma"/>
          <w:bCs/>
          <w:kern w:val="28"/>
          <w:sz w:val="21"/>
          <w:szCs w:val="21"/>
          <w:lang w:eastAsia="zh-CN"/>
        </w:rPr>
        <w:t>（</w:t>
      </w:r>
      <w:r>
        <w:rPr>
          <w:rFonts w:hint="eastAsia" w:ascii="宋体" w:cs="Tahoma"/>
          <w:bCs/>
          <w:kern w:val="28"/>
          <w:sz w:val="21"/>
          <w:szCs w:val="21"/>
          <w:lang w:val="en-US" w:eastAsia="zh-CN"/>
        </w:rPr>
        <w:t>四</w:t>
      </w:r>
      <w:r>
        <w:rPr>
          <w:rFonts w:hint="eastAsia" w:ascii="宋体" w:cs="Tahoma"/>
          <w:bCs/>
          <w:kern w:val="28"/>
          <w:sz w:val="21"/>
          <w:szCs w:val="21"/>
          <w:lang w:eastAsia="zh-CN"/>
        </w:rPr>
        <w:t>）</w:t>
      </w:r>
      <w:r>
        <w:rPr>
          <w:rFonts w:hint="eastAsia" w:ascii="宋体" w:cs="Tahoma"/>
          <w:bCs/>
          <w:kern w:val="28"/>
          <w:sz w:val="21"/>
          <w:szCs w:val="21"/>
        </w:rPr>
        <w:t>成交供应商保证提供的货物不侵犯任何第三方的专利、商标或版权。否则，成交供应商须承担对第三方的专利或版权的侵权责任并承担因此而发生的所有费用。</w:t>
      </w:r>
    </w:p>
    <w:p>
      <w:pPr>
        <w:keepNext w:val="0"/>
        <w:keepLines w:val="0"/>
        <w:pageBreakBefore w:val="0"/>
        <w:widowControl/>
        <w:numPr>
          <w:ilvl w:val="0"/>
          <w:numId w:val="0"/>
        </w:numPr>
        <w:tabs>
          <w:tab w:val="decimal" w:pos="315"/>
          <w:tab w:val="left" w:pos="63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21"/>
          <w:szCs w:val="21"/>
          <w:lang w:val="en-US"/>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bCs w:val="0"/>
          <w:color w:val="auto"/>
          <w:sz w:val="21"/>
          <w:szCs w:val="21"/>
          <w:lang w:val="en-US"/>
        </w:rPr>
        <w:t>付款方式</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分三期付款。按以下方式支付:</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一</w:t>
      </w:r>
      <w:r>
        <w:rPr>
          <w:rFonts w:hint="eastAsia" w:ascii="宋体" w:hAnsi="宋体" w:eastAsia="宋体" w:cs="宋体"/>
          <w:color w:val="000000"/>
          <w:sz w:val="21"/>
          <w:szCs w:val="21"/>
          <w:highlight w:val="none"/>
          <w:lang w:val="en-US" w:eastAsia="zh-CN"/>
        </w:rPr>
        <w:t>)合同签订完成后，交付并完成安装瘦终端的累计供货数量达到项目采购瘦终端数量的</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0%，验收合格，</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提交整体项目合同款项</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0%的发票之后</w:t>
      </w:r>
      <w:r>
        <w:rPr>
          <w:rFonts w:hint="eastAsia" w:ascii="宋体" w:hAnsi="宋体" w:cs="宋体"/>
          <w:color w:val="000000"/>
          <w:sz w:val="21"/>
          <w:szCs w:val="21"/>
          <w:highlight w:val="none"/>
          <w:lang w:val="en-US" w:eastAsia="zh-CN"/>
        </w:rPr>
        <w:t>60</w:t>
      </w:r>
      <w:r>
        <w:rPr>
          <w:rFonts w:hint="eastAsia" w:ascii="宋体" w:hAnsi="宋体" w:eastAsia="宋体" w:cs="宋体"/>
          <w:color w:val="000000"/>
          <w:sz w:val="21"/>
          <w:szCs w:val="21"/>
          <w:highlight w:val="none"/>
          <w:lang w:val="en-US" w:eastAsia="zh-CN"/>
        </w:rPr>
        <w:t>日内，</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支付</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0%合同款</w:t>
      </w:r>
      <w:r>
        <w:rPr>
          <w:rFonts w:hint="eastAsia" w:ascii="宋体" w:hAnsi="宋体" w:cs="宋体"/>
          <w:color w:val="000000"/>
          <w:sz w:val="21"/>
          <w:szCs w:val="21"/>
          <w:highlight w:val="none"/>
          <w:lang w:val="en-US" w:eastAsia="zh-CN"/>
        </w:rPr>
        <w:t>；</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二</w:t>
      </w:r>
      <w:r>
        <w:rPr>
          <w:rFonts w:hint="eastAsia" w:ascii="宋体" w:hAnsi="宋体" w:eastAsia="宋体" w:cs="宋体"/>
          <w:color w:val="000000"/>
          <w:sz w:val="21"/>
          <w:szCs w:val="21"/>
          <w:highlight w:val="none"/>
          <w:lang w:val="en-US" w:eastAsia="zh-CN"/>
        </w:rPr>
        <w:t>)合同设备送达</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指定地点，交付并完成安装瘦终端的累计供货数量达到项目采购瘦终端数量的70%，验收合格，</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提交整体项目合同款项</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0%的发票之后</w:t>
      </w:r>
      <w:r>
        <w:rPr>
          <w:rFonts w:hint="eastAsia" w:ascii="宋体" w:hAnsi="宋体" w:cs="宋体"/>
          <w:color w:val="000000"/>
          <w:sz w:val="21"/>
          <w:szCs w:val="21"/>
          <w:highlight w:val="none"/>
          <w:lang w:val="en-US" w:eastAsia="zh-CN"/>
        </w:rPr>
        <w:t>60</w:t>
      </w:r>
      <w:r>
        <w:rPr>
          <w:rFonts w:hint="eastAsia" w:ascii="宋体" w:hAnsi="宋体" w:eastAsia="宋体" w:cs="宋体"/>
          <w:color w:val="000000"/>
          <w:sz w:val="21"/>
          <w:szCs w:val="21"/>
          <w:highlight w:val="none"/>
          <w:lang w:val="en-US" w:eastAsia="zh-CN"/>
        </w:rPr>
        <w:t>日内，</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支付</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0%合同款</w:t>
      </w:r>
      <w:r>
        <w:rPr>
          <w:rFonts w:hint="eastAsia" w:ascii="宋体" w:hAnsi="宋体" w:cs="宋体"/>
          <w:color w:val="000000"/>
          <w:sz w:val="21"/>
          <w:szCs w:val="21"/>
          <w:highlight w:val="none"/>
          <w:lang w:val="en-US" w:eastAsia="zh-CN"/>
        </w:rPr>
        <w:t>；</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lang w:val="en-US" w:eastAsia="zh-CN"/>
        </w:rPr>
        <w:t>)合同设备送达</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指定地点，交付并完成安装，其中瘦终端的累计供货数量达到项目采购瘦终端数量的</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0%，验收合格，</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提交整体项目合同款项30%的发票之后</w:t>
      </w:r>
      <w:r>
        <w:rPr>
          <w:rFonts w:hint="eastAsia" w:ascii="宋体" w:hAnsi="宋体" w:cs="宋体"/>
          <w:color w:val="000000"/>
          <w:sz w:val="21"/>
          <w:szCs w:val="21"/>
          <w:highlight w:val="none"/>
          <w:lang w:val="en-US" w:eastAsia="zh-CN"/>
        </w:rPr>
        <w:t>60</w:t>
      </w:r>
      <w:r>
        <w:rPr>
          <w:rFonts w:hint="eastAsia" w:ascii="宋体" w:hAnsi="宋体" w:eastAsia="宋体" w:cs="宋体"/>
          <w:color w:val="000000"/>
          <w:sz w:val="21"/>
          <w:szCs w:val="21"/>
          <w:highlight w:val="none"/>
          <w:lang w:val="en-US" w:eastAsia="zh-CN"/>
        </w:rPr>
        <w:t>日内，</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000000"/>
          <w:sz w:val="21"/>
          <w:szCs w:val="21"/>
          <w:highlight w:val="none"/>
          <w:lang w:val="en-US" w:eastAsia="zh-CN"/>
        </w:rPr>
        <w:t>支付30%合同款</w:t>
      </w:r>
      <w:r>
        <w:rPr>
          <w:rFonts w:hint="eastAsia" w:ascii="宋体" w:hAnsi="宋体" w:cs="宋体"/>
          <w:color w:val="000000"/>
          <w:sz w:val="21"/>
          <w:szCs w:val="21"/>
          <w:highlight w:val="none"/>
          <w:lang w:val="en-US" w:eastAsia="zh-CN"/>
        </w:rPr>
        <w:t>；</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（四）因采购人使用的是财政资金，按政府审批流程支付，若审批延迟则相应款项到账延迟，且不视为采购人违约。</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八、售后服务要求</w:t>
      </w:r>
    </w:p>
    <w:p>
      <w:pPr>
        <w:pStyle w:val="2"/>
        <w:numPr>
          <w:ilvl w:val="0"/>
          <w:numId w:val="0"/>
        </w:numPr>
        <w:spacing w:line="360" w:lineRule="auto"/>
        <w:ind w:firstLine="420" w:firstLineChars="200"/>
        <w:rPr>
          <w:color w:val="auto"/>
        </w:rPr>
      </w:pPr>
      <w:r>
        <w:rPr>
          <w:rFonts w:hint="eastAsia" w:ascii="宋体" w:hAnsi="宋体" w:eastAsia="宋体" w:cs="宋体"/>
          <w:b w:val="0"/>
          <w:bCs w:val="0"/>
          <w:kern w:val="2"/>
          <w:sz w:val="21"/>
          <w:szCs w:val="21"/>
          <w:highlight w:val="white"/>
          <w:lang w:val="en-US" w:eastAsia="zh-CN" w:bidi="ar-SA"/>
        </w:rPr>
        <w:t>（一）</w:t>
      </w:r>
      <w:r>
        <w:rPr>
          <w:rFonts w:hint="eastAsia" w:ascii="宋体" w:hAnsi="宋体" w:eastAsia="宋体" w:cs="宋体"/>
          <w:strike w:val="0"/>
          <w:dstrike w:val="0"/>
          <w:color w:val="auto"/>
          <w:kern w:val="2"/>
          <w:sz w:val="22"/>
          <w:szCs w:val="22"/>
          <w:lang w:val="en-US" w:eastAsia="zh-CN" w:bidi="ar-SA"/>
        </w:rPr>
        <w:t>设备</w:t>
      </w:r>
      <w:r>
        <w:rPr>
          <w:rFonts w:hint="eastAsia" w:ascii="宋体" w:hAnsi="宋体" w:eastAsia="宋体" w:cs="宋体"/>
          <w:color w:val="auto"/>
          <w:kern w:val="2"/>
          <w:sz w:val="22"/>
          <w:szCs w:val="22"/>
          <w:lang w:val="en-US" w:eastAsia="zh-CN" w:bidi="ar-SA"/>
        </w:rPr>
        <w:t>质保期须按照</w:t>
      </w:r>
      <w:r>
        <w:rPr>
          <w:rFonts w:hint="eastAsia" w:cs="宋体"/>
          <w:color w:val="auto"/>
          <w:kern w:val="2"/>
          <w:sz w:val="22"/>
          <w:szCs w:val="22"/>
          <w:lang w:val="en-US" w:eastAsia="zh-CN" w:bidi="ar-SA"/>
        </w:rPr>
        <w:t>采购文件要求</w:t>
      </w:r>
      <w:r>
        <w:rPr>
          <w:rFonts w:hint="eastAsia" w:ascii="宋体" w:hAnsi="宋体" w:eastAsia="宋体" w:cs="宋体"/>
          <w:color w:val="auto"/>
          <w:kern w:val="2"/>
          <w:sz w:val="22"/>
          <w:szCs w:val="22"/>
          <w:lang w:val="en-US" w:eastAsia="zh-CN" w:bidi="ar-SA"/>
        </w:rPr>
        <w:t>的原厂质保服务承诺严格执行。质保期内，</w:t>
      </w:r>
      <w:r>
        <w:rPr>
          <w:rFonts w:hint="eastAsia" w:cs="宋体"/>
          <w:color w:val="000000"/>
          <w:sz w:val="21"/>
          <w:szCs w:val="21"/>
          <w:highlight w:val="none"/>
          <w:lang w:val="en-US" w:eastAsia="zh-CN"/>
        </w:rPr>
        <w:t>成交供应商</w:t>
      </w:r>
      <w:r>
        <w:rPr>
          <w:rFonts w:hint="eastAsia" w:ascii="宋体" w:hAnsi="宋体" w:eastAsia="宋体" w:cs="宋体"/>
          <w:color w:val="auto"/>
          <w:kern w:val="2"/>
          <w:sz w:val="22"/>
          <w:szCs w:val="22"/>
          <w:lang w:val="en-US" w:eastAsia="zh-CN" w:bidi="ar-SA"/>
        </w:rPr>
        <w:t>负责对其提供的设备整机进行维修，并且保证每季度上门检修一次，不再向</w:t>
      </w:r>
      <w:r>
        <w:rPr>
          <w:rFonts w:hint="eastAsia" w:cs="宋体"/>
          <w:color w:val="auto"/>
          <w:kern w:val="2"/>
          <w:sz w:val="22"/>
          <w:szCs w:val="22"/>
          <w:lang w:val="en-US" w:eastAsia="zh-CN" w:bidi="ar-SA"/>
        </w:rPr>
        <w:t>采购人</w:t>
      </w:r>
      <w:r>
        <w:rPr>
          <w:rFonts w:hint="eastAsia" w:ascii="宋体" w:hAnsi="宋体" w:eastAsia="宋体" w:cs="宋体"/>
          <w:color w:val="auto"/>
          <w:kern w:val="2"/>
          <w:sz w:val="22"/>
          <w:szCs w:val="22"/>
          <w:lang w:val="en-US" w:eastAsia="zh-CN" w:bidi="ar-SA"/>
        </w:rPr>
        <w:t>收取费用。免费质保期自验收合格之日算起。免费质保期过后，如需</w:t>
      </w:r>
      <w:r>
        <w:rPr>
          <w:rFonts w:hint="eastAsia" w:cs="宋体"/>
          <w:color w:val="000000"/>
          <w:sz w:val="21"/>
          <w:szCs w:val="21"/>
          <w:highlight w:val="none"/>
          <w:lang w:val="en-US" w:eastAsia="zh-CN"/>
        </w:rPr>
        <w:t>成交供应商</w:t>
      </w:r>
      <w:r>
        <w:rPr>
          <w:rFonts w:hint="eastAsia" w:ascii="宋体" w:hAnsi="宋体" w:eastAsia="宋体" w:cs="宋体"/>
          <w:color w:val="auto"/>
          <w:kern w:val="2"/>
          <w:sz w:val="22"/>
          <w:szCs w:val="22"/>
          <w:lang w:val="en-US" w:eastAsia="zh-CN" w:bidi="ar-SA"/>
        </w:rPr>
        <w:t>继续对项目进行维护，每年的维护费不高于总</w:t>
      </w:r>
      <w:r>
        <w:rPr>
          <w:rFonts w:hint="eastAsia" w:cs="宋体"/>
          <w:color w:val="auto"/>
          <w:kern w:val="2"/>
          <w:sz w:val="22"/>
          <w:szCs w:val="22"/>
          <w:lang w:val="en-US" w:eastAsia="zh-CN" w:bidi="ar-SA"/>
        </w:rPr>
        <w:t>合同价</w:t>
      </w:r>
      <w:r>
        <w:rPr>
          <w:rFonts w:hint="eastAsia" w:ascii="宋体" w:hAnsi="宋体" w:eastAsia="宋体" w:cs="宋体"/>
          <w:color w:val="auto"/>
          <w:kern w:val="2"/>
          <w:sz w:val="22"/>
          <w:szCs w:val="22"/>
          <w:lang w:val="en-US" w:eastAsia="zh-CN" w:bidi="ar-SA"/>
        </w:rPr>
        <w:t xml:space="preserve">的8%。 </w:t>
      </w:r>
    </w:p>
    <w:p>
      <w:pPr>
        <w:pStyle w:val="3"/>
        <w:keepNext w:val="0"/>
        <w:keepLines w:val="0"/>
        <w:widowControl/>
        <w:suppressLineNumbers w:val="0"/>
        <w:spacing w:before="0" w:beforeAutospacing="0" w:after="0" w:afterAutospacing="0" w:line="360" w:lineRule="auto"/>
        <w:ind w:right="0" w:firstLine="420" w:firstLineChars="200"/>
        <w:jc w:val="both"/>
        <w:rPr>
          <w:rStyle w:val="5"/>
          <w:sz w:val="21"/>
          <w:szCs w:val="21"/>
        </w:rPr>
      </w:pPr>
      <w:r>
        <w:rPr>
          <w:rFonts w:hint="eastAsia" w:ascii="宋体" w:hAnsi="宋体" w:eastAsia="宋体" w:cs="宋体"/>
          <w:b w:val="0"/>
          <w:bCs w:val="0"/>
          <w:kern w:val="2"/>
          <w:sz w:val="21"/>
          <w:szCs w:val="21"/>
          <w:highlight w:val="white"/>
          <w:lang w:val="en-US" w:eastAsia="zh-CN" w:bidi="ar-SA"/>
        </w:rPr>
        <w:t>（二）</w:t>
      </w:r>
      <w:r>
        <w:rPr>
          <w:rFonts w:hint="eastAsia" w:cs="宋体"/>
          <w:color w:val="000000"/>
          <w:sz w:val="21"/>
          <w:szCs w:val="21"/>
          <w:highlight w:val="none"/>
          <w:lang w:val="en-US" w:eastAsia="zh-CN"/>
        </w:rPr>
        <w:t>成交供应商</w:t>
      </w:r>
      <w:r>
        <w:rPr>
          <w:rFonts w:hint="eastAsia" w:ascii="宋体" w:hAnsi="宋体" w:eastAsia="宋体" w:cs="宋体"/>
          <w:color w:val="auto"/>
          <w:kern w:val="2"/>
          <w:sz w:val="22"/>
          <w:szCs w:val="22"/>
          <w:u w:val="none"/>
          <w:lang w:val="en-US" w:eastAsia="zh-CN" w:bidi="ar-SA"/>
        </w:rPr>
        <w:t>所投软件授权永久终生免费授权，不因更换服务器而重新购买授权</w:t>
      </w:r>
      <w:r>
        <w:rPr>
          <w:rFonts w:hint="eastAsia" w:eastAsia="宋体" w:cs="宋体"/>
          <w:color w:val="auto"/>
          <w:kern w:val="2"/>
          <w:sz w:val="22"/>
          <w:szCs w:val="22"/>
          <w:u w:val="none"/>
          <w:lang w:val="en-US" w:eastAsia="zh-CN" w:bidi="ar-SA"/>
        </w:rPr>
        <w:t>。</w:t>
      </w:r>
    </w:p>
    <w:p>
      <w:pPr>
        <w:pStyle w:val="7"/>
        <w:spacing w:line="360" w:lineRule="auto"/>
        <w:ind w:left="0" w:leftChars="0" w:firstLine="420" w:firstLineChars="200"/>
        <w:rPr>
          <w:rFonts w:hint="eastAsia" w:ascii="宋体" w:hAnsi="宋体" w:eastAsia="宋体" w:cs="宋体"/>
          <w:b/>
          <w:bCs/>
          <w:color w:val="auto"/>
          <w:kern w:val="2"/>
          <w:sz w:val="22"/>
          <w:szCs w:val="22"/>
          <w:lang w:val="en-US" w:eastAsia="zh-CN" w:bidi="ar-SA"/>
        </w:rPr>
      </w:pPr>
      <w:r>
        <w:rPr>
          <w:rFonts w:hint="eastAsia" w:ascii="宋体" w:hAnsi="宋体" w:eastAsia="宋体" w:cs="宋体"/>
          <w:kern w:val="2"/>
          <w:sz w:val="21"/>
          <w:szCs w:val="21"/>
          <w:highlight w:val="white"/>
          <w:lang w:val="en-US" w:eastAsia="zh-CN" w:bidi="ar-SA"/>
        </w:rPr>
        <w:t>（三）</w:t>
      </w:r>
      <w:r>
        <w:rPr>
          <w:rFonts w:hint="eastAsia" w:ascii="宋体" w:hAnsi="宋体" w:cs="宋体"/>
          <w:color w:val="000000"/>
          <w:sz w:val="21"/>
          <w:szCs w:val="21"/>
          <w:highlight w:val="none"/>
          <w:lang w:val="en-US" w:eastAsia="zh-CN"/>
        </w:rPr>
        <w:t>成交供应商</w:t>
      </w:r>
      <w:r>
        <w:rPr>
          <w:rFonts w:hint="eastAsia" w:ascii="宋体" w:hAnsi="宋体"/>
          <w:b w:val="0"/>
          <w:bCs w:val="0"/>
          <w:color w:val="auto"/>
          <w:sz w:val="22"/>
          <w:szCs w:val="22"/>
          <w:highlight w:val="none"/>
          <w:lang w:val="en-US" w:eastAsia="zh-CN"/>
        </w:rPr>
        <w:t>须向采购人</w:t>
      </w:r>
      <w:r>
        <w:rPr>
          <w:rFonts w:hint="eastAsia" w:ascii="宋体" w:hAnsi="宋体"/>
          <w:b w:val="0"/>
          <w:bCs w:val="0"/>
          <w:color w:val="auto"/>
          <w:sz w:val="22"/>
          <w:szCs w:val="22"/>
          <w:highlight w:val="none"/>
        </w:rPr>
        <w:t>提供</w:t>
      </w:r>
      <w:r>
        <w:rPr>
          <w:rFonts w:ascii="宋体" w:hAnsi="宋体"/>
          <w:b w:val="0"/>
          <w:bCs w:val="0"/>
          <w:color w:val="auto"/>
          <w:sz w:val="22"/>
          <w:szCs w:val="22"/>
          <w:highlight w:val="none"/>
        </w:rPr>
        <w:t>7</w:t>
      </w:r>
      <w:r>
        <w:rPr>
          <w:rFonts w:hint="eastAsia" w:ascii="宋体" w:hAnsi="宋体"/>
          <w:b w:val="0"/>
          <w:bCs w:val="0"/>
          <w:color w:val="auto"/>
          <w:sz w:val="22"/>
          <w:szCs w:val="22"/>
          <w:highlight w:val="none"/>
        </w:rPr>
        <w:t>×</w:t>
      </w:r>
      <w:r>
        <w:rPr>
          <w:rFonts w:ascii="宋体" w:hAnsi="宋体"/>
          <w:b w:val="0"/>
          <w:bCs w:val="0"/>
          <w:color w:val="auto"/>
          <w:sz w:val="22"/>
          <w:szCs w:val="22"/>
          <w:highlight w:val="none"/>
        </w:rPr>
        <w:t>24</w:t>
      </w:r>
      <w:r>
        <w:rPr>
          <w:rFonts w:hint="eastAsia" w:ascii="宋体" w:hAnsi="宋体"/>
          <w:b w:val="0"/>
          <w:bCs w:val="0"/>
          <w:color w:val="auto"/>
          <w:sz w:val="22"/>
          <w:szCs w:val="22"/>
          <w:highlight w:val="none"/>
        </w:rPr>
        <w:t>小时电话支持、远程技术支持服务。</w:t>
      </w:r>
      <w:r>
        <w:rPr>
          <w:rFonts w:hint="eastAsia" w:ascii="宋体" w:hAnsi="宋体" w:eastAsia="宋体" w:cs="宋体"/>
          <w:b w:val="0"/>
          <w:bCs w:val="0"/>
          <w:color w:val="auto"/>
          <w:kern w:val="2"/>
          <w:sz w:val="22"/>
          <w:szCs w:val="22"/>
          <w:lang w:val="en-US" w:eastAsia="zh-CN" w:bidi="ar-SA"/>
        </w:rPr>
        <w:t>紧急故障时10分钟内要做出有效响应，2个小时内要到现场，如果经过评估没法解除故障，需要提供备机服务。</w:t>
      </w:r>
    </w:p>
    <w:p>
      <w:pPr>
        <w:pStyle w:val="7"/>
        <w:numPr>
          <w:ilvl w:val="0"/>
          <w:numId w:val="0"/>
        </w:numPr>
        <w:spacing w:line="360" w:lineRule="auto"/>
        <w:ind w:firstLine="440" w:firstLineChars="200"/>
        <w:rPr>
          <w:rFonts w:hint="eastAsia"/>
          <w:color w:val="auto"/>
          <w:sz w:val="22"/>
          <w:szCs w:val="22"/>
          <w:lang w:val="en-US" w:eastAsia="zh-CN"/>
        </w:rPr>
      </w:pPr>
      <w:r>
        <w:rPr>
          <w:rFonts w:hint="eastAsia"/>
          <w:color w:val="auto"/>
          <w:sz w:val="22"/>
          <w:szCs w:val="22"/>
          <w:lang w:val="en-US" w:eastAsia="zh-CN"/>
        </w:rPr>
        <w:t>（四）</w:t>
      </w:r>
      <w:r>
        <w:rPr>
          <w:color w:val="auto"/>
          <w:sz w:val="22"/>
          <w:szCs w:val="22"/>
        </w:rPr>
        <w:t>为保证交付和后续运维，要求桌面云厂商提供所有管理平台相关的组件，包括但不限于管理平台的操作系统、数据库、中间件等。</w:t>
      </w:r>
    </w:p>
    <w:p>
      <w:pPr>
        <w:pStyle w:val="7"/>
        <w:numPr>
          <w:ilvl w:val="0"/>
          <w:numId w:val="0"/>
        </w:numPr>
        <w:spacing w:line="360" w:lineRule="auto"/>
        <w:ind w:firstLine="440" w:firstLineChars="200"/>
        <w:rPr>
          <w:rFonts w:hint="default" w:ascii="宋体" w:hAnsi="宋体" w:eastAsia="宋体" w:cs="宋体"/>
          <w:b/>
          <w:color w:val="auto"/>
          <w:sz w:val="21"/>
          <w:szCs w:val="21"/>
          <w:lang w:val="en-US" w:eastAsia="zh-CN"/>
        </w:rPr>
      </w:pPr>
      <w:r>
        <w:rPr>
          <w:rFonts w:hint="eastAsia" w:ascii="宋体" w:hAnsi="宋体" w:eastAsia="宋体" w:cs="宋体"/>
          <w:color w:val="auto"/>
          <w:kern w:val="2"/>
          <w:sz w:val="22"/>
          <w:szCs w:val="22"/>
          <w:lang w:val="en-US" w:eastAsia="zh-CN" w:bidi="ar-SA"/>
        </w:rPr>
        <w:t>（五）</w:t>
      </w:r>
      <w:r>
        <w:rPr>
          <w:rFonts w:hint="eastAsia" w:ascii="宋体" w:hAnsi="宋体" w:cs="宋体"/>
          <w:color w:val="000000"/>
          <w:sz w:val="21"/>
          <w:szCs w:val="21"/>
          <w:highlight w:val="none"/>
          <w:lang w:val="en-US" w:eastAsia="zh-CN"/>
        </w:rPr>
        <w:t>成交供应商</w:t>
      </w:r>
      <w:r>
        <w:rPr>
          <w:rFonts w:hint="eastAsia" w:ascii="宋体" w:hAnsi="宋体" w:eastAsia="宋体" w:cs="宋体"/>
          <w:color w:val="auto"/>
          <w:kern w:val="2"/>
          <w:sz w:val="22"/>
          <w:szCs w:val="22"/>
          <w:lang w:val="en-US" w:eastAsia="zh-CN" w:bidi="ar-SA"/>
        </w:rPr>
        <w:t>负责为</w:t>
      </w:r>
      <w:r>
        <w:rPr>
          <w:rFonts w:hint="eastAsia" w:ascii="宋体" w:hAnsi="宋体" w:cs="宋体"/>
          <w:color w:val="auto"/>
          <w:kern w:val="2"/>
          <w:sz w:val="22"/>
          <w:szCs w:val="22"/>
          <w:lang w:val="en-US" w:eastAsia="zh-CN" w:bidi="ar-SA"/>
        </w:rPr>
        <w:t>采购人</w:t>
      </w:r>
      <w:r>
        <w:rPr>
          <w:rFonts w:hint="eastAsia" w:ascii="宋体" w:hAnsi="宋体" w:eastAsia="宋体" w:cs="宋体"/>
          <w:color w:val="auto"/>
          <w:kern w:val="2"/>
          <w:sz w:val="22"/>
          <w:szCs w:val="22"/>
          <w:lang w:val="en-US" w:eastAsia="zh-CN" w:bidi="ar-SA"/>
        </w:rPr>
        <w:t>免费培训本项目书中的所有软件的安装、使用培训。免费培训1-2名系统维护人员，通过培训，使维护人员能熟练规范的进行操作，对一般故障能进行处理和日常维护。</w:t>
      </w:r>
    </w:p>
    <w:p>
      <w:pPr>
        <w:keepNext w:val="0"/>
        <w:keepLines w:val="0"/>
        <w:pageBreakBefore w:val="0"/>
        <w:widowControl w:val="0"/>
        <w:tabs>
          <w:tab w:val="decimal" w:pos="315"/>
          <w:tab w:val="left" w:pos="63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九</w:t>
      </w:r>
      <w:r>
        <w:rPr>
          <w:rFonts w:hint="eastAsia" w:ascii="宋体" w:hAnsi="宋体" w:eastAsia="宋体" w:cs="宋体"/>
          <w:b/>
          <w:color w:val="auto"/>
          <w:sz w:val="21"/>
          <w:szCs w:val="21"/>
          <w:lang w:val="en-US" w:eastAsia="zh-CN"/>
        </w:rPr>
        <w:t>、其他要求</w:t>
      </w:r>
    </w:p>
    <w:p>
      <w:pPr>
        <w:keepNext w:val="0"/>
        <w:keepLines w:val="0"/>
        <w:pageBreakBefore w:val="0"/>
        <w:widowControl w:val="0"/>
        <w:numPr>
          <w:ilvl w:val="0"/>
          <w:numId w:val="0"/>
        </w:numPr>
        <w:tabs>
          <w:tab w:val="decimal" w:pos="315"/>
          <w:tab w:val="left" w:pos="63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white"/>
          <w:lang w:val="en-US" w:eastAsia="zh-CN" w:bidi="ar-SA"/>
        </w:rPr>
      </w:pPr>
      <w:r>
        <w:rPr>
          <w:rFonts w:hint="eastAsia" w:ascii="宋体" w:hAnsi="宋体" w:eastAsia="宋体" w:cs="宋体"/>
          <w:b w:val="0"/>
          <w:bCs w:val="0"/>
          <w:kern w:val="2"/>
          <w:sz w:val="21"/>
          <w:szCs w:val="21"/>
          <w:highlight w:val="white"/>
          <w:lang w:val="en-US" w:eastAsia="zh-CN" w:bidi="ar-SA"/>
        </w:rPr>
        <w:t>（一）保密要求：成交供应商必须如约承担合同履行时所应该尽的一切保密义务。成交供应商与采购人双方签署保密协议，成交供应商需对项目实施过程中获取的资料、数据进行保密，未经采购人书面同意不得泄露给第三方，否则采购人保留追究成交供应商法律责任的权利，一切保密责任不因合同的终止或解除而失效。</w:t>
      </w:r>
    </w:p>
    <w:p>
      <w:pPr>
        <w:keepNext w:val="0"/>
        <w:keepLines w:val="0"/>
        <w:pageBreakBefore w:val="0"/>
        <w:widowControl w:val="0"/>
        <w:numPr>
          <w:ilvl w:val="0"/>
          <w:numId w:val="0"/>
        </w:numPr>
        <w:tabs>
          <w:tab w:val="decimal" w:pos="315"/>
          <w:tab w:val="left" w:pos="63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white"/>
          <w:lang w:val="en-US" w:eastAsia="zh-CN" w:bidi="ar-SA"/>
        </w:rPr>
      </w:pPr>
      <w:r>
        <w:rPr>
          <w:rFonts w:hint="eastAsia" w:ascii="宋体" w:hAnsi="宋体" w:eastAsia="宋体" w:cs="宋体"/>
          <w:b w:val="0"/>
          <w:bCs w:val="0"/>
          <w:kern w:val="2"/>
          <w:sz w:val="21"/>
          <w:szCs w:val="21"/>
          <w:highlight w:val="white"/>
          <w:lang w:val="en-US" w:eastAsia="zh-CN" w:bidi="ar-SA"/>
        </w:rPr>
        <w:t>（二）知识产权：成交供应商必须保证采购人在使用成交供应商提供的服务时不侵犯任何第三方的专利、商标或版权，采购人在使用系统过程的任何时候不应受到知识产权或版权的纠纷，否则成交供应商须完全独立承担对第三方的专利、商标或版权的侵权责任并承担因此而产生的费用。</w:t>
      </w:r>
    </w:p>
    <w:p>
      <w:pPr>
        <w:keepNext w:val="0"/>
        <w:keepLines w:val="0"/>
        <w:pageBreakBefore w:val="0"/>
        <w:tabs>
          <w:tab w:val="decimal" w:pos="315"/>
          <w:tab w:val="left" w:pos="630"/>
        </w:tabs>
        <w:kinsoku/>
        <w:wordWrap/>
        <w:overflowPunct/>
        <w:topLinePunct w:val="0"/>
        <w:bidi w:val="0"/>
        <w:adjustRightInd/>
        <w:snapToGrid/>
        <w:spacing w:line="360" w:lineRule="auto"/>
        <w:ind w:firstLine="0" w:firstLineChars="0"/>
        <w:textAlignment w:val="auto"/>
        <w:outlineLvl w:val="2"/>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val="en-US" w:eastAsia="zh-CN"/>
        </w:rPr>
        <w:t>十</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lang w:eastAsia="zh-CN"/>
        </w:rPr>
        <w:t>违约责任</w:t>
      </w:r>
    </w:p>
    <w:p>
      <w:pPr>
        <w:keepNext w:val="0"/>
        <w:keepLines w:val="0"/>
        <w:widowControl w:val="0"/>
        <w:numPr>
          <w:ilvl w:val="0"/>
          <w:numId w:val="0"/>
        </w:numPr>
        <w:suppressLineNumbers w:val="0"/>
        <w:tabs>
          <w:tab w:val="decimal" w:pos="315"/>
          <w:tab w:val="left" w:pos="630"/>
        </w:tabs>
        <w:autoSpaceDE w:val="0"/>
        <w:autoSpaceDN w:val="0"/>
        <w:spacing w:line="360" w:lineRule="auto"/>
        <w:ind w:firstLine="420" w:firstLineChars="200"/>
        <w:jc w:val="left"/>
        <w:rPr>
          <w:rFonts w:hint="eastAsia" w:ascii="宋体" w:hAnsi="宋体" w:eastAsia="宋体" w:cs="宋体"/>
          <w:szCs w:val="21"/>
          <w:highlight w:val="white"/>
        </w:rPr>
      </w:pPr>
      <w:r>
        <w:rPr>
          <w:rFonts w:hint="eastAsia" w:ascii="宋体" w:hAnsi="宋体" w:eastAsia="宋体" w:cs="宋体"/>
          <w:kern w:val="2"/>
          <w:sz w:val="21"/>
          <w:szCs w:val="21"/>
          <w:highlight w:val="white"/>
          <w:lang w:val="en-US" w:eastAsia="zh-CN" w:bidi="ar-SA"/>
        </w:rPr>
        <w:t>（一）成交供应商未按本次采购需求约定提供相关事项、服务或产品的，采购人有权要求成交供应商在双方约定的期限内进行整改，交付满足本次采购需求约定要求的内容。逾期不整改或整改后仍不符合采购需求约定的，采购人有权解除采购合作，成交供应商应按采购总额10%支付违约金，违约金不足以弥补采购人损失的，成交供应商还应承担相应赔偿责任。</w:t>
      </w:r>
    </w:p>
    <w:p>
      <w:pPr>
        <w:keepNext w:val="0"/>
        <w:keepLines w:val="0"/>
        <w:widowControl w:val="0"/>
        <w:numPr>
          <w:ilvl w:val="0"/>
          <w:numId w:val="0"/>
        </w:numPr>
        <w:suppressLineNumbers w:val="0"/>
        <w:tabs>
          <w:tab w:val="decimal" w:pos="315"/>
          <w:tab w:val="left" w:pos="630"/>
        </w:tabs>
        <w:autoSpaceDE w:val="0"/>
        <w:autoSpaceDN w:val="0"/>
        <w:spacing w:line="360" w:lineRule="auto"/>
        <w:ind w:firstLine="420" w:firstLineChars="200"/>
        <w:jc w:val="left"/>
        <w:rPr>
          <w:rFonts w:hint="eastAsia" w:ascii="宋体" w:hAnsi="宋体" w:eastAsia="宋体" w:cs="宋体"/>
          <w:szCs w:val="21"/>
          <w:highlight w:val="white"/>
        </w:rPr>
      </w:pPr>
      <w:r>
        <w:rPr>
          <w:rFonts w:hint="eastAsia" w:ascii="宋体" w:hAnsi="宋体" w:eastAsia="宋体" w:cs="宋体"/>
          <w:kern w:val="2"/>
          <w:sz w:val="21"/>
          <w:szCs w:val="21"/>
          <w:highlight w:val="white"/>
          <w:lang w:val="en-US" w:eastAsia="zh-CN" w:bidi="ar-SA"/>
        </w:rPr>
        <w:t>（二）除采购人原因或本次采购需求约定的情形外，成交供应商逾期完成本次采购需求任一约定事项、交付相关服务或产品的，每逾期一日，成交供应商应向采购人支付采购总金额1‰的违约金；若逾期15日以上（含15日），则采购人有权单方解除采购合作，成交供应商应按采购总额10%支付违约金，因成交供应商逾期给采购人造成的直接经济损失，由成交供应商承担赔偿责任。</w:t>
      </w:r>
    </w:p>
    <w:p>
      <w:pPr>
        <w:keepNext w:val="0"/>
        <w:keepLines w:val="0"/>
        <w:widowControl w:val="0"/>
        <w:numPr>
          <w:ilvl w:val="0"/>
          <w:numId w:val="0"/>
        </w:numPr>
        <w:suppressLineNumbers w:val="0"/>
        <w:tabs>
          <w:tab w:val="decimal" w:pos="315"/>
          <w:tab w:val="left" w:pos="630"/>
        </w:tabs>
        <w:autoSpaceDE w:val="0"/>
        <w:autoSpaceDN w:val="0"/>
        <w:spacing w:line="360" w:lineRule="auto"/>
        <w:ind w:firstLine="420" w:firstLineChars="200"/>
        <w:jc w:val="left"/>
        <w:rPr>
          <w:rFonts w:hint="eastAsia" w:ascii="宋体" w:hAnsi="宋体" w:eastAsia="宋体" w:cs="宋体"/>
          <w:szCs w:val="21"/>
          <w:highlight w:val="white"/>
        </w:rPr>
      </w:pPr>
      <w:r>
        <w:rPr>
          <w:rFonts w:hint="eastAsia" w:ascii="宋体" w:hAnsi="宋体" w:eastAsia="宋体" w:cs="宋体"/>
          <w:kern w:val="2"/>
          <w:sz w:val="21"/>
          <w:szCs w:val="21"/>
          <w:highlight w:val="white"/>
          <w:lang w:val="en-US" w:eastAsia="zh-CN" w:bidi="ar-SA"/>
        </w:rPr>
        <w:t>（三）如果成交供应商未按本次采购需求的约定，提供软件系统运行维护相关服务的（如成交供应商逾期未作出响应、未按时到达现场或未及时解决相关故障等），则采购人有权委托第三方提供相关维护服务，且成交供应商应承担由此产生的全部费用，并赔偿采购人由于系统故障所造成的全部损失，相关费用成交供应商应在收到采购人书面通知后，按要求在限期内一次性付清。</w:t>
      </w:r>
    </w:p>
    <w:p>
      <w:pPr>
        <w:numPr>
          <w:ilvl w:val="0"/>
          <w:numId w:val="0"/>
        </w:numPr>
        <w:spacing w:beforeLines="0" w:afterLines="0" w:line="360" w:lineRule="exact"/>
        <w:ind w:firstLine="420" w:firstLineChars="200"/>
        <w:rPr>
          <w:rFonts w:hint="default" w:ascii="宋体" w:hAnsi="宋体" w:eastAsia="宋体" w:cs="宋体"/>
          <w:b/>
          <w:bCs w:val="0"/>
          <w:sz w:val="21"/>
          <w:szCs w:val="21"/>
          <w:lang w:val="en-US" w:eastAsia="zh-CN"/>
        </w:rPr>
      </w:pPr>
      <w:r>
        <w:rPr>
          <w:rFonts w:hint="eastAsia" w:ascii="宋体" w:hAnsi="宋体" w:eastAsia="宋体" w:cs="宋体"/>
          <w:kern w:val="2"/>
          <w:sz w:val="21"/>
          <w:szCs w:val="21"/>
          <w:highlight w:val="white"/>
          <w:lang w:val="en-US" w:eastAsia="zh-CN" w:bidi="ar-SA"/>
        </w:rPr>
        <w:t>（四）成交供应商未经采购人同意，擅自将本次采购需求项下全部或部分义务分包或转包给第三方的，采购人有权解除采购合作，无须向成交供应商支付剩余采购款项，成交供应商应自收到采购人《解除采购合作通知书》之日起15日内，按采购总金额的10%向采购人支付违约金，并赔偿由此给采购人造成的全部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21B89"/>
    <w:multiLevelType w:val="singleLevel"/>
    <w:tmpl w:val="CB421B89"/>
    <w:lvl w:ilvl="0" w:tentative="0">
      <w:start w:val="3"/>
      <w:numFmt w:val="chineseCounting"/>
      <w:suff w:val="nothing"/>
      <w:lvlText w:val="%1、"/>
      <w:lvlJc w:val="left"/>
      <w:rPr>
        <w:rFonts w:hint="eastAsia"/>
      </w:rPr>
    </w:lvl>
  </w:abstractNum>
  <w:abstractNum w:abstractNumId="1">
    <w:nsid w:val="45120B61"/>
    <w:multiLevelType w:val="multilevel"/>
    <w:tmpl w:val="45120B61"/>
    <w:lvl w:ilvl="0" w:tentative="0">
      <w:start w:val="0"/>
      <w:numFmt w:val="decimal"/>
      <w:pStyle w:val="10"/>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45306"/>
    <w:rsid w:val="080F4799"/>
    <w:rsid w:val="08127CE0"/>
    <w:rsid w:val="0A4800E7"/>
    <w:rsid w:val="0D3D76DC"/>
    <w:rsid w:val="0D63565B"/>
    <w:rsid w:val="142E7429"/>
    <w:rsid w:val="17787291"/>
    <w:rsid w:val="1AF2471B"/>
    <w:rsid w:val="25505F66"/>
    <w:rsid w:val="29C3221B"/>
    <w:rsid w:val="2E560FCC"/>
    <w:rsid w:val="32BA47D1"/>
    <w:rsid w:val="3D666BEA"/>
    <w:rsid w:val="3DE86E35"/>
    <w:rsid w:val="410A3A0C"/>
    <w:rsid w:val="4A343EE6"/>
    <w:rsid w:val="4F2E0A26"/>
    <w:rsid w:val="55895E5F"/>
    <w:rsid w:val="55E66EF0"/>
    <w:rsid w:val="5A983408"/>
    <w:rsid w:val="5B9D2157"/>
    <w:rsid w:val="61851C7D"/>
    <w:rsid w:val="65927733"/>
    <w:rsid w:val="66A45306"/>
    <w:rsid w:val="72EA0F74"/>
    <w:rsid w:val="73D25A6D"/>
    <w:rsid w:val="7599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5">
    <w:name w:val="Strong"/>
    <w:basedOn w:val="4"/>
    <w:qFormat/>
    <w:uiPriority w:val="0"/>
    <w:rPr>
      <w:rFonts w:ascii="Tahoma" w:hAnsi="Tahoma" w:eastAsia="宋体"/>
      <w:b/>
      <w:bCs/>
      <w:spacing w:val="10"/>
      <w:sz w:val="24"/>
      <w:lang w:val="en-US" w:eastAsia="zh-CN" w:bidi="ar-SA"/>
    </w:rPr>
  </w:style>
  <w:style w:type="paragraph" w:customStyle="1" w:styleId="7">
    <w:name w:val="投标正文小四"/>
    <w:basedOn w:val="1"/>
    <w:qFormat/>
    <w:uiPriority w:val="0"/>
    <w:pPr>
      <w:spacing w:line="360" w:lineRule="auto"/>
      <w:ind w:firstLine="200" w:firstLineChars="200"/>
    </w:pPr>
    <w:rPr>
      <w:sz w:val="24"/>
    </w:rPr>
  </w:style>
  <w:style w:type="paragraph" w:customStyle="1" w:styleId="8">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styleId="9">
    <w:name w:val="List Paragraph"/>
    <w:basedOn w:val="1"/>
    <w:qFormat/>
    <w:uiPriority w:val="0"/>
    <w:pPr>
      <w:ind w:firstLine="420" w:firstLineChars="200"/>
    </w:pPr>
  </w:style>
  <w:style w:type="paragraph" w:customStyle="1" w:styleId="10">
    <w:name w:val="样式1"/>
    <w:basedOn w:val="1"/>
    <w:next w:val="1"/>
    <w:qFormat/>
    <w:uiPriority w:val="0"/>
    <w:pPr>
      <w:numPr>
        <w:ilvl w:val="0"/>
        <w:numId w:val="1"/>
      </w:numPr>
      <w:tabs>
        <w:tab w:val="left" w:pos="948"/>
      </w:tabs>
      <w:adjustRightInd w:val="0"/>
      <w:snapToGrid w:val="0"/>
      <w:spacing w:before="40" w:after="40" w:line="300" w:lineRule="auto"/>
      <w:jc w:val="center"/>
      <w:textAlignment w:val="center"/>
    </w:pPr>
    <w:rPr>
      <w:spacing w:val="20"/>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9021</Words>
  <Characters>9455</Characters>
  <Lines>0</Lines>
  <Paragraphs>0</Paragraphs>
  <TotalTime>0</TotalTime>
  <ScaleCrop>false</ScaleCrop>
  <LinksUpToDate>false</LinksUpToDate>
  <CharactersWithSpaces>9486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2026-05-29T15:35:00Z</dcterms:created>
  <dc:creator>饮茶</dc:creator>
  <cp:lastModifiedBy>赖宇娟</cp:lastModifiedBy>
  <dcterms:modified xsi:type="dcterms:W3CDTF">2026-06-16T08:21:18Z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3D6D75D11DB74112A965DBE840755FEB_13</vt:lpwstr>
  </property>
  <property fmtid="{D5CDD505-2E9C-101B-9397-08002B2CF9AE}" pid="4" name="KSOTemplateDocerSaveRecord">
    <vt:lpwstr>eyJoZGlkIjoiY2YxNTJiOTNhZjAwNGZmNTNhNmJmZmZlYmY3YTYyNDEiLCJ1c2VySWQiOiIxNzE4ODc4In0=</vt:lpwstr>
  </property>
</Properties>
</file>