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FD873">
      <w:pPr>
        <w:spacing w:line="360" w:lineRule="auto"/>
        <w:rPr>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r>
        <w:rPr>
          <w:b/>
          <w:color w:val="auto"/>
          <w:sz w:val="36"/>
          <w:szCs w:val="36"/>
        </w:rPr>
        <w:t>用户需求书</w:t>
      </w:r>
    </w:p>
    <w:p w14:paraId="66BBA45E">
      <w:pPr>
        <w:pStyle w:val="10"/>
        <w:ind w:firstLine="482"/>
        <w:rPr>
          <w:b/>
          <w:color w:val="auto"/>
          <w:highlight w:val="none"/>
        </w:rPr>
      </w:pPr>
      <w:bookmarkStart w:id="1" w:name="_GoBack"/>
      <w:bookmarkStart w:id="0" w:name="OLE_LINK1"/>
      <w:r>
        <w:rPr>
          <w:rFonts w:hint="eastAsia"/>
          <w:b/>
          <w:color w:val="auto"/>
          <w:highlight w:val="none"/>
        </w:rPr>
        <w:t>总则</w:t>
      </w:r>
    </w:p>
    <w:p w14:paraId="493CC6E9">
      <w:pPr>
        <w:pStyle w:val="10"/>
        <w:ind w:firstLine="480"/>
        <w:rPr>
          <w:color w:val="auto"/>
          <w:highlight w:val="none"/>
        </w:rPr>
      </w:pPr>
      <w:r>
        <w:rPr>
          <w:rFonts w:hint="eastAsia"/>
          <w:color w:val="auto"/>
          <w:highlight w:val="none"/>
        </w:rPr>
        <w:t>1、成交供应商必须按国家、行业的标准及采购文件的要求对本项目提供相应的货物及服务。</w:t>
      </w:r>
    </w:p>
    <w:p w14:paraId="137C0749">
      <w:pPr>
        <w:pStyle w:val="10"/>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14:paraId="28FAC484">
      <w:pPr>
        <w:pStyle w:val="10"/>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14:paraId="21F7D953">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bookmarkEnd w:id="0"/>
    </w:p>
    <w:bookmarkEnd w:id="1"/>
    <w:p w14:paraId="247DF374">
      <w:pPr>
        <w:pStyle w:val="10"/>
        <w:ind w:left="0" w:leftChars="0" w:firstLine="0" w:firstLineChars="0"/>
        <w:rPr>
          <w:rFonts w:hint="eastAsia" w:cs="Times New Roman"/>
          <w:b/>
          <w:color w:val="auto"/>
          <w:highlight w:val="none"/>
          <w:lang w:val="en-US" w:eastAsia="zh-CN"/>
        </w:rPr>
      </w:pPr>
    </w:p>
    <w:p w14:paraId="4AB86CC0">
      <w:pPr>
        <w:pStyle w:val="10"/>
        <w:numPr>
          <w:ilvl w:val="0"/>
          <w:numId w:val="0"/>
        </w:numPr>
        <w:ind w:firstLine="482" w:firstLineChars="200"/>
        <w:rPr>
          <w:rFonts w:hint="eastAsia" w:ascii="Times New Roman" w:hAnsi="Times New Roman" w:eastAsia="宋体" w:cs="Times New Roman"/>
          <w:b/>
          <w:bCs/>
          <w:color w:val="000000"/>
          <w:szCs w:val="24"/>
          <w:highlight w:val="none"/>
          <w:lang w:val="en-US" w:eastAsia="zh-CN"/>
        </w:rPr>
      </w:pPr>
      <w:r>
        <w:rPr>
          <w:rFonts w:hint="eastAsia" w:ascii="Times New Roman" w:hAnsi="Times New Roman" w:eastAsia="宋体" w:cs="Times New Roman"/>
          <w:b/>
          <w:bCs/>
          <w:color w:val="000000"/>
          <w:kern w:val="2"/>
          <w:sz w:val="24"/>
          <w:szCs w:val="24"/>
          <w:lang w:val="en-US" w:eastAsia="zh-CN" w:bidi="ar-SA"/>
        </w:rPr>
        <w:t>一、</w:t>
      </w:r>
      <w:r>
        <w:rPr>
          <w:rFonts w:hint="eastAsia" w:ascii="Times New Roman" w:hAnsi="Times New Roman" w:eastAsia="宋体" w:cs="Times New Roman"/>
          <w:b/>
          <w:bCs/>
          <w:color w:val="000000"/>
          <w:szCs w:val="24"/>
          <w:highlight w:val="none"/>
          <w:lang w:val="en-US" w:eastAsia="zh-CN"/>
        </w:rPr>
        <w:t>项目基本情况：</w:t>
      </w:r>
    </w:p>
    <w:p w14:paraId="7D5B5FEB">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（一）项目名称：中山市黄圃人民医院2026年医师节慰问花束采购项目</w:t>
      </w:r>
    </w:p>
    <w:p w14:paraId="0316481B">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（二）项目编号：PYCG-YW-202606-10</w:t>
      </w:r>
    </w:p>
    <w:p w14:paraId="2DCAAE12">
      <w:pPr>
        <w:pStyle w:val="10"/>
        <w:ind w:firstLine="48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（三）项目概况：为庆祝第九个中国医师节，向医技人员表达感谢与关怀，拟</w:t>
      </w:r>
      <w:r>
        <w:rPr>
          <w:rFonts w:hint="eastAsia" w:ascii="Times New Roman" w:hAnsi="Times New Roman" w:eastAsia="宋体" w:cs="Times New Roman"/>
          <w:strike w:val="0"/>
          <w:dstrike w:val="0"/>
          <w:color w:val="auto"/>
          <w:szCs w:val="24"/>
          <w:highlight w:val="none"/>
          <w:lang w:val="en-US" w:eastAsia="zh-CN"/>
        </w:rPr>
        <w:t>采购</w:t>
      </w:r>
      <w:r>
        <w:rPr>
          <w:rFonts w:hint="eastAsia" w:ascii="Times New Roman" w:hAnsi="Times New Roman" w:eastAsia="宋体" w:cs="Times New Roman"/>
          <w:color w:val="auto"/>
          <w:szCs w:val="24"/>
          <w:highlight w:val="none"/>
          <w:lang w:val="en-US" w:eastAsia="zh-CN"/>
        </w:rPr>
        <w:t>一批花束作为慰问物品。</w:t>
      </w:r>
    </w:p>
    <w:p w14:paraId="70E12D80">
      <w:pPr>
        <w:pStyle w:val="10"/>
        <w:ind w:firstLine="480"/>
        <w:rPr>
          <w:rFonts w:hint="eastAsia" w:ascii="Times New Roman" w:hAnsi="Times New Roman" w:eastAsia="宋体" w:cs="Times New Roman"/>
          <w:b/>
          <w:bCs/>
          <w:color w:val="auto"/>
          <w:szCs w:val="24"/>
          <w:highlight w:val="none"/>
          <w:lang w:val="en-US" w:eastAsia="zh-CN"/>
        </w:rPr>
      </w:pPr>
      <w:r>
        <w:rPr>
          <w:rFonts w:hint="eastAsia" w:ascii="Times New Roman" w:hAnsi="Times New Roman" w:eastAsia="宋体" w:cs="Times New Roman"/>
          <w:b/>
          <w:bCs/>
          <w:color w:val="auto"/>
          <w:szCs w:val="24"/>
          <w:highlight w:val="none"/>
          <w:lang w:val="en-US" w:eastAsia="zh-CN"/>
        </w:rPr>
        <w:t>二、采购内容：</w:t>
      </w:r>
    </w:p>
    <w:p w14:paraId="4EFA1033">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（一）采购内容：一批花束，详见采购清单。</w:t>
      </w:r>
    </w:p>
    <w:p w14:paraId="3638A14F">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附表                            采购清单</w:t>
      </w:r>
    </w:p>
    <w:tbl>
      <w:tblPr>
        <w:tblStyle w:val="6"/>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3423"/>
        <w:gridCol w:w="2100"/>
        <w:gridCol w:w="2468"/>
      </w:tblGrid>
      <w:tr w14:paraId="7131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82" w:type="dxa"/>
            <w:vAlign w:val="center"/>
          </w:tcPr>
          <w:p w14:paraId="2F551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cs="宋体"/>
                <w:b/>
                <w:bCs/>
                <w:color w:val="auto"/>
                <w:sz w:val="22"/>
                <w:szCs w:val="22"/>
                <w:highlight w:val="none"/>
                <w:vertAlign w:val="baseline"/>
                <w:lang w:eastAsia="zh-CN"/>
              </w:rPr>
              <w:t>货物</w:t>
            </w:r>
          </w:p>
        </w:tc>
        <w:tc>
          <w:tcPr>
            <w:tcW w:w="3423" w:type="dxa"/>
            <w:vAlign w:val="center"/>
          </w:tcPr>
          <w:p w14:paraId="0F5E20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规格</w:t>
            </w:r>
          </w:p>
        </w:tc>
        <w:tc>
          <w:tcPr>
            <w:tcW w:w="2100" w:type="dxa"/>
            <w:vAlign w:val="center"/>
          </w:tcPr>
          <w:p w14:paraId="1FC159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数量</w:t>
            </w:r>
          </w:p>
          <w:p w14:paraId="09CD60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（束）</w:t>
            </w:r>
          </w:p>
        </w:tc>
        <w:tc>
          <w:tcPr>
            <w:tcW w:w="2468" w:type="dxa"/>
            <w:vAlign w:val="center"/>
          </w:tcPr>
          <w:p w14:paraId="3F5BA00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t>单价最高限价</w:t>
            </w:r>
          </w:p>
          <w:p w14:paraId="0A4A96F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lang w:val="en-US" w:eastAsia="zh-CN"/>
              </w:rPr>
              <w:t>（元/束）</w:t>
            </w:r>
          </w:p>
        </w:tc>
      </w:tr>
      <w:tr w14:paraId="4E38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82" w:type="dxa"/>
            <w:vAlign w:val="center"/>
          </w:tcPr>
          <w:p w14:paraId="231C222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花束</w:t>
            </w:r>
          </w:p>
        </w:tc>
        <w:tc>
          <w:tcPr>
            <w:tcW w:w="3423" w:type="dxa"/>
            <w:vAlign w:val="center"/>
          </w:tcPr>
          <w:p w14:paraId="51CA462F">
            <w:pPr>
              <w:keepNext w:val="0"/>
              <w:keepLines w:val="0"/>
              <w:pageBreakBefore w:val="0"/>
              <w:widowControl/>
              <w:numPr>
                <w:ilvl w:val="0"/>
                <w:numId w:val="0"/>
              </w:numPr>
              <w:tabs>
                <w:tab w:val="left" w:pos="636"/>
                <w:tab w:val="left" w:pos="5098"/>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cs="宋体"/>
                <w:color w:val="auto"/>
                <w:sz w:val="21"/>
                <w:szCs w:val="21"/>
              </w:rPr>
              <w:t>详见《</w:t>
            </w:r>
            <w:r>
              <w:rPr>
                <w:rFonts w:hint="eastAsia" w:ascii="宋体" w:hAnsi="宋体" w:cs="宋体"/>
                <w:color w:val="auto"/>
                <w:sz w:val="21"/>
                <w:szCs w:val="21"/>
                <w:lang w:val="en-US" w:eastAsia="zh-CN"/>
              </w:rPr>
              <w:t>详细配置清单</w:t>
            </w:r>
            <w:r>
              <w:rPr>
                <w:rFonts w:hint="eastAsia" w:ascii="宋体" w:hAnsi="宋体" w:cs="宋体"/>
                <w:color w:val="auto"/>
                <w:sz w:val="21"/>
                <w:szCs w:val="21"/>
              </w:rPr>
              <w:t>》</w:t>
            </w:r>
          </w:p>
        </w:tc>
        <w:tc>
          <w:tcPr>
            <w:tcW w:w="2100" w:type="dxa"/>
            <w:vAlign w:val="center"/>
          </w:tcPr>
          <w:p w14:paraId="37B22C7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cs="宋体"/>
                <w:b w:val="0"/>
                <w:bCs w:val="0"/>
                <w:color w:val="auto"/>
                <w:sz w:val="22"/>
                <w:szCs w:val="22"/>
                <w:highlight w:val="none"/>
                <w:vertAlign w:val="baseline"/>
                <w:lang w:val="en-US" w:eastAsia="zh-CN" w:bidi="ar-SA"/>
              </w:rPr>
            </w:pPr>
            <w:r>
              <w:rPr>
                <w:rFonts w:hint="eastAsia" w:ascii="宋体" w:hAnsi="宋体" w:cs="宋体"/>
                <w:b w:val="0"/>
                <w:bCs w:val="0"/>
                <w:color w:val="auto"/>
                <w:sz w:val="22"/>
                <w:szCs w:val="22"/>
                <w:highlight w:val="none"/>
                <w:vertAlign w:val="baseline"/>
                <w:lang w:val="en-US" w:eastAsia="zh-CN" w:bidi="ar-SA"/>
              </w:rPr>
              <w:t>46</w:t>
            </w:r>
          </w:p>
        </w:tc>
        <w:tc>
          <w:tcPr>
            <w:tcW w:w="2468" w:type="dxa"/>
            <w:vAlign w:val="center"/>
          </w:tcPr>
          <w:p w14:paraId="5A5877BC">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100</w:t>
            </w:r>
          </w:p>
        </w:tc>
      </w:tr>
    </w:tbl>
    <w:p w14:paraId="1E2E4E3B">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（二）本采购清单的数量为预估采购数量，采购人无法保证成交数量与上表一致，结算时以实际发生量为准。</w:t>
      </w:r>
    </w:p>
    <w:p w14:paraId="7A788D51">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（三）详细配置清单（单束）</w:t>
      </w:r>
    </w:p>
    <w:tbl>
      <w:tblPr>
        <w:tblStyle w:val="5"/>
        <w:tblW w:w="960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3532"/>
        <w:gridCol w:w="1250"/>
        <w:gridCol w:w="1500"/>
        <w:gridCol w:w="2178"/>
      </w:tblGrid>
      <w:tr w14:paraId="5EFA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300D47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b/>
                <w:bCs/>
                <w:color w:val="auto"/>
                <w:kern w:val="0"/>
                <w:sz w:val="22"/>
                <w:lang w:eastAsia="zh-CN"/>
              </w:rPr>
            </w:pPr>
            <w:r>
              <w:rPr>
                <w:rFonts w:hint="eastAsia" w:ascii="宋体" w:hAnsi="宋体" w:cs="宋体"/>
                <w:b/>
                <w:bCs/>
                <w:color w:val="auto"/>
                <w:kern w:val="0"/>
                <w:sz w:val="22"/>
                <w:lang w:eastAsia="zh-CN"/>
              </w:rPr>
              <w:t>序号</w:t>
            </w:r>
          </w:p>
        </w:tc>
        <w:tc>
          <w:tcPr>
            <w:tcW w:w="3532" w:type="dxa"/>
            <w:vAlign w:val="center"/>
          </w:tcPr>
          <w:p w14:paraId="2E7BDB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kern w:val="0"/>
                <w:sz w:val="22"/>
              </w:rPr>
            </w:pPr>
            <w:r>
              <w:rPr>
                <w:rFonts w:hint="eastAsia" w:ascii="宋体" w:hAnsi="宋体" w:cs="宋体"/>
                <w:b/>
                <w:bCs/>
                <w:color w:val="auto"/>
                <w:kern w:val="0"/>
                <w:sz w:val="22"/>
              </w:rPr>
              <w:t>品种</w:t>
            </w:r>
          </w:p>
        </w:tc>
        <w:tc>
          <w:tcPr>
            <w:tcW w:w="1250" w:type="dxa"/>
            <w:vAlign w:val="center"/>
          </w:tcPr>
          <w:p w14:paraId="00AA78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kern w:val="0"/>
                <w:sz w:val="22"/>
              </w:rPr>
            </w:pPr>
            <w:r>
              <w:rPr>
                <w:rFonts w:hint="eastAsia" w:ascii="宋体" w:hAnsi="宋体" w:cs="宋体"/>
                <w:b/>
                <w:bCs/>
                <w:color w:val="auto"/>
                <w:kern w:val="0"/>
                <w:sz w:val="22"/>
              </w:rPr>
              <w:t>规格</w:t>
            </w:r>
          </w:p>
        </w:tc>
        <w:tc>
          <w:tcPr>
            <w:tcW w:w="1500" w:type="dxa"/>
            <w:vAlign w:val="center"/>
          </w:tcPr>
          <w:p w14:paraId="7EF00C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kern w:val="0"/>
                <w:sz w:val="22"/>
              </w:rPr>
            </w:pPr>
            <w:r>
              <w:rPr>
                <w:rFonts w:hint="eastAsia" w:ascii="宋体" w:hAnsi="宋体" w:cs="宋体"/>
                <w:b/>
                <w:bCs/>
                <w:color w:val="auto"/>
                <w:kern w:val="0"/>
                <w:sz w:val="22"/>
              </w:rPr>
              <w:t>数量</w:t>
            </w:r>
          </w:p>
        </w:tc>
        <w:tc>
          <w:tcPr>
            <w:tcW w:w="2178" w:type="dxa"/>
            <w:vAlign w:val="center"/>
          </w:tcPr>
          <w:p w14:paraId="22B71EC1">
            <w:pPr>
              <w:widowControl/>
              <w:jc w:val="center"/>
              <w:rPr>
                <w:rFonts w:hint="eastAsia" w:ascii="宋体" w:hAnsi="宋体" w:cs="宋体"/>
                <w:b/>
                <w:bCs/>
                <w:color w:val="auto"/>
                <w:kern w:val="0"/>
                <w:sz w:val="22"/>
              </w:rPr>
            </w:pPr>
            <w:r>
              <w:rPr>
                <w:rFonts w:hint="eastAsia" w:ascii="宋体" w:hAnsi="宋体" w:cs="宋体"/>
                <w:b/>
                <w:bCs/>
                <w:color w:val="auto"/>
                <w:kern w:val="0"/>
                <w:sz w:val="22"/>
              </w:rPr>
              <w:t>备注</w:t>
            </w:r>
          </w:p>
        </w:tc>
      </w:tr>
      <w:tr w14:paraId="3475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4CD98C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1</w:t>
            </w:r>
          </w:p>
        </w:tc>
        <w:tc>
          <w:tcPr>
            <w:tcW w:w="3532" w:type="dxa"/>
            <w:vAlign w:val="center"/>
          </w:tcPr>
          <w:p w14:paraId="137269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向日葵</w:t>
            </w:r>
          </w:p>
        </w:tc>
        <w:tc>
          <w:tcPr>
            <w:tcW w:w="1250" w:type="dxa"/>
            <w:vAlign w:val="center"/>
          </w:tcPr>
          <w:p w14:paraId="32CA17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大朵</w:t>
            </w:r>
          </w:p>
        </w:tc>
        <w:tc>
          <w:tcPr>
            <w:tcW w:w="1500" w:type="dxa"/>
            <w:vAlign w:val="center"/>
          </w:tcPr>
          <w:p w14:paraId="46A209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1枝</w:t>
            </w:r>
          </w:p>
        </w:tc>
        <w:tc>
          <w:tcPr>
            <w:tcW w:w="2178" w:type="dxa"/>
            <w:vMerge w:val="restart"/>
            <w:vAlign w:val="center"/>
          </w:tcPr>
          <w:p w14:paraId="6147373B">
            <w:pPr>
              <w:keepNext w:val="0"/>
              <w:keepLines w:val="0"/>
              <w:pageBreakBefore w:val="0"/>
              <w:widowControl/>
              <w:numPr>
                <w:ilvl w:val="0"/>
                <w:numId w:val="0"/>
              </w:numPr>
              <w:tabs>
                <w:tab w:val="left" w:pos="636"/>
                <w:tab w:val="left" w:pos="5098"/>
              </w:tabs>
              <w:kinsoku/>
              <w:wordWrap/>
              <w:overflowPunct/>
              <w:topLinePunct w:val="0"/>
              <w:autoSpaceDE/>
              <w:autoSpaceDN/>
              <w:bidi w:val="0"/>
              <w:adjustRightInd/>
              <w:snapToGrid/>
              <w:spacing w:line="240" w:lineRule="auto"/>
              <w:jc w:val="left"/>
              <w:textAlignment w:val="auto"/>
              <w:rPr>
                <w:rFonts w:hint="eastAsia" w:ascii="宋体" w:hAnsi="宋体" w:eastAsiaTheme="minorEastAsia"/>
                <w:color w:val="auto"/>
                <w:szCs w:val="21"/>
                <w:lang w:eastAsia="zh-CN"/>
              </w:rPr>
            </w:pPr>
            <w:r>
              <w:rPr>
                <w:rFonts w:hint="eastAsia" w:ascii="宋体" w:hAnsi="宋体" w:eastAsiaTheme="minorEastAsia" w:cstheme="minorBidi"/>
                <w:color w:val="auto"/>
                <w:kern w:val="2"/>
                <w:sz w:val="21"/>
                <w:szCs w:val="21"/>
                <w:lang w:val="en-US" w:eastAsia="zh-CN" w:bidi="ar-SA"/>
              </w:rPr>
              <w:t>1</w:t>
            </w:r>
            <w:r>
              <w:rPr>
                <w:rFonts w:hint="eastAsia" w:ascii="宋体" w:hAnsi="宋体" w:cstheme="minorBidi"/>
                <w:color w:val="auto"/>
                <w:kern w:val="2"/>
                <w:sz w:val="21"/>
                <w:szCs w:val="21"/>
                <w:lang w:val="en-US" w:eastAsia="zh-CN" w:bidi="ar-SA"/>
              </w:rPr>
              <w:t>.</w:t>
            </w:r>
            <w:r>
              <w:rPr>
                <w:rFonts w:hint="eastAsia" w:ascii="宋体" w:hAnsi="宋体"/>
                <w:color w:val="auto"/>
                <w:szCs w:val="21"/>
              </w:rPr>
              <w:t>如花束质量问题无偿更换</w:t>
            </w:r>
            <w:r>
              <w:rPr>
                <w:rFonts w:hint="eastAsia" w:ascii="宋体" w:hAnsi="宋体"/>
                <w:color w:val="auto"/>
                <w:szCs w:val="21"/>
                <w:lang w:eastAsia="zh-CN"/>
              </w:rPr>
              <w:t>。</w:t>
            </w:r>
          </w:p>
          <w:p w14:paraId="32895FBF">
            <w:pPr>
              <w:keepNext w:val="0"/>
              <w:keepLines w:val="0"/>
              <w:pageBreakBefore w:val="0"/>
              <w:widowControl/>
              <w:numPr>
                <w:ilvl w:val="0"/>
                <w:numId w:val="0"/>
              </w:numPr>
              <w:tabs>
                <w:tab w:val="left" w:pos="636"/>
                <w:tab w:val="left" w:pos="5098"/>
              </w:tabs>
              <w:kinsoku/>
              <w:wordWrap/>
              <w:overflowPunct/>
              <w:topLinePunct w:val="0"/>
              <w:autoSpaceDE/>
              <w:autoSpaceDN/>
              <w:bidi w:val="0"/>
              <w:adjustRightInd/>
              <w:snapToGrid/>
              <w:spacing w:line="240" w:lineRule="auto"/>
              <w:jc w:val="left"/>
              <w:textAlignment w:val="auto"/>
              <w:rPr>
                <w:rFonts w:hint="eastAsia" w:ascii="宋体" w:hAnsi="宋体"/>
                <w:color w:val="auto"/>
                <w:szCs w:val="21"/>
              </w:rPr>
            </w:pPr>
            <w:r>
              <w:rPr>
                <w:rFonts w:hint="eastAsia" w:ascii="宋体" w:hAnsi="宋体" w:eastAsiaTheme="minorEastAsia" w:cstheme="minorBidi"/>
                <w:color w:val="auto"/>
                <w:kern w:val="2"/>
                <w:sz w:val="21"/>
                <w:szCs w:val="21"/>
                <w:lang w:val="en-US" w:eastAsia="zh-CN" w:bidi="ar-SA"/>
              </w:rPr>
              <w:t>2</w:t>
            </w:r>
            <w:r>
              <w:rPr>
                <w:rFonts w:hint="eastAsia" w:ascii="宋体" w:hAnsi="宋体" w:cstheme="minorBidi"/>
                <w:color w:val="auto"/>
                <w:kern w:val="2"/>
                <w:sz w:val="21"/>
                <w:szCs w:val="21"/>
                <w:lang w:val="en-US" w:eastAsia="zh-CN" w:bidi="ar-SA"/>
              </w:rPr>
              <w:t>.</w:t>
            </w:r>
            <w:r>
              <w:rPr>
                <w:rFonts w:hint="eastAsia" w:ascii="宋体" w:hAnsi="宋体"/>
                <w:color w:val="auto"/>
                <w:szCs w:val="21"/>
              </w:rPr>
              <w:t>成交人提供的花必须新鲜，不得出现损坏、凋谢。</w:t>
            </w:r>
          </w:p>
          <w:p w14:paraId="16250D7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cs="宋体"/>
                <w:color w:val="auto"/>
                <w:kern w:val="0"/>
                <w:sz w:val="22"/>
              </w:rPr>
            </w:pPr>
            <w:r>
              <w:rPr>
                <w:rFonts w:hint="eastAsia" w:ascii="宋体" w:hAnsi="宋体" w:eastAsiaTheme="minorEastAsia" w:cstheme="minorBidi"/>
                <w:color w:val="auto"/>
                <w:kern w:val="2"/>
                <w:sz w:val="21"/>
                <w:szCs w:val="21"/>
                <w:lang w:val="en-US" w:eastAsia="zh-CN" w:bidi="ar-SA"/>
              </w:rPr>
              <w:t>3.需精美打包</w:t>
            </w:r>
            <w:r>
              <w:rPr>
                <w:rFonts w:hint="eastAsia" w:ascii="宋体" w:hAnsi="宋体" w:cstheme="minorBidi"/>
                <w:color w:val="auto"/>
                <w:kern w:val="2"/>
                <w:sz w:val="21"/>
                <w:szCs w:val="21"/>
                <w:lang w:val="en-US" w:eastAsia="zh-CN" w:bidi="ar-SA"/>
              </w:rPr>
              <w:t>。</w:t>
            </w:r>
          </w:p>
        </w:tc>
      </w:tr>
      <w:tr w14:paraId="599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6FB72C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2</w:t>
            </w:r>
          </w:p>
        </w:tc>
        <w:tc>
          <w:tcPr>
            <w:tcW w:w="3532" w:type="dxa"/>
            <w:vAlign w:val="center"/>
          </w:tcPr>
          <w:p w14:paraId="46A372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玫瑰</w:t>
            </w:r>
          </w:p>
        </w:tc>
        <w:tc>
          <w:tcPr>
            <w:tcW w:w="1250" w:type="dxa"/>
            <w:vAlign w:val="center"/>
          </w:tcPr>
          <w:p w14:paraId="5401E4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单头</w:t>
            </w:r>
          </w:p>
        </w:tc>
        <w:tc>
          <w:tcPr>
            <w:tcW w:w="1500" w:type="dxa"/>
            <w:vAlign w:val="center"/>
          </w:tcPr>
          <w:p w14:paraId="6A7222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6枝</w:t>
            </w:r>
          </w:p>
        </w:tc>
        <w:tc>
          <w:tcPr>
            <w:tcW w:w="2178" w:type="dxa"/>
            <w:vMerge w:val="continue"/>
            <w:vAlign w:val="center"/>
          </w:tcPr>
          <w:p w14:paraId="34D79784">
            <w:pPr>
              <w:widowControl/>
              <w:jc w:val="center"/>
              <w:rPr>
                <w:rFonts w:hint="eastAsia" w:ascii="宋体" w:hAnsi="宋体" w:cs="宋体"/>
                <w:color w:val="auto"/>
                <w:kern w:val="0"/>
                <w:sz w:val="22"/>
              </w:rPr>
            </w:pPr>
          </w:p>
        </w:tc>
      </w:tr>
      <w:tr w14:paraId="2A94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540568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3</w:t>
            </w:r>
          </w:p>
        </w:tc>
        <w:tc>
          <w:tcPr>
            <w:tcW w:w="3532" w:type="dxa"/>
            <w:vAlign w:val="center"/>
          </w:tcPr>
          <w:p w14:paraId="62B9BF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玫瑰</w:t>
            </w:r>
          </w:p>
        </w:tc>
        <w:tc>
          <w:tcPr>
            <w:tcW w:w="1250" w:type="dxa"/>
            <w:vAlign w:val="center"/>
          </w:tcPr>
          <w:p w14:paraId="01E39F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多头</w:t>
            </w:r>
          </w:p>
        </w:tc>
        <w:tc>
          <w:tcPr>
            <w:tcW w:w="1500" w:type="dxa"/>
            <w:vAlign w:val="center"/>
          </w:tcPr>
          <w:p w14:paraId="0BF120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1枝</w:t>
            </w:r>
          </w:p>
        </w:tc>
        <w:tc>
          <w:tcPr>
            <w:tcW w:w="2178" w:type="dxa"/>
            <w:vMerge w:val="continue"/>
            <w:vAlign w:val="center"/>
          </w:tcPr>
          <w:p w14:paraId="7E4D6D01">
            <w:pPr>
              <w:widowControl/>
              <w:jc w:val="center"/>
              <w:rPr>
                <w:rFonts w:hint="eastAsia" w:ascii="宋体" w:hAnsi="宋体" w:cs="宋体"/>
                <w:color w:val="auto"/>
                <w:kern w:val="0"/>
                <w:sz w:val="22"/>
              </w:rPr>
            </w:pPr>
          </w:p>
        </w:tc>
      </w:tr>
      <w:tr w14:paraId="38D5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067E09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4</w:t>
            </w:r>
          </w:p>
        </w:tc>
        <w:tc>
          <w:tcPr>
            <w:tcW w:w="3532" w:type="dxa"/>
            <w:vAlign w:val="center"/>
          </w:tcPr>
          <w:p w14:paraId="0501B0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六出花</w:t>
            </w:r>
          </w:p>
        </w:tc>
        <w:tc>
          <w:tcPr>
            <w:tcW w:w="1250" w:type="dxa"/>
            <w:vAlign w:val="center"/>
          </w:tcPr>
          <w:p w14:paraId="3A9D9B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p>
        </w:tc>
        <w:tc>
          <w:tcPr>
            <w:tcW w:w="1500" w:type="dxa"/>
            <w:vAlign w:val="center"/>
          </w:tcPr>
          <w:p w14:paraId="59A1CC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2枝</w:t>
            </w:r>
          </w:p>
        </w:tc>
        <w:tc>
          <w:tcPr>
            <w:tcW w:w="2178" w:type="dxa"/>
            <w:vMerge w:val="continue"/>
            <w:vAlign w:val="center"/>
          </w:tcPr>
          <w:p w14:paraId="4E2E5E5C">
            <w:pPr>
              <w:widowControl/>
              <w:jc w:val="center"/>
              <w:rPr>
                <w:rFonts w:hint="eastAsia" w:ascii="宋体" w:hAnsi="宋体" w:cs="宋体"/>
                <w:color w:val="auto"/>
                <w:kern w:val="0"/>
                <w:sz w:val="22"/>
              </w:rPr>
            </w:pPr>
          </w:p>
        </w:tc>
      </w:tr>
      <w:tr w14:paraId="4A43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59C535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5</w:t>
            </w:r>
          </w:p>
        </w:tc>
        <w:tc>
          <w:tcPr>
            <w:tcW w:w="3532" w:type="dxa"/>
            <w:vAlign w:val="center"/>
          </w:tcPr>
          <w:p w14:paraId="006815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康乃馨</w:t>
            </w:r>
          </w:p>
        </w:tc>
        <w:tc>
          <w:tcPr>
            <w:tcW w:w="1250" w:type="dxa"/>
            <w:vAlign w:val="center"/>
          </w:tcPr>
          <w:p w14:paraId="4091A9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p>
        </w:tc>
        <w:tc>
          <w:tcPr>
            <w:tcW w:w="1500" w:type="dxa"/>
            <w:vAlign w:val="center"/>
          </w:tcPr>
          <w:p w14:paraId="35854F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4枝</w:t>
            </w:r>
          </w:p>
        </w:tc>
        <w:tc>
          <w:tcPr>
            <w:tcW w:w="2178" w:type="dxa"/>
            <w:vMerge w:val="continue"/>
            <w:vAlign w:val="center"/>
          </w:tcPr>
          <w:p w14:paraId="7FCBBFE5">
            <w:pPr>
              <w:widowControl/>
              <w:jc w:val="center"/>
              <w:rPr>
                <w:rFonts w:hint="eastAsia" w:ascii="宋体" w:hAnsi="宋体" w:cs="宋体"/>
                <w:color w:val="auto"/>
                <w:kern w:val="0"/>
                <w:sz w:val="22"/>
              </w:rPr>
            </w:pPr>
          </w:p>
        </w:tc>
      </w:tr>
      <w:tr w14:paraId="0B09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771AA2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6</w:t>
            </w:r>
          </w:p>
        </w:tc>
        <w:tc>
          <w:tcPr>
            <w:tcW w:w="3532" w:type="dxa"/>
            <w:vAlign w:val="center"/>
          </w:tcPr>
          <w:p w14:paraId="4016006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洋桔梗</w:t>
            </w:r>
          </w:p>
        </w:tc>
        <w:tc>
          <w:tcPr>
            <w:tcW w:w="1250" w:type="dxa"/>
            <w:vAlign w:val="center"/>
          </w:tcPr>
          <w:p w14:paraId="6DEA58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p>
        </w:tc>
        <w:tc>
          <w:tcPr>
            <w:tcW w:w="1500" w:type="dxa"/>
            <w:vAlign w:val="center"/>
          </w:tcPr>
          <w:p w14:paraId="34F696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3枝</w:t>
            </w:r>
          </w:p>
        </w:tc>
        <w:tc>
          <w:tcPr>
            <w:tcW w:w="2178" w:type="dxa"/>
            <w:vMerge w:val="continue"/>
            <w:vAlign w:val="center"/>
          </w:tcPr>
          <w:p w14:paraId="21908F3D">
            <w:pPr>
              <w:widowControl/>
              <w:jc w:val="center"/>
              <w:rPr>
                <w:rFonts w:hint="eastAsia" w:ascii="宋体" w:hAnsi="宋体" w:cs="宋体"/>
                <w:color w:val="auto"/>
                <w:kern w:val="0"/>
                <w:sz w:val="22"/>
              </w:rPr>
            </w:pPr>
          </w:p>
        </w:tc>
      </w:tr>
      <w:tr w14:paraId="0FC6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64E22E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7</w:t>
            </w:r>
          </w:p>
        </w:tc>
        <w:tc>
          <w:tcPr>
            <w:tcW w:w="3532" w:type="dxa"/>
            <w:vAlign w:val="center"/>
          </w:tcPr>
          <w:p w14:paraId="1394E1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尤加利</w:t>
            </w:r>
          </w:p>
        </w:tc>
        <w:tc>
          <w:tcPr>
            <w:tcW w:w="1250" w:type="dxa"/>
            <w:vAlign w:val="center"/>
          </w:tcPr>
          <w:p w14:paraId="06E061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p>
        </w:tc>
        <w:tc>
          <w:tcPr>
            <w:tcW w:w="1500" w:type="dxa"/>
            <w:vAlign w:val="center"/>
          </w:tcPr>
          <w:p w14:paraId="20D16F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6枝</w:t>
            </w:r>
          </w:p>
        </w:tc>
        <w:tc>
          <w:tcPr>
            <w:tcW w:w="2178" w:type="dxa"/>
            <w:vMerge w:val="continue"/>
            <w:vAlign w:val="center"/>
          </w:tcPr>
          <w:p w14:paraId="73B51132">
            <w:pPr>
              <w:widowControl/>
              <w:jc w:val="center"/>
              <w:rPr>
                <w:rFonts w:hint="eastAsia" w:ascii="宋体" w:hAnsi="宋体" w:cs="宋体"/>
                <w:color w:val="auto"/>
                <w:kern w:val="0"/>
                <w:sz w:val="22"/>
              </w:rPr>
            </w:pPr>
          </w:p>
        </w:tc>
      </w:tr>
      <w:tr w14:paraId="410F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40" w:type="dxa"/>
            <w:vAlign w:val="center"/>
          </w:tcPr>
          <w:p w14:paraId="0FBD3A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8</w:t>
            </w:r>
          </w:p>
        </w:tc>
        <w:tc>
          <w:tcPr>
            <w:tcW w:w="3532" w:type="dxa"/>
            <w:vAlign w:val="center"/>
          </w:tcPr>
          <w:p w14:paraId="65ADA1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r>
              <w:rPr>
                <w:rFonts w:hint="eastAsia" w:ascii="宋体" w:hAnsi="宋体" w:cs="宋体"/>
                <w:color w:val="auto"/>
                <w:kern w:val="0"/>
                <w:sz w:val="22"/>
                <w:szCs w:val="22"/>
              </w:rPr>
              <w:t>包装纸</w:t>
            </w:r>
          </w:p>
        </w:tc>
        <w:tc>
          <w:tcPr>
            <w:tcW w:w="1250" w:type="dxa"/>
            <w:vAlign w:val="center"/>
          </w:tcPr>
          <w:p w14:paraId="161163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2"/>
                <w:szCs w:val="22"/>
              </w:rPr>
            </w:pPr>
          </w:p>
        </w:tc>
        <w:tc>
          <w:tcPr>
            <w:tcW w:w="1500" w:type="dxa"/>
            <w:vAlign w:val="center"/>
          </w:tcPr>
          <w:p w14:paraId="041C11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rPr>
            </w:pPr>
            <w:r>
              <w:rPr>
                <w:rFonts w:hint="eastAsia" w:ascii="宋体" w:hAnsi="宋体" w:cs="宋体"/>
                <w:color w:val="auto"/>
                <w:kern w:val="0"/>
                <w:sz w:val="22"/>
                <w:szCs w:val="22"/>
              </w:rPr>
              <w:t>8张</w:t>
            </w:r>
          </w:p>
        </w:tc>
        <w:tc>
          <w:tcPr>
            <w:tcW w:w="2178" w:type="dxa"/>
            <w:vMerge w:val="continue"/>
            <w:vAlign w:val="center"/>
          </w:tcPr>
          <w:p w14:paraId="5E5F5E35">
            <w:pPr>
              <w:widowControl/>
              <w:jc w:val="center"/>
              <w:rPr>
                <w:rFonts w:hint="eastAsia" w:ascii="宋体" w:hAnsi="宋体" w:cs="宋体"/>
                <w:color w:val="auto"/>
                <w:kern w:val="0"/>
                <w:sz w:val="22"/>
              </w:rPr>
            </w:pPr>
          </w:p>
        </w:tc>
      </w:tr>
    </w:tbl>
    <w:p w14:paraId="1985E42F">
      <w:pPr>
        <w:pStyle w:val="10"/>
        <w:numPr>
          <w:ilvl w:val="0"/>
          <w:numId w:val="0"/>
        </w:numPr>
        <w:rPr>
          <w:rFonts w:hint="default" w:ascii="Times New Roman" w:hAnsi="Times New Roman" w:eastAsia="宋体" w:cs="Times New Roman"/>
          <w:color w:val="auto"/>
          <w:szCs w:val="24"/>
          <w:highlight w:val="none"/>
          <w:lang w:val="en-US" w:eastAsia="zh-CN"/>
        </w:rPr>
      </w:pPr>
    </w:p>
    <w:p w14:paraId="68576A59">
      <w:pPr>
        <w:pStyle w:val="10"/>
        <w:ind w:left="0" w:leftChars="0" w:firstLine="482" w:firstLineChars="200"/>
        <w:rPr>
          <w:rFonts w:hint="default" w:ascii="Times New Roman" w:hAnsi="Times New Roman" w:eastAsia="宋体" w:cs="Times New Roman"/>
          <w:b/>
          <w:bCs/>
          <w:color w:val="auto"/>
          <w:szCs w:val="24"/>
          <w:highlight w:val="none"/>
          <w:lang w:val="en-US" w:eastAsia="zh-CN"/>
        </w:rPr>
      </w:pPr>
      <w:r>
        <w:rPr>
          <w:rFonts w:hint="eastAsia" w:ascii="Times New Roman" w:hAnsi="Times New Roman" w:eastAsia="宋体" w:cs="Times New Roman"/>
          <w:b/>
          <w:bCs/>
          <w:color w:val="auto"/>
          <w:szCs w:val="24"/>
          <w:highlight w:val="none"/>
          <w:lang w:val="en-US" w:eastAsia="zh-CN"/>
        </w:rPr>
        <w:t>三、产品质量要求</w:t>
      </w:r>
    </w:p>
    <w:p w14:paraId="34FAD0D5">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①花材质量要求：花头无萎蔫、腐烂，花瓣饱满有弹性，叶片翠绿无黄斑；②开放度：玫瑰等主花开放度需达到30%-50%（半开状态，确保配送后最佳观赏期），配花要求全开但无调瓣；③品种与等级：主花需符合A级花材标准，禁止使用淘汰级（D级）或冷库长期储存花材。④保质期：要求到货后常温养护下，花束观赏期≥5天。</w:t>
      </w:r>
    </w:p>
    <w:p w14:paraId="2A931B35">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2.①装饰材料：丝带、包装纸等辅料需无破损、褪色；②贺卡、小玩偶等配件需固定牢固。</w:t>
      </w:r>
    </w:p>
    <w:p w14:paraId="6D1E5F0D">
      <w:pPr>
        <w:pStyle w:val="10"/>
        <w:ind w:firstLine="480"/>
        <w:rPr>
          <w:rFonts w:hint="eastAsia" w:ascii="Times New Roman" w:hAnsi="Times New Roman" w:eastAsia="宋体" w:cs="Times New Roman"/>
          <w:b/>
          <w:bCs/>
          <w:color w:val="auto"/>
          <w:szCs w:val="24"/>
          <w:highlight w:val="none"/>
          <w:lang w:val="en-US" w:eastAsia="zh-CN"/>
        </w:rPr>
      </w:pPr>
      <w:r>
        <w:rPr>
          <w:rFonts w:hint="eastAsia" w:ascii="Times New Roman" w:hAnsi="Times New Roman" w:eastAsia="宋体" w:cs="Times New Roman"/>
          <w:b/>
          <w:bCs/>
          <w:color w:val="auto"/>
          <w:szCs w:val="24"/>
          <w:highlight w:val="none"/>
          <w:lang w:val="en-US" w:eastAsia="zh-CN"/>
        </w:rPr>
        <w:t>四、商务要求</w:t>
      </w:r>
    </w:p>
    <w:tbl>
      <w:tblPr>
        <w:tblStyle w:val="5"/>
        <w:tblW w:w="93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4"/>
        <w:gridCol w:w="7732"/>
      </w:tblGrid>
      <w:tr w14:paraId="0523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84" w:type="dxa"/>
            <w:vAlign w:val="center"/>
          </w:tcPr>
          <w:p w14:paraId="45A1A5D4">
            <w:pPr>
              <w:pStyle w:val="12"/>
              <w:pageBreakBefore w:val="0"/>
              <w:kinsoku/>
              <w:overflowPunct/>
              <w:bidi w:val="0"/>
              <w:spacing w:line="360" w:lineRule="auto"/>
              <w:jc w:val="center"/>
              <w:rPr>
                <w:rFonts w:hint="eastAsia" w:ascii="宋体" w:hAnsi="Times New Roman" w:eastAsia="宋体" w:cs="Tahoma"/>
                <w:b/>
                <w:bCs/>
                <w:color w:val="auto"/>
                <w:kern w:val="28"/>
                <w:sz w:val="21"/>
                <w:szCs w:val="21"/>
                <w:highlight w:val="none"/>
                <w:lang w:val="en-US" w:eastAsia="zh-CN" w:bidi="ar-SA"/>
              </w:rPr>
            </w:pPr>
            <w:r>
              <w:rPr>
                <w:rFonts w:hint="eastAsia" w:cs="Tahoma"/>
                <w:b/>
                <w:bCs/>
                <w:color w:val="auto"/>
                <w:kern w:val="28"/>
                <w:sz w:val="21"/>
                <w:szCs w:val="21"/>
                <w:highlight w:val="none"/>
              </w:rPr>
              <w:t>交付时间、地点</w:t>
            </w:r>
          </w:p>
        </w:tc>
        <w:tc>
          <w:tcPr>
            <w:tcW w:w="7732" w:type="dxa"/>
            <w:vAlign w:val="top"/>
          </w:tcPr>
          <w:p w14:paraId="41FBF73E">
            <w:pPr>
              <w:pStyle w:val="12"/>
              <w:pageBreakBefore w:val="0"/>
              <w:kinsoku/>
              <w:overflowPunct/>
              <w:bidi w:val="0"/>
              <w:spacing w:line="360" w:lineRule="auto"/>
              <w:jc w:val="left"/>
              <w:rPr>
                <w:rFonts w:hint="eastAsia" w:cs="Tahoma"/>
                <w:color w:val="auto"/>
                <w:kern w:val="28"/>
                <w:sz w:val="21"/>
                <w:szCs w:val="21"/>
                <w:highlight w:val="none"/>
                <w:lang w:val="en-US" w:eastAsia="zh-CN"/>
              </w:rPr>
            </w:pPr>
            <w:r>
              <w:rPr>
                <w:rFonts w:hint="eastAsia" w:ascii="宋体" w:hAnsi="宋体" w:eastAsia="宋体" w:cs="宋体"/>
                <w:color w:val="auto"/>
                <w:sz w:val="22"/>
                <w:szCs w:val="22"/>
                <w:highlight w:val="none"/>
                <w:lang w:val="en-US" w:eastAsia="zh-CN"/>
              </w:rPr>
              <w:t>成交供应商</w:t>
            </w:r>
            <w:r>
              <w:rPr>
                <w:rFonts w:hint="eastAsia" w:ascii="宋体" w:hAnsi="宋体" w:eastAsia="宋体" w:cs="宋体"/>
                <w:color w:val="auto"/>
                <w:sz w:val="22"/>
                <w:szCs w:val="22"/>
                <w:highlight w:val="none"/>
                <w:lang w:eastAsia="zh-CN"/>
              </w:rPr>
              <w:t>应保证充足的货源，保证供货，在收到采购人下单通知后把货物</w:t>
            </w:r>
            <w:r>
              <w:rPr>
                <w:rFonts w:hint="eastAsia" w:ascii="宋体" w:hAnsi="宋体" w:cs="宋体"/>
                <w:color w:val="auto"/>
                <w:sz w:val="22"/>
                <w:szCs w:val="22"/>
                <w:highlight w:val="none"/>
                <w:lang w:eastAsia="zh-CN"/>
              </w:rPr>
              <w:t>分两批</w:t>
            </w:r>
            <w:r>
              <w:rPr>
                <w:rFonts w:hint="eastAsia" w:ascii="宋体" w:hAnsi="宋体" w:cs="宋体"/>
                <w:color w:val="auto"/>
                <w:sz w:val="22"/>
                <w:szCs w:val="22"/>
                <w:highlight w:val="none"/>
                <w:lang w:val="en-US" w:eastAsia="zh-CN"/>
              </w:rPr>
              <w:t>在指定时间</w:t>
            </w:r>
            <w:r>
              <w:rPr>
                <w:rFonts w:hint="eastAsia" w:ascii="宋体" w:hAnsi="宋体" w:eastAsia="宋体" w:cs="宋体"/>
                <w:color w:val="auto"/>
                <w:sz w:val="22"/>
                <w:szCs w:val="22"/>
                <w:highlight w:val="none"/>
                <w:lang w:eastAsia="zh-CN"/>
              </w:rPr>
              <w:t>交付到中山市</w:t>
            </w:r>
            <w:r>
              <w:rPr>
                <w:rFonts w:hint="eastAsia" w:ascii="宋体" w:hAnsi="宋体" w:cs="宋体"/>
                <w:color w:val="auto"/>
                <w:sz w:val="22"/>
                <w:szCs w:val="22"/>
                <w:highlight w:val="none"/>
                <w:lang w:val="en-US" w:eastAsia="zh-CN"/>
              </w:rPr>
              <w:t>黄圃</w:t>
            </w:r>
            <w:r>
              <w:rPr>
                <w:rFonts w:hint="eastAsia" w:ascii="宋体" w:hAnsi="宋体" w:eastAsia="宋体" w:cs="宋体"/>
                <w:color w:val="auto"/>
                <w:sz w:val="22"/>
                <w:szCs w:val="22"/>
                <w:highlight w:val="none"/>
                <w:lang w:eastAsia="zh-CN"/>
              </w:rPr>
              <w:t>人民医院</w:t>
            </w:r>
            <w:r>
              <w:rPr>
                <w:rFonts w:hint="eastAsia" w:cs="宋体"/>
                <w:color w:val="auto"/>
                <w:sz w:val="22"/>
                <w:szCs w:val="22"/>
                <w:highlight w:val="none"/>
                <w:lang w:val="en-US" w:eastAsia="zh-CN"/>
              </w:rPr>
              <w:t>指定地点</w:t>
            </w:r>
            <w:r>
              <w:rPr>
                <w:rFonts w:hint="eastAsia" w:ascii="宋体" w:hAnsi="宋体" w:eastAsia="宋体" w:cs="宋体"/>
                <w:color w:val="auto"/>
                <w:sz w:val="22"/>
                <w:szCs w:val="22"/>
                <w:highlight w:val="none"/>
                <w:lang w:eastAsia="zh-CN"/>
              </w:rPr>
              <w:t>。</w:t>
            </w:r>
          </w:p>
        </w:tc>
      </w:tr>
      <w:tr w14:paraId="504B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84" w:type="dxa"/>
            <w:vAlign w:val="center"/>
          </w:tcPr>
          <w:p w14:paraId="241BA310">
            <w:pPr>
              <w:pStyle w:val="12"/>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732" w:type="dxa"/>
            <w:vAlign w:val="top"/>
          </w:tcPr>
          <w:p w14:paraId="307077F4">
            <w:pPr>
              <w:pStyle w:val="12"/>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14:paraId="2D25C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584" w:type="dxa"/>
            <w:vAlign w:val="center"/>
          </w:tcPr>
          <w:p w14:paraId="3271DFBA">
            <w:pPr>
              <w:pStyle w:val="12"/>
              <w:pageBreakBefore w:val="0"/>
              <w:kinsoku/>
              <w:overflowPunct/>
              <w:bidi w:val="0"/>
              <w:spacing w:line="360" w:lineRule="auto"/>
              <w:jc w:val="center"/>
              <w:rPr>
                <w:rFonts w:hint="eastAsia" w:ascii="宋体" w:hAnsi="Times New Roman" w:eastAsia="宋体" w:cs="Tahoma"/>
                <w:color w:val="auto"/>
                <w:kern w:val="28"/>
                <w:sz w:val="21"/>
                <w:szCs w:val="21"/>
                <w:highlight w:val="none"/>
                <w:lang w:val="en-US" w:eastAsia="zh-CN" w:bidi="ar-SA"/>
              </w:rPr>
            </w:pPr>
            <w:r>
              <w:rPr>
                <w:rFonts w:hint="eastAsia" w:ascii="宋体" w:hAnsi="Times New Roman" w:eastAsia="宋体" w:cs="Tahoma"/>
                <w:b/>
                <w:bCs/>
                <w:color w:val="auto"/>
                <w:kern w:val="28"/>
                <w:sz w:val="21"/>
                <w:szCs w:val="21"/>
                <w:highlight w:val="none"/>
                <w:lang w:val="en-US" w:eastAsia="zh-CN" w:bidi="ar-SA"/>
              </w:rPr>
              <w:t>付款方式</w:t>
            </w:r>
          </w:p>
        </w:tc>
        <w:tc>
          <w:tcPr>
            <w:tcW w:w="7732" w:type="dxa"/>
            <w:vAlign w:val="top"/>
          </w:tcPr>
          <w:p w14:paraId="06934311">
            <w:pPr>
              <w:pStyle w:val="10"/>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Times New Roman" w:eastAsia="宋体" w:cs="Tahoma"/>
                <w:color w:val="auto"/>
                <w:kern w:val="28"/>
                <w:sz w:val="21"/>
                <w:szCs w:val="21"/>
                <w:highlight w:val="none"/>
                <w:lang w:val="en-US" w:eastAsia="zh-CN" w:bidi="ar-SA"/>
              </w:rPr>
              <w:t>1.本项目的款项以人民币</w:t>
            </w:r>
            <w:r>
              <w:rPr>
                <w:rFonts w:hint="eastAsia" w:ascii="宋体" w:cs="Tahoma"/>
                <w:color w:val="auto"/>
                <w:kern w:val="28"/>
                <w:sz w:val="21"/>
                <w:szCs w:val="21"/>
                <w:highlight w:val="none"/>
                <w:lang w:val="en-US" w:eastAsia="zh-CN" w:bidi="ar-SA"/>
              </w:rPr>
              <w:t>银行转账</w:t>
            </w:r>
            <w:r>
              <w:rPr>
                <w:rFonts w:hint="eastAsia" w:ascii="宋体" w:hAnsi="Times New Roman" w:eastAsia="宋体" w:cs="Tahoma"/>
                <w:color w:val="auto"/>
                <w:kern w:val="28"/>
                <w:sz w:val="21"/>
                <w:szCs w:val="21"/>
                <w:highlight w:val="none"/>
                <w:lang w:val="en-US" w:eastAsia="zh-CN" w:bidi="ar-SA"/>
              </w:rPr>
              <w:t>方式支付：</w:t>
            </w:r>
          </w:p>
          <w:p w14:paraId="353F69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供应商按实际</w:t>
            </w:r>
            <w:r>
              <w:rPr>
                <w:rFonts w:hint="eastAsia" w:ascii="宋体" w:hAnsi="宋体" w:cs="宋体"/>
                <w:color w:val="auto"/>
                <w:sz w:val="22"/>
                <w:szCs w:val="22"/>
                <w:highlight w:val="none"/>
                <w:lang w:eastAsia="zh-CN"/>
              </w:rPr>
              <w:t>采购量</w:t>
            </w:r>
            <w:r>
              <w:rPr>
                <w:rFonts w:hint="eastAsia" w:ascii="宋体" w:hAnsi="宋体" w:eastAsia="宋体" w:cs="宋体"/>
                <w:color w:val="auto"/>
                <w:sz w:val="22"/>
                <w:szCs w:val="22"/>
                <w:highlight w:val="none"/>
              </w:rPr>
              <w:t>结算并开具对应金额的发票，采购人在收到成交供应商的款项发票等申请资料且核对无误，经验收合格后60日内支付款项</w:t>
            </w:r>
            <w:r>
              <w:rPr>
                <w:rFonts w:hint="eastAsia" w:ascii="宋体" w:hAnsi="宋体" w:cs="宋体"/>
                <w:color w:val="auto"/>
                <w:sz w:val="22"/>
                <w:szCs w:val="22"/>
                <w:highlight w:val="none"/>
                <w:lang w:eastAsia="zh-CN"/>
              </w:rPr>
              <w:t>。</w:t>
            </w:r>
          </w:p>
          <w:p w14:paraId="46F7AD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3.因采购人使用的是财政资金，按政府审批流程支付，若审批延迟则相应款项到账延迟，且不视为采购人违约。</w:t>
            </w:r>
          </w:p>
        </w:tc>
      </w:tr>
      <w:tr w14:paraId="6A8F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5" w:hRule="atLeast"/>
        </w:trPr>
        <w:tc>
          <w:tcPr>
            <w:tcW w:w="1584" w:type="dxa"/>
            <w:vAlign w:val="center"/>
          </w:tcPr>
          <w:p w14:paraId="639C9BBA">
            <w:pPr>
              <w:pageBreakBefore w:val="0"/>
              <w:widowControl/>
              <w:tabs>
                <w:tab w:val="left" w:pos="636"/>
              </w:tabs>
              <w:kinsoku/>
              <w:overflowPunct/>
              <w:autoSpaceDE w:val="0"/>
              <w:autoSpaceDN w:val="0"/>
              <w:bidi w:val="0"/>
              <w:spacing w:line="360" w:lineRule="auto"/>
              <w:jc w:val="center"/>
              <w:textAlignment w:val="bottom"/>
              <w:rPr>
                <w:rFonts w:hint="eastAsia" w:ascii="Times New Roman" w:hAnsi="Times New Roman" w:eastAsia="宋体" w:cs="Tahoma"/>
                <w:b/>
                <w:bCs/>
                <w:color w:val="auto"/>
                <w:kern w:val="28"/>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报价说明</w:t>
            </w:r>
          </w:p>
        </w:tc>
        <w:tc>
          <w:tcPr>
            <w:tcW w:w="7732" w:type="dxa"/>
            <w:vAlign w:val="top"/>
          </w:tcPr>
          <w:p w14:paraId="2FB700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Times New Roman" w:eastAsia="宋体" w:cs="Tahoma"/>
                <w:color w:val="auto"/>
                <w:kern w:val="28"/>
                <w:sz w:val="21"/>
                <w:szCs w:val="21"/>
                <w:highlight w:val="none"/>
                <w:lang w:val="en-US" w:eastAsia="zh-CN" w:bidi="ar-SA"/>
              </w:rPr>
            </w:pPr>
            <w:r>
              <w:rPr>
                <w:rFonts w:hint="eastAsia" w:ascii="宋体" w:hAnsi="Times New Roman" w:eastAsia="宋体" w:cs="Tahoma"/>
                <w:b/>
                <w:bCs/>
                <w:color w:val="auto"/>
                <w:kern w:val="28"/>
                <w:sz w:val="21"/>
                <w:szCs w:val="21"/>
                <w:highlight w:val="none"/>
                <w:lang w:val="en-US" w:eastAsia="zh-CN" w:bidi="ar-SA"/>
              </w:rPr>
              <w:t>1.以花束单价形式进行报价，</w:t>
            </w:r>
            <w:r>
              <w:rPr>
                <w:rFonts w:hint="eastAsia" w:ascii="宋体" w:hAnsi="Times New Roman" w:eastAsia="宋体" w:cs="Tahoma"/>
                <w:b/>
                <w:bCs/>
                <w:color w:val="auto"/>
                <w:kern w:val="28"/>
                <w:sz w:val="21"/>
                <w:szCs w:val="21"/>
                <w:highlight w:val="none"/>
                <w:lang w:val="hr-HR" w:eastAsia="zh-CN" w:bidi="ar-SA"/>
              </w:rPr>
              <w:t>无须报出总价，</w:t>
            </w:r>
            <w:r>
              <w:rPr>
                <w:rFonts w:hint="eastAsia" w:ascii="宋体" w:hAnsi="宋体" w:eastAsia="宋体" w:cs="宋体"/>
                <w:b/>
                <w:bCs/>
                <w:color w:val="auto"/>
                <w:sz w:val="22"/>
                <w:szCs w:val="22"/>
                <w:lang w:val="en-US" w:eastAsia="zh-CN"/>
              </w:rPr>
              <w:t>以单价报价作为评审价格及结算单价。</w:t>
            </w:r>
            <w:r>
              <w:rPr>
                <w:rFonts w:hint="eastAsia" w:ascii="宋体" w:hAnsi="Times New Roman" w:eastAsia="宋体" w:cs="Tahoma"/>
                <w:b/>
                <w:bCs/>
                <w:color w:val="auto"/>
                <w:kern w:val="28"/>
                <w:sz w:val="21"/>
                <w:szCs w:val="21"/>
                <w:highlight w:val="none"/>
                <w:lang w:val="hr-HR" w:eastAsia="zh-CN" w:bidi="ar-SA"/>
              </w:rPr>
              <w:t>花束单价报价</w:t>
            </w:r>
            <w:r>
              <w:rPr>
                <w:rFonts w:hint="eastAsia" w:ascii="宋体" w:hAnsi="Times New Roman" w:eastAsia="宋体" w:cs="Tahoma"/>
                <w:b/>
                <w:bCs/>
                <w:color w:val="auto"/>
                <w:kern w:val="28"/>
                <w:sz w:val="21"/>
                <w:szCs w:val="21"/>
                <w:highlight w:val="none"/>
                <w:lang w:val="en-US" w:eastAsia="zh-CN" w:bidi="ar-SA"/>
              </w:rPr>
              <w:t>须不高于单价最高限价，报价超过单价最高限价的为无效报价。</w:t>
            </w:r>
          </w:p>
          <w:p w14:paraId="56A7A4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Times New Roman" w:eastAsia="宋体" w:cs="Tahoma"/>
                <w:color w:val="auto"/>
                <w:kern w:val="28"/>
                <w:sz w:val="21"/>
                <w:szCs w:val="21"/>
                <w:highlight w:val="none"/>
                <w:lang w:val="en-US" w:eastAsia="zh-CN" w:bidi="ar-SA"/>
              </w:rPr>
              <w:t>2.报价为产品配送至采购人指定地点的人民币含税价，包括但不限于产品价格、包装、运输装卸费用、人工费、保险、关税、销售税、其他税以及合同包含的所有风险、责任等其他隐含的费用。</w:t>
            </w:r>
          </w:p>
          <w:p w14:paraId="104507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olor w:val="auto"/>
                <w:lang w:val="en-US" w:eastAsia="zh-CN"/>
              </w:rPr>
            </w:pPr>
            <w:r>
              <w:rPr>
                <w:rFonts w:hint="eastAsia" w:ascii="宋体" w:hAnsi="Times New Roman" w:eastAsia="宋体" w:cs="Tahoma"/>
                <w:color w:val="auto"/>
                <w:kern w:val="28"/>
                <w:sz w:val="21"/>
                <w:szCs w:val="21"/>
                <w:highlight w:val="none"/>
                <w:lang w:val="en-US" w:eastAsia="zh-CN" w:bidi="ar-SA"/>
              </w:rPr>
              <w:t>3.合同执行期间采购人不再额外向成交供应商支付任何其他费用。供应商漏报或不报，采购人将视为该漏报或不报部分的费用已包括在已报的报价中而不予支付。</w:t>
            </w:r>
          </w:p>
        </w:tc>
      </w:tr>
    </w:tbl>
    <w:p w14:paraId="22B16DB1">
      <w:pPr>
        <w:pStyle w:val="9"/>
        <w:keepNext w:val="0"/>
        <w:keepLines w:val="0"/>
        <w:pageBreakBefore w:val="0"/>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bidi="ar-SA"/>
        </w:rPr>
      </w:pPr>
    </w:p>
    <w:p w14:paraId="4CA02789">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3F5D5F"/>
    <w:rsid w:val="02A75BE4"/>
    <w:rsid w:val="04665172"/>
    <w:rsid w:val="0506170D"/>
    <w:rsid w:val="061C462C"/>
    <w:rsid w:val="06CA12FF"/>
    <w:rsid w:val="071855B8"/>
    <w:rsid w:val="072D4D2F"/>
    <w:rsid w:val="07F40F62"/>
    <w:rsid w:val="08B145D8"/>
    <w:rsid w:val="090E293E"/>
    <w:rsid w:val="09505A5B"/>
    <w:rsid w:val="09BE25B6"/>
    <w:rsid w:val="09C63218"/>
    <w:rsid w:val="0B677345"/>
    <w:rsid w:val="0C2661F0"/>
    <w:rsid w:val="0C815BD9"/>
    <w:rsid w:val="0CC5327E"/>
    <w:rsid w:val="0D4A2484"/>
    <w:rsid w:val="0ED30E89"/>
    <w:rsid w:val="100A607B"/>
    <w:rsid w:val="10FF31B3"/>
    <w:rsid w:val="113B24D4"/>
    <w:rsid w:val="13886A44"/>
    <w:rsid w:val="16B64283"/>
    <w:rsid w:val="174B2FAF"/>
    <w:rsid w:val="19263A4B"/>
    <w:rsid w:val="19683D7C"/>
    <w:rsid w:val="1ADD03C2"/>
    <w:rsid w:val="1E98459B"/>
    <w:rsid w:val="20F9556E"/>
    <w:rsid w:val="21780E44"/>
    <w:rsid w:val="253674AE"/>
    <w:rsid w:val="25D00DCE"/>
    <w:rsid w:val="27341555"/>
    <w:rsid w:val="27FF5E55"/>
    <w:rsid w:val="288A1B89"/>
    <w:rsid w:val="2916600C"/>
    <w:rsid w:val="2991601D"/>
    <w:rsid w:val="2A0675C3"/>
    <w:rsid w:val="2A193705"/>
    <w:rsid w:val="2A376250"/>
    <w:rsid w:val="2ADB451B"/>
    <w:rsid w:val="2C29790B"/>
    <w:rsid w:val="2E7B51CF"/>
    <w:rsid w:val="30033658"/>
    <w:rsid w:val="308F6ECF"/>
    <w:rsid w:val="30D2151E"/>
    <w:rsid w:val="30ED28CD"/>
    <w:rsid w:val="35031DDC"/>
    <w:rsid w:val="360C508C"/>
    <w:rsid w:val="363137A8"/>
    <w:rsid w:val="37CD2844"/>
    <w:rsid w:val="382F5B62"/>
    <w:rsid w:val="3A8A3C6B"/>
    <w:rsid w:val="3F8865EA"/>
    <w:rsid w:val="3FE756BB"/>
    <w:rsid w:val="40060E95"/>
    <w:rsid w:val="40300E10"/>
    <w:rsid w:val="411377D7"/>
    <w:rsid w:val="41F92965"/>
    <w:rsid w:val="44576961"/>
    <w:rsid w:val="44EB199C"/>
    <w:rsid w:val="459710F0"/>
    <w:rsid w:val="459C47C6"/>
    <w:rsid w:val="459F5CA0"/>
    <w:rsid w:val="45BA3F42"/>
    <w:rsid w:val="460222FB"/>
    <w:rsid w:val="46A00372"/>
    <w:rsid w:val="46E2098A"/>
    <w:rsid w:val="471F4B37"/>
    <w:rsid w:val="47FC5A7C"/>
    <w:rsid w:val="48A64DFE"/>
    <w:rsid w:val="492C413F"/>
    <w:rsid w:val="4D3C7046"/>
    <w:rsid w:val="4F403350"/>
    <w:rsid w:val="50CB36A2"/>
    <w:rsid w:val="516E3547"/>
    <w:rsid w:val="51C46959"/>
    <w:rsid w:val="52036385"/>
    <w:rsid w:val="526C4C0D"/>
    <w:rsid w:val="52E33AC0"/>
    <w:rsid w:val="534D27F1"/>
    <w:rsid w:val="53B4545D"/>
    <w:rsid w:val="54244390"/>
    <w:rsid w:val="56E671EE"/>
    <w:rsid w:val="575604AD"/>
    <w:rsid w:val="57E35889"/>
    <w:rsid w:val="58C21972"/>
    <w:rsid w:val="59D65F57"/>
    <w:rsid w:val="59DB3743"/>
    <w:rsid w:val="5B810FD4"/>
    <w:rsid w:val="5CBD1826"/>
    <w:rsid w:val="5E23390B"/>
    <w:rsid w:val="605B0029"/>
    <w:rsid w:val="611B6B1B"/>
    <w:rsid w:val="631400D0"/>
    <w:rsid w:val="63B12CEF"/>
    <w:rsid w:val="63EA10DC"/>
    <w:rsid w:val="66D60468"/>
    <w:rsid w:val="69057F41"/>
    <w:rsid w:val="6942558D"/>
    <w:rsid w:val="69801C11"/>
    <w:rsid w:val="699114B3"/>
    <w:rsid w:val="699D27C3"/>
    <w:rsid w:val="6B947D6A"/>
    <w:rsid w:val="6BD87442"/>
    <w:rsid w:val="6C094140"/>
    <w:rsid w:val="6E180971"/>
    <w:rsid w:val="6E487D72"/>
    <w:rsid w:val="6E9339A1"/>
    <w:rsid w:val="6F8F4C98"/>
    <w:rsid w:val="70096E04"/>
    <w:rsid w:val="73BE7F06"/>
    <w:rsid w:val="73C46754"/>
    <w:rsid w:val="74884070"/>
    <w:rsid w:val="749F5523"/>
    <w:rsid w:val="74F465A3"/>
    <w:rsid w:val="75277E23"/>
    <w:rsid w:val="760B6D06"/>
    <w:rsid w:val="76DF1025"/>
    <w:rsid w:val="779E0348"/>
    <w:rsid w:val="78AB63FD"/>
    <w:rsid w:val="78C212E0"/>
    <w:rsid w:val="78E44168"/>
    <w:rsid w:val="78FC4C03"/>
    <w:rsid w:val="7AAF2356"/>
    <w:rsid w:val="7D517544"/>
    <w:rsid w:val="7DBB1203"/>
    <w:rsid w:val="7E79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cs="Times New Roman"/>
      <w:kern w:val="0"/>
      <w:sz w:val="24"/>
      <w:szCs w:val="24"/>
    </w:rPr>
  </w:style>
  <w:style w:type="paragraph" w:styleId="4">
    <w:name w:val="toc 5"/>
    <w:basedOn w:val="1"/>
    <w:next w:val="1"/>
    <w:qFormat/>
    <w:uiPriority w:val="0"/>
    <w:pPr>
      <w:ind w:left="840"/>
      <w:jc w:val="left"/>
    </w:pPr>
    <w:rPr>
      <w:rFonts w:ascii="Calibri" w:hAnsi="Calibr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10">
    <w:name w:val="投标正文小四"/>
    <w:basedOn w:val="1"/>
    <w:qFormat/>
    <w:uiPriority w:val="0"/>
    <w:pPr>
      <w:spacing w:line="360" w:lineRule="auto"/>
      <w:ind w:firstLine="200" w:firstLineChars="200"/>
    </w:pPr>
    <w:rPr>
      <w:sz w:val="24"/>
    </w:rPr>
  </w:style>
  <w:style w:type="paragraph" w:customStyle="1" w:styleId="11">
    <w:name w:val="_Style 5"/>
    <w:basedOn w:val="1"/>
    <w:qFormat/>
    <w:uiPriority w:val="0"/>
    <w:pPr>
      <w:ind w:firstLine="420" w:firstLineChars="200"/>
    </w:pPr>
  </w:style>
  <w:style w:type="paragraph" w:customStyle="1" w:styleId="12">
    <w:name w:val="正文1"/>
    <w:qFormat/>
    <w:uiPriority w:val="0"/>
    <w:pPr>
      <w:widowControl w:val="0"/>
      <w:jc w:val="both"/>
    </w:pPr>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1287</Characters>
  <Lines>0</Lines>
  <Paragraphs>0</Paragraphs>
  <TotalTime>0</TotalTime>
  <ScaleCrop>false</ScaleCrop>
  <LinksUpToDate>false</LinksUpToDate>
  <CharactersWithSpaces>1330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述</cp:lastModifiedBy>
  <dcterms:modified xsi:type="dcterms:W3CDTF">2026-06-12T09:31:19Z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2B802677245544849DCB30FD82CA87E4_13</vt:lpwstr>
  </property>
  <property fmtid="{D5CDD505-2E9C-101B-9397-08002B2CF9AE}" pid="4" name="KSOTemplateDocerSaveRecord">
    <vt:lpwstr>eyJoZGlkIjoiYmRkMmEzN2I2NGYxZTIyMTQxMGQxM2IzYzc2N2Q1MzcifQ==</vt:lpwstr>
  </property>
</Properties>
</file>