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b/>
          <w:color w:val="auto"/>
          <w:sz w:val="36"/>
          <w:szCs w:val="36"/>
        </w:rPr>
      </w:pPr>
      <w:r>
        <w:rPr>
          <w:b/>
          <w:color w:val="auto"/>
          <w:sz w:val="36"/>
          <w:szCs w:val="36"/>
        </w:rPr>
        <w:t>用户需求书</w:t>
      </w:r>
    </w:p>
    <w:p w14:paraId="66BBA45E">
      <w:pPr>
        <w:pStyle w:val="21"/>
        <w:ind w:firstLine="482"/>
        <w:rPr>
          <w:b/>
          <w:color w:val="auto"/>
          <w:highlight w:val="none"/>
        </w:rPr>
      </w:pPr>
      <w:r>
        <w:rPr>
          <w:rFonts w:hint="eastAsia"/>
          <w:b/>
          <w:color w:val="auto"/>
          <w:highlight w:val="none"/>
        </w:rPr>
        <w:t>总则</w:t>
      </w:r>
    </w:p>
    <w:p w14:paraId="493CC6E9">
      <w:pPr>
        <w:pStyle w:val="21"/>
        <w:ind w:firstLine="480"/>
        <w:rPr>
          <w:color w:val="auto"/>
          <w:highlight w:val="none"/>
        </w:rPr>
      </w:pPr>
      <w:r>
        <w:rPr>
          <w:rFonts w:hint="eastAsia"/>
          <w:color w:val="auto"/>
          <w:highlight w:val="none"/>
        </w:rPr>
        <w:t>1、成交供应商必须按国家、行业的标准及采购文件的要求对本项目提供相应的货物及服务。</w:t>
      </w:r>
    </w:p>
    <w:p w14:paraId="137C0749">
      <w:pPr>
        <w:pStyle w:val="21"/>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14:paraId="28FAC484">
      <w:pPr>
        <w:pStyle w:val="21"/>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14:paraId="21F7D953">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14:paraId="1E8BFC5F">
      <w:pPr>
        <w:jc w:val="center"/>
        <w:rPr>
          <w:rFonts w:hint="eastAsia"/>
          <w:b/>
          <w:color w:val="auto"/>
          <w:sz w:val="36"/>
          <w:szCs w:val="36"/>
        </w:rPr>
      </w:pPr>
    </w:p>
    <w:p w14:paraId="5E15BCCB">
      <w:pPr>
        <w:rPr>
          <w:rFonts w:hint="eastAsia"/>
          <w:lang w:eastAsia="zh-CN"/>
        </w:rPr>
      </w:pPr>
    </w:p>
    <w:p w14:paraId="1CCB9486">
      <w:pPr>
        <w:pStyle w:val="3"/>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2026年6月第二批小器械采购项目</w:t>
      </w:r>
      <w:bookmarkStart w:id="2" w:name="_GoBack"/>
      <w:bookmarkEnd w:id="2"/>
    </w:p>
    <w:p w14:paraId="6C09B26D">
      <w:pPr>
        <w:numPr>
          <w:ilvl w:val="-1"/>
          <w:numId w:val="0"/>
        </w:numPr>
        <w:spacing w:line="360" w:lineRule="auto"/>
        <w:rPr>
          <w:rFonts w:hint="default"/>
          <w:lang w:val="en-US" w:eastAsia="zh-CN"/>
        </w:rPr>
      </w:pPr>
      <w:r>
        <w:rPr>
          <w:rFonts w:hint="eastAsia" w:cs="Times New Roman"/>
          <w:b/>
          <w:color w:val="000000"/>
          <w:sz w:val="28"/>
          <w:szCs w:val="22"/>
          <w:highlight w:val="none"/>
          <w:lang w:val="en-US" w:eastAsia="zh-CN"/>
        </w:rPr>
        <w:t>二、项目编号：</w:t>
      </w:r>
      <w:r>
        <w:rPr>
          <w:rFonts w:hint="eastAsia" w:ascii="Times New Roman" w:hAnsi="Times New Roman" w:cs="Times New Roman"/>
          <w:b/>
          <w:bCs w:val="0"/>
          <w:color w:val="000000"/>
          <w:sz w:val="28"/>
          <w:szCs w:val="22"/>
          <w:highlight w:val="none"/>
          <w:shd w:val="clear"/>
        </w:rPr>
        <w:t>PYCG-</w:t>
      </w:r>
      <w:r>
        <w:rPr>
          <w:rFonts w:hint="eastAsia" w:ascii="Times New Roman" w:hAnsi="Times New Roman" w:cs="Times New Roman"/>
          <w:b/>
          <w:bCs w:val="0"/>
          <w:color w:val="000000"/>
          <w:sz w:val="28"/>
          <w:szCs w:val="22"/>
          <w:highlight w:val="none"/>
          <w:shd w:val="clear"/>
          <w:lang w:val="en-US" w:eastAsia="zh-CN"/>
        </w:rPr>
        <w:t>SB</w:t>
      </w:r>
      <w:r>
        <w:rPr>
          <w:rFonts w:hint="eastAsia" w:ascii="Times New Roman" w:hAnsi="Times New Roman" w:cs="Times New Roman"/>
          <w:b/>
          <w:bCs w:val="0"/>
          <w:color w:val="000000"/>
          <w:sz w:val="28"/>
          <w:szCs w:val="22"/>
          <w:highlight w:val="none"/>
          <w:shd w:val="clear"/>
        </w:rPr>
        <w:t>-20260</w:t>
      </w:r>
      <w:r>
        <w:rPr>
          <w:rFonts w:hint="eastAsia" w:cs="Times New Roman"/>
          <w:b/>
          <w:bCs w:val="0"/>
          <w:color w:val="000000"/>
          <w:sz w:val="28"/>
          <w:szCs w:val="22"/>
          <w:highlight w:val="none"/>
          <w:shd w:val="clear"/>
          <w:lang w:val="en-US" w:eastAsia="zh-CN"/>
        </w:rPr>
        <w:t>6</w:t>
      </w:r>
      <w:r>
        <w:rPr>
          <w:rFonts w:hint="eastAsia" w:ascii="Times New Roman" w:hAnsi="Times New Roman" w:cs="Times New Roman"/>
          <w:b/>
          <w:bCs w:val="0"/>
          <w:color w:val="000000"/>
          <w:sz w:val="28"/>
          <w:szCs w:val="22"/>
          <w:highlight w:val="none"/>
          <w:shd w:val="clear"/>
        </w:rPr>
        <w:t>-</w:t>
      </w:r>
      <w:r>
        <w:rPr>
          <w:rFonts w:hint="eastAsia" w:ascii="Times New Roman" w:hAnsi="Times New Roman" w:cs="Times New Roman"/>
          <w:b/>
          <w:bCs w:val="0"/>
          <w:color w:val="000000"/>
          <w:sz w:val="28"/>
          <w:szCs w:val="22"/>
          <w:highlight w:val="none"/>
          <w:shd w:val="clear"/>
          <w:lang w:val="en-US" w:eastAsia="zh-CN"/>
        </w:rPr>
        <w:t>0</w:t>
      </w:r>
      <w:r>
        <w:rPr>
          <w:rFonts w:hint="eastAsia" w:cs="Times New Roman"/>
          <w:b/>
          <w:bCs w:val="0"/>
          <w:color w:val="000000"/>
          <w:sz w:val="28"/>
          <w:szCs w:val="22"/>
          <w:highlight w:val="none"/>
          <w:shd w:val="clear"/>
          <w:lang w:val="en-US" w:eastAsia="zh-CN"/>
        </w:rPr>
        <w:t>9</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三、采购内容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2450" w:type="dxa"/>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输液架</w:t>
            </w:r>
          </w:p>
        </w:tc>
        <w:tc>
          <w:tcPr>
            <w:tcW w:w="616" w:type="dxa"/>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2</w:t>
            </w:r>
          </w:p>
        </w:tc>
        <w:tc>
          <w:tcPr>
            <w:tcW w:w="629" w:type="dxa"/>
            <w:noWrap w:val="0"/>
            <w:vAlign w:val="center"/>
          </w:tcPr>
          <w:p w14:paraId="325FDE8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台</w:t>
            </w:r>
          </w:p>
        </w:tc>
        <w:tc>
          <w:tcPr>
            <w:tcW w:w="1012" w:type="dxa"/>
            <w:noWrap w:val="0"/>
            <w:vAlign w:val="center"/>
          </w:tcPr>
          <w:p w14:paraId="0608874E">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240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480</w:t>
            </w:r>
          </w:p>
        </w:tc>
        <w:tc>
          <w:tcPr>
            <w:tcW w:w="1723" w:type="dxa"/>
            <w:noWrap w:val="0"/>
            <w:vAlign w:val="center"/>
          </w:tcPr>
          <w:p w14:paraId="5418F41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配：不锈钢五角底座、泵盘、扶手、篮筐</w:t>
            </w:r>
          </w:p>
        </w:tc>
      </w:tr>
      <w:tr w14:paraId="38D5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625FFE56">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2450" w:type="dxa"/>
            <w:noWrap w:val="0"/>
            <w:vAlign w:val="center"/>
          </w:tcPr>
          <w:p w14:paraId="7F8F0393">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足部防压疮保护套</w:t>
            </w:r>
          </w:p>
        </w:tc>
        <w:tc>
          <w:tcPr>
            <w:tcW w:w="616" w:type="dxa"/>
            <w:noWrap w:val="0"/>
            <w:vAlign w:val="center"/>
          </w:tcPr>
          <w:p w14:paraId="3BCB00DD">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4</w:t>
            </w:r>
          </w:p>
        </w:tc>
        <w:tc>
          <w:tcPr>
            <w:tcW w:w="629" w:type="dxa"/>
            <w:noWrap w:val="0"/>
            <w:vAlign w:val="center"/>
          </w:tcPr>
          <w:p w14:paraId="259D6F69">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12" w:type="dxa"/>
            <w:noWrap w:val="0"/>
            <w:vAlign w:val="center"/>
          </w:tcPr>
          <w:p w14:paraId="1AC5FF54">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60</w:t>
            </w:r>
          </w:p>
        </w:tc>
        <w:tc>
          <w:tcPr>
            <w:tcW w:w="657" w:type="pct"/>
            <w:noWrap w:val="0"/>
            <w:vAlign w:val="center"/>
          </w:tcPr>
          <w:p w14:paraId="63F05E95">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240</w:t>
            </w:r>
          </w:p>
        </w:tc>
        <w:tc>
          <w:tcPr>
            <w:tcW w:w="1723" w:type="dxa"/>
            <w:noWrap w:val="0"/>
            <w:vAlign w:val="center"/>
          </w:tcPr>
          <w:p w14:paraId="45FBEF17">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cs="Tahoma"/>
                <w:color w:val="000000"/>
                <w:kern w:val="28"/>
                <w:sz w:val="21"/>
                <w:szCs w:val="21"/>
                <w:highlight w:val="none"/>
                <w:lang w:val="en-US" w:eastAsia="zh-CN"/>
              </w:rPr>
              <w:t>L码</w:t>
            </w:r>
          </w:p>
        </w:tc>
      </w:tr>
      <w:tr w14:paraId="2794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2F6850E1">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2450" w:type="dxa"/>
            <w:noWrap w:val="0"/>
            <w:vAlign w:val="center"/>
          </w:tcPr>
          <w:p w14:paraId="5FEB8F28">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动脉监测导联线</w:t>
            </w:r>
          </w:p>
        </w:tc>
        <w:tc>
          <w:tcPr>
            <w:tcW w:w="616" w:type="dxa"/>
            <w:noWrap w:val="0"/>
            <w:vAlign w:val="center"/>
          </w:tcPr>
          <w:p w14:paraId="078D8CC6">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29" w:type="dxa"/>
            <w:noWrap w:val="0"/>
            <w:vAlign w:val="center"/>
          </w:tcPr>
          <w:p w14:paraId="371F19A9">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条</w:t>
            </w:r>
          </w:p>
        </w:tc>
        <w:tc>
          <w:tcPr>
            <w:tcW w:w="1012" w:type="dxa"/>
            <w:noWrap w:val="0"/>
            <w:vAlign w:val="center"/>
          </w:tcPr>
          <w:p w14:paraId="5DDF3FD5">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c>
          <w:tcPr>
            <w:tcW w:w="657" w:type="pct"/>
            <w:noWrap w:val="0"/>
            <w:vAlign w:val="center"/>
          </w:tcPr>
          <w:p w14:paraId="1662EA00">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500</w:t>
            </w:r>
          </w:p>
        </w:tc>
        <w:tc>
          <w:tcPr>
            <w:tcW w:w="1723" w:type="dxa"/>
            <w:noWrap w:val="0"/>
            <w:vAlign w:val="center"/>
          </w:tcPr>
          <w:p w14:paraId="63BA5D55">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适配飞利浦</w:t>
            </w:r>
          </w:p>
        </w:tc>
      </w:tr>
      <w:tr w14:paraId="7994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0ADDFCD8">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2450" w:type="dxa"/>
            <w:noWrap w:val="0"/>
            <w:vAlign w:val="center"/>
          </w:tcPr>
          <w:p w14:paraId="21A85F56">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海绵俯卧体位垫</w:t>
            </w:r>
          </w:p>
        </w:tc>
        <w:tc>
          <w:tcPr>
            <w:tcW w:w="616" w:type="dxa"/>
            <w:noWrap w:val="0"/>
            <w:vAlign w:val="center"/>
          </w:tcPr>
          <w:p w14:paraId="089CF1E3">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29" w:type="dxa"/>
            <w:noWrap w:val="0"/>
            <w:vAlign w:val="center"/>
          </w:tcPr>
          <w:p w14:paraId="1F78E8AC">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12" w:type="dxa"/>
            <w:noWrap w:val="0"/>
            <w:vAlign w:val="center"/>
          </w:tcPr>
          <w:p w14:paraId="229DCBB3">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600</w:t>
            </w:r>
          </w:p>
        </w:tc>
        <w:tc>
          <w:tcPr>
            <w:tcW w:w="657" w:type="pct"/>
            <w:noWrap w:val="0"/>
            <w:vAlign w:val="center"/>
          </w:tcPr>
          <w:p w14:paraId="0E74639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600</w:t>
            </w:r>
          </w:p>
        </w:tc>
        <w:tc>
          <w:tcPr>
            <w:tcW w:w="1723" w:type="dxa"/>
            <w:noWrap w:val="0"/>
            <w:vAlign w:val="center"/>
          </w:tcPr>
          <w:p w14:paraId="71FF812B">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62*46*12</w:t>
            </w:r>
          </w:p>
        </w:tc>
      </w:tr>
      <w:tr w14:paraId="37EE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1E2E33CA">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2450" w:type="dxa"/>
            <w:noWrap w:val="0"/>
            <w:vAlign w:val="center"/>
          </w:tcPr>
          <w:p w14:paraId="15B4B3D9">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电子血压计</w:t>
            </w:r>
          </w:p>
        </w:tc>
        <w:tc>
          <w:tcPr>
            <w:tcW w:w="616" w:type="dxa"/>
            <w:noWrap w:val="0"/>
            <w:vAlign w:val="center"/>
          </w:tcPr>
          <w:p w14:paraId="6E5A93AE">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629" w:type="dxa"/>
            <w:noWrap w:val="0"/>
            <w:vAlign w:val="center"/>
          </w:tcPr>
          <w:p w14:paraId="61D7F95F">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台</w:t>
            </w:r>
          </w:p>
        </w:tc>
        <w:tc>
          <w:tcPr>
            <w:tcW w:w="1012" w:type="dxa"/>
            <w:noWrap w:val="0"/>
            <w:vAlign w:val="center"/>
          </w:tcPr>
          <w:p w14:paraId="4B4C2E9C">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300</w:t>
            </w:r>
          </w:p>
        </w:tc>
        <w:tc>
          <w:tcPr>
            <w:tcW w:w="657" w:type="pct"/>
            <w:noWrap w:val="0"/>
            <w:vAlign w:val="center"/>
          </w:tcPr>
          <w:p w14:paraId="29617EBF">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1723" w:type="dxa"/>
            <w:noWrap w:val="0"/>
            <w:vAlign w:val="center"/>
          </w:tcPr>
          <w:p w14:paraId="676D0C43">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儿童款</w:t>
            </w:r>
          </w:p>
        </w:tc>
      </w:tr>
      <w:tr w14:paraId="7A1D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254C7302">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2450" w:type="dxa"/>
            <w:noWrap w:val="0"/>
            <w:vAlign w:val="center"/>
          </w:tcPr>
          <w:p w14:paraId="28D810FA">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血压计袖带</w:t>
            </w:r>
          </w:p>
        </w:tc>
        <w:tc>
          <w:tcPr>
            <w:tcW w:w="616" w:type="dxa"/>
            <w:noWrap w:val="0"/>
            <w:vAlign w:val="center"/>
          </w:tcPr>
          <w:p w14:paraId="7A54E7DB">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5</w:t>
            </w:r>
          </w:p>
        </w:tc>
        <w:tc>
          <w:tcPr>
            <w:tcW w:w="629" w:type="dxa"/>
            <w:noWrap w:val="0"/>
            <w:vAlign w:val="center"/>
          </w:tcPr>
          <w:p w14:paraId="0701D85F">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个</w:t>
            </w:r>
          </w:p>
        </w:tc>
        <w:tc>
          <w:tcPr>
            <w:tcW w:w="1012" w:type="dxa"/>
            <w:noWrap w:val="0"/>
            <w:vAlign w:val="center"/>
          </w:tcPr>
          <w:p w14:paraId="6FD956E8">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78</w:t>
            </w:r>
          </w:p>
        </w:tc>
        <w:tc>
          <w:tcPr>
            <w:tcW w:w="657" w:type="pct"/>
            <w:noWrap w:val="0"/>
            <w:vAlign w:val="center"/>
          </w:tcPr>
          <w:p w14:paraId="3BB27231">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390</w:t>
            </w:r>
          </w:p>
        </w:tc>
        <w:tc>
          <w:tcPr>
            <w:tcW w:w="1723" w:type="dxa"/>
            <w:noWrap w:val="0"/>
            <w:vAlign w:val="center"/>
          </w:tcPr>
          <w:p w14:paraId="35FB2DB8">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适用血压计</w:t>
            </w:r>
          </w:p>
        </w:tc>
      </w:tr>
      <w:tr w14:paraId="073C7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78620932">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w:t>
            </w:r>
          </w:p>
        </w:tc>
        <w:tc>
          <w:tcPr>
            <w:tcW w:w="2450" w:type="dxa"/>
            <w:noWrap w:val="0"/>
            <w:vAlign w:val="center"/>
          </w:tcPr>
          <w:p w14:paraId="0685B078">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心电导联线</w:t>
            </w:r>
          </w:p>
        </w:tc>
        <w:tc>
          <w:tcPr>
            <w:tcW w:w="616" w:type="dxa"/>
            <w:noWrap w:val="0"/>
            <w:vAlign w:val="center"/>
          </w:tcPr>
          <w:p w14:paraId="79A52528">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2</w:t>
            </w:r>
          </w:p>
        </w:tc>
        <w:tc>
          <w:tcPr>
            <w:tcW w:w="629" w:type="dxa"/>
            <w:noWrap w:val="0"/>
            <w:vAlign w:val="center"/>
          </w:tcPr>
          <w:p w14:paraId="7863DE09">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条</w:t>
            </w:r>
          </w:p>
        </w:tc>
        <w:tc>
          <w:tcPr>
            <w:tcW w:w="1012" w:type="dxa"/>
            <w:noWrap w:val="0"/>
            <w:vAlign w:val="center"/>
          </w:tcPr>
          <w:p w14:paraId="054CA766">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390</w:t>
            </w:r>
          </w:p>
        </w:tc>
        <w:tc>
          <w:tcPr>
            <w:tcW w:w="657" w:type="pct"/>
            <w:noWrap w:val="0"/>
            <w:vAlign w:val="center"/>
          </w:tcPr>
          <w:p w14:paraId="06C5D7C8">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780</w:t>
            </w:r>
          </w:p>
        </w:tc>
        <w:tc>
          <w:tcPr>
            <w:tcW w:w="1723" w:type="dxa"/>
            <w:noWrap w:val="0"/>
            <w:vAlign w:val="center"/>
          </w:tcPr>
          <w:p w14:paraId="56336BA1">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适用宝莱特Q7</w:t>
            </w:r>
          </w:p>
        </w:tc>
      </w:tr>
      <w:tr w14:paraId="6246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54BEEC31">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8</w:t>
            </w:r>
          </w:p>
        </w:tc>
        <w:tc>
          <w:tcPr>
            <w:tcW w:w="2450" w:type="dxa"/>
            <w:noWrap w:val="0"/>
            <w:vAlign w:val="center"/>
          </w:tcPr>
          <w:p w14:paraId="6830D7BA">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心电导联线</w:t>
            </w:r>
          </w:p>
        </w:tc>
        <w:tc>
          <w:tcPr>
            <w:tcW w:w="616" w:type="dxa"/>
            <w:noWrap w:val="0"/>
            <w:vAlign w:val="center"/>
          </w:tcPr>
          <w:p w14:paraId="053EA77A">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629" w:type="dxa"/>
            <w:noWrap w:val="0"/>
            <w:vAlign w:val="center"/>
          </w:tcPr>
          <w:p w14:paraId="156F7B15">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12" w:type="dxa"/>
            <w:noWrap w:val="0"/>
            <w:vAlign w:val="center"/>
          </w:tcPr>
          <w:p w14:paraId="4F663C00">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200</w:t>
            </w:r>
          </w:p>
        </w:tc>
        <w:tc>
          <w:tcPr>
            <w:tcW w:w="657" w:type="pct"/>
            <w:noWrap w:val="0"/>
            <w:vAlign w:val="center"/>
          </w:tcPr>
          <w:p w14:paraId="1802DDB1">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1723" w:type="dxa"/>
            <w:noWrap w:val="0"/>
            <w:vAlign w:val="center"/>
          </w:tcPr>
          <w:p w14:paraId="77A11FCA">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适用迈瑞BeneVision N12C</w:t>
            </w:r>
          </w:p>
        </w:tc>
      </w:tr>
      <w:tr w14:paraId="58BF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5616B60F">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w:t>
            </w:r>
          </w:p>
        </w:tc>
        <w:tc>
          <w:tcPr>
            <w:tcW w:w="2450" w:type="dxa"/>
            <w:noWrap w:val="0"/>
            <w:vAlign w:val="center"/>
          </w:tcPr>
          <w:p w14:paraId="608B0A39">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雾化氧气头（氧气吸入器）</w:t>
            </w:r>
          </w:p>
        </w:tc>
        <w:tc>
          <w:tcPr>
            <w:tcW w:w="616" w:type="dxa"/>
            <w:noWrap w:val="0"/>
            <w:vAlign w:val="center"/>
          </w:tcPr>
          <w:p w14:paraId="2C09D0C9">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8</w:t>
            </w:r>
          </w:p>
        </w:tc>
        <w:tc>
          <w:tcPr>
            <w:tcW w:w="629" w:type="dxa"/>
            <w:noWrap w:val="0"/>
            <w:vAlign w:val="center"/>
          </w:tcPr>
          <w:p w14:paraId="32D3069D">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08" w:type="pct"/>
            <w:noWrap w:val="0"/>
            <w:vAlign w:val="center"/>
          </w:tcPr>
          <w:p w14:paraId="2856CC7B">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95</w:t>
            </w:r>
          </w:p>
        </w:tc>
        <w:tc>
          <w:tcPr>
            <w:tcW w:w="657" w:type="pct"/>
            <w:noWrap w:val="0"/>
            <w:vAlign w:val="center"/>
          </w:tcPr>
          <w:p w14:paraId="2182D208">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760</w:t>
            </w:r>
          </w:p>
        </w:tc>
        <w:tc>
          <w:tcPr>
            <w:tcW w:w="1723" w:type="dxa"/>
            <w:noWrap w:val="0"/>
            <w:vAlign w:val="center"/>
          </w:tcPr>
          <w:p w14:paraId="7BCE0F9B">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国标</w:t>
            </w:r>
          </w:p>
        </w:tc>
      </w:tr>
      <w:tr w14:paraId="671C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52FE47C8">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2450" w:type="dxa"/>
            <w:noWrap w:val="0"/>
            <w:vAlign w:val="center"/>
          </w:tcPr>
          <w:p w14:paraId="6889A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血压袖带</w:t>
            </w:r>
          </w:p>
        </w:tc>
        <w:tc>
          <w:tcPr>
            <w:tcW w:w="616" w:type="dxa"/>
            <w:noWrap w:val="0"/>
            <w:vAlign w:val="center"/>
          </w:tcPr>
          <w:p w14:paraId="16A0EC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629" w:type="dxa"/>
            <w:noWrap w:val="0"/>
            <w:vAlign w:val="center"/>
          </w:tcPr>
          <w:p w14:paraId="5991A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08" w:type="pct"/>
            <w:noWrap w:val="0"/>
            <w:vAlign w:val="center"/>
          </w:tcPr>
          <w:p w14:paraId="3CA1B05B">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78</w:t>
            </w:r>
          </w:p>
        </w:tc>
        <w:tc>
          <w:tcPr>
            <w:tcW w:w="657" w:type="pct"/>
            <w:noWrap w:val="0"/>
            <w:vAlign w:val="center"/>
          </w:tcPr>
          <w:p w14:paraId="190EE609">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234</w:t>
            </w:r>
          </w:p>
        </w:tc>
        <w:tc>
          <w:tcPr>
            <w:tcW w:w="1723" w:type="dxa"/>
            <w:noWrap w:val="0"/>
            <w:vAlign w:val="center"/>
          </w:tcPr>
          <w:p w14:paraId="59101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适用监护仪</w:t>
            </w:r>
          </w:p>
        </w:tc>
      </w:tr>
      <w:tr w14:paraId="3B83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02680ED1">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11</w:t>
            </w:r>
          </w:p>
        </w:tc>
        <w:tc>
          <w:tcPr>
            <w:tcW w:w="2450" w:type="dxa"/>
            <w:noWrap w:val="0"/>
            <w:vAlign w:val="center"/>
          </w:tcPr>
          <w:p w14:paraId="29C748E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气垫床</w:t>
            </w:r>
          </w:p>
        </w:tc>
        <w:tc>
          <w:tcPr>
            <w:tcW w:w="616" w:type="dxa"/>
            <w:noWrap w:val="0"/>
            <w:vAlign w:val="center"/>
          </w:tcPr>
          <w:p w14:paraId="6C68A7F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629" w:type="dxa"/>
            <w:noWrap w:val="0"/>
            <w:vAlign w:val="center"/>
          </w:tcPr>
          <w:p w14:paraId="2EB9690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张</w:t>
            </w:r>
          </w:p>
        </w:tc>
        <w:tc>
          <w:tcPr>
            <w:tcW w:w="608" w:type="pct"/>
            <w:noWrap w:val="0"/>
            <w:vAlign w:val="center"/>
          </w:tcPr>
          <w:p w14:paraId="1C369372">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800</w:t>
            </w:r>
          </w:p>
        </w:tc>
        <w:tc>
          <w:tcPr>
            <w:tcW w:w="657" w:type="pct"/>
            <w:noWrap w:val="0"/>
            <w:vAlign w:val="center"/>
          </w:tcPr>
          <w:p w14:paraId="5A972714">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4000</w:t>
            </w:r>
          </w:p>
        </w:tc>
        <w:tc>
          <w:tcPr>
            <w:tcW w:w="1723" w:type="dxa"/>
            <w:noWrap w:val="0"/>
            <w:vAlign w:val="center"/>
          </w:tcPr>
          <w:p w14:paraId="7A6FE9E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无</w:t>
            </w:r>
          </w:p>
        </w:tc>
      </w:tr>
      <w:tr w14:paraId="28DE3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6634CE9D">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12</w:t>
            </w:r>
          </w:p>
        </w:tc>
        <w:tc>
          <w:tcPr>
            <w:tcW w:w="2450" w:type="dxa"/>
            <w:noWrap w:val="0"/>
            <w:vAlign w:val="center"/>
          </w:tcPr>
          <w:p w14:paraId="4A65042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听诊器</w:t>
            </w:r>
          </w:p>
        </w:tc>
        <w:tc>
          <w:tcPr>
            <w:tcW w:w="616" w:type="dxa"/>
            <w:noWrap w:val="0"/>
            <w:vAlign w:val="center"/>
          </w:tcPr>
          <w:p w14:paraId="74661A7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629" w:type="dxa"/>
            <w:noWrap w:val="0"/>
            <w:vAlign w:val="center"/>
          </w:tcPr>
          <w:p w14:paraId="0C0AF4F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08" w:type="pct"/>
            <w:noWrap w:val="0"/>
            <w:vAlign w:val="center"/>
          </w:tcPr>
          <w:p w14:paraId="5B7EC297">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28</w:t>
            </w:r>
          </w:p>
        </w:tc>
        <w:tc>
          <w:tcPr>
            <w:tcW w:w="657" w:type="pct"/>
            <w:noWrap w:val="0"/>
            <w:vAlign w:val="center"/>
          </w:tcPr>
          <w:p w14:paraId="0FAC125A">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112</w:t>
            </w:r>
          </w:p>
        </w:tc>
        <w:tc>
          <w:tcPr>
            <w:tcW w:w="1723" w:type="dxa"/>
            <w:noWrap w:val="0"/>
            <w:vAlign w:val="center"/>
          </w:tcPr>
          <w:p w14:paraId="6D8FFA9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无</w:t>
            </w:r>
          </w:p>
        </w:tc>
      </w:tr>
      <w:tr w14:paraId="73C2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676C596A">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13</w:t>
            </w:r>
          </w:p>
        </w:tc>
        <w:tc>
          <w:tcPr>
            <w:tcW w:w="2450" w:type="dxa"/>
            <w:noWrap w:val="0"/>
            <w:vAlign w:val="center"/>
          </w:tcPr>
          <w:p w14:paraId="6399CF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电子血压计</w:t>
            </w:r>
          </w:p>
        </w:tc>
        <w:tc>
          <w:tcPr>
            <w:tcW w:w="616" w:type="dxa"/>
            <w:noWrap w:val="0"/>
            <w:vAlign w:val="center"/>
          </w:tcPr>
          <w:p w14:paraId="6747E5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29" w:type="dxa"/>
            <w:noWrap w:val="0"/>
            <w:vAlign w:val="center"/>
          </w:tcPr>
          <w:p w14:paraId="4865FBD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08" w:type="pct"/>
            <w:noWrap w:val="0"/>
            <w:vAlign w:val="center"/>
          </w:tcPr>
          <w:p w14:paraId="046E1F8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657" w:type="pct"/>
            <w:noWrap w:val="0"/>
            <w:vAlign w:val="center"/>
          </w:tcPr>
          <w:p w14:paraId="6179AB4F">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400</w:t>
            </w:r>
          </w:p>
        </w:tc>
        <w:tc>
          <w:tcPr>
            <w:tcW w:w="1723" w:type="dxa"/>
            <w:noWrap w:val="0"/>
            <w:vAlign w:val="center"/>
          </w:tcPr>
          <w:p w14:paraId="1B3523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成人款</w:t>
            </w:r>
          </w:p>
        </w:tc>
      </w:tr>
    </w:tbl>
    <w:p w14:paraId="66C3CDC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所投设备如属于医疗器械设备，需提供有效的医疗器械注册证或备案证明（提供证明材料复印件加盖公章），所投设备必须是在医疗器械注册证或备案证明有效期内生产的产品。不属于医疗器械设备无须提供。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3个月</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589F8"/>
    <w:multiLevelType w:val="singleLevel"/>
    <w:tmpl w:val="5DF589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4B3BA3"/>
    <w:rsid w:val="31F84007"/>
    <w:rsid w:val="31FA1A73"/>
    <w:rsid w:val="323104BA"/>
    <w:rsid w:val="32582CF8"/>
    <w:rsid w:val="32A61EBA"/>
    <w:rsid w:val="32ED1692"/>
    <w:rsid w:val="33122EA7"/>
    <w:rsid w:val="33A1422B"/>
    <w:rsid w:val="33A87367"/>
    <w:rsid w:val="33EB08E8"/>
    <w:rsid w:val="342C5AFE"/>
    <w:rsid w:val="34360E17"/>
    <w:rsid w:val="34BC4D3F"/>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A45277"/>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DB66CC1"/>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6A202B"/>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DB33AC"/>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5EE7D5E"/>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097778"/>
    <w:rsid w:val="72135D18"/>
    <w:rsid w:val="7214383E"/>
    <w:rsid w:val="725D6F93"/>
    <w:rsid w:val="72621BD1"/>
    <w:rsid w:val="72D1785E"/>
    <w:rsid w:val="736B748E"/>
    <w:rsid w:val="73942E89"/>
    <w:rsid w:val="73B34EF3"/>
    <w:rsid w:val="73B61A65"/>
    <w:rsid w:val="73CF2113"/>
    <w:rsid w:val="740A6037"/>
    <w:rsid w:val="746803C6"/>
    <w:rsid w:val="746C5BB4"/>
    <w:rsid w:val="7482736A"/>
    <w:rsid w:val="74B35591"/>
    <w:rsid w:val="74E56917"/>
    <w:rsid w:val="74F11C15"/>
    <w:rsid w:val="74F12AFB"/>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886D09"/>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1690</Words>
  <Characters>1775</Characters>
  <Lines>0</Lines>
  <Paragraphs>0</Paragraphs>
  <TotalTime>2</TotalTime>
  <ScaleCrop>false</ScaleCrop>
  <LinksUpToDate>false</LinksUpToDate>
  <CharactersWithSpaces>1920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2026-06-12T09:31:16Z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F75BAA25E8BC4DD4880AE3C9F5B499B8_13</vt:lpwstr>
  </property>
  <property fmtid="{D5CDD505-2E9C-101B-9397-08002B2CF9AE}" pid="4" name="KSOTemplateDocerSaveRecord">
    <vt:lpwstr>eyJoZGlkIjoiZDZhMmUyNGNkNjFmMDg5OTBkMGE5NzVmMzUyMDY2ZWUifQ==</vt:lpwstr>
  </property>
</Properties>
</file>