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361" w:firstLineChars="100"/>
        <w:jc w:val="center"/>
        <w:rPr>
          <w:rFonts w:hint="eastAsia" w:ascii="Times New Roman" w:hAnsi="Times New Roman" w:eastAsia="宋体" w:cs="Times New Roman"/>
          <w:b/>
          <w:bCs/>
          <w:color w:val="000000"/>
          <w:sz w:val="36"/>
          <w:szCs w:val="36"/>
          <w:highlight w:val="none"/>
          <w:lang w:val="en-US" w:eastAsia="zh-CN"/>
        </w:rPr>
      </w:pPr>
      <w:r>
        <w:rPr>
          <w:rFonts w:hint="eastAsia" w:ascii="Times New Roman" w:hAnsi="Times New Roman" w:eastAsia="宋体" w:cs="Times New Roman"/>
          <w:b/>
          <w:bCs/>
          <w:color w:val="000000"/>
          <w:sz w:val="36"/>
          <w:szCs w:val="36"/>
          <w:highlight w:val="none"/>
          <w:lang w:val="en-US" w:eastAsia="zh-CN"/>
        </w:rPr>
        <w:t>中山市黄圃人民医院制剂科无油空气压缩机及真空泵采购项目合同</w:t>
      </w:r>
    </w:p>
    <w:p>
      <w:pPr>
        <w:spacing w:line="360" w:lineRule="auto"/>
        <w:rPr>
          <w:rFonts w:hint="eastAsia" w:asciiTheme="minorEastAsia" w:hAnsiTheme="minorEastAsia" w:eastAsiaTheme="minorEastAsia" w:cstheme="minorEastAsia"/>
          <w:b/>
          <w:bCs/>
          <w:sz w:val="24"/>
          <w:szCs w:val="24"/>
          <w:lang w:eastAsia="zh-CN"/>
        </w:rPr>
      </w:pP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甲方：中山市黄圃人民医院</w:t>
      </w:r>
    </w:p>
    <w:p>
      <w:pPr>
        <w:pStyle w:val="3"/>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乙方：</w:t>
      </w:r>
    </w:p>
    <w:p>
      <w:pPr>
        <w:spacing w:line="240" w:lineRule="auto"/>
        <w:ind w:firstLine="480" w:firstLineChars="200"/>
        <w:rPr>
          <w:rFonts w:hint="eastAsia" w:asciiTheme="minorEastAsia" w:hAnsiTheme="minorEastAsia" w:eastAsiaTheme="minorEastAsia" w:cstheme="minorEastAsia"/>
          <w:sz w:val="24"/>
          <w:szCs w:val="24"/>
        </w:rPr>
      </w:pPr>
    </w:p>
    <w:p>
      <w:pPr>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按照《中华人民共和国民法典》等的规定，双方经过友好协商，现就中山市黄圃人民医院</w:t>
      </w:r>
      <w:r>
        <w:rPr>
          <w:rFonts w:hint="eastAsia" w:asciiTheme="minorEastAsia" w:hAnsiTheme="minorEastAsia" w:eastAsiaTheme="minorEastAsia" w:cstheme="minorEastAsia"/>
          <w:sz w:val="24"/>
          <w:szCs w:val="24"/>
          <w:lang w:val="en-US" w:eastAsia="zh-CN"/>
        </w:rPr>
        <w:t>制剂科</w:t>
      </w:r>
      <w:r>
        <w:rPr>
          <w:rFonts w:hint="eastAsia" w:ascii="Times New Roman" w:hAnsi="Times New Roman" w:eastAsia="宋体" w:cs="Times New Roman"/>
          <w:color w:val="000000"/>
          <w:sz w:val="24"/>
          <w:szCs w:val="24"/>
          <w:highlight w:val="none"/>
          <w:u w:val="none"/>
          <w:lang w:val="en-US" w:eastAsia="zh-CN"/>
        </w:rPr>
        <w:t>无油空气压缩机及真空泵</w:t>
      </w:r>
      <w:r>
        <w:rPr>
          <w:rFonts w:hint="eastAsia" w:asciiTheme="minorEastAsia" w:hAnsiTheme="minorEastAsia" w:eastAsiaTheme="minorEastAsia" w:cstheme="minorEastAsia"/>
          <w:sz w:val="24"/>
          <w:szCs w:val="24"/>
        </w:rPr>
        <w:t>采购项目达成如下协议：</w:t>
      </w:r>
    </w:p>
    <w:p>
      <w:pPr>
        <w:pStyle w:val="2"/>
        <w:rPr>
          <w:rFonts w:hint="eastAsia"/>
        </w:rPr>
      </w:pPr>
    </w:p>
    <w:p>
      <w:pPr>
        <w:numPr>
          <w:ilvl w:val="0"/>
          <w:numId w:val="0"/>
        </w:numPr>
        <w:tabs>
          <w:tab w:val="left" w:pos="855"/>
        </w:tabs>
        <w:spacing w:line="24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2"/>
          <w:sz w:val="24"/>
          <w:szCs w:val="24"/>
          <w:lang w:eastAsia="zh-CN" w:bidi="ar"/>
        </w:rPr>
        <w:t>一、</w:t>
      </w:r>
      <w:r>
        <w:rPr>
          <w:rFonts w:hint="eastAsia" w:asciiTheme="minorEastAsia" w:hAnsiTheme="minorEastAsia" w:eastAsiaTheme="minorEastAsia" w:cstheme="minorEastAsia"/>
          <w:b/>
          <w:sz w:val="24"/>
          <w:szCs w:val="24"/>
          <w:lang w:eastAsia="zh-CN"/>
        </w:rPr>
        <w:t>产品名称、单价、数量、金额、品牌</w:t>
      </w:r>
    </w:p>
    <w:tbl>
      <w:tblPr>
        <w:tblStyle w:val="8"/>
        <w:tblpPr w:leftFromText="180" w:rightFromText="180" w:vertAnchor="text" w:horzAnchor="page" w:tblpX="1667" w:tblpY="1139"/>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2870"/>
        <w:gridCol w:w="665"/>
        <w:gridCol w:w="1116"/>
        <w:gridCol w:w="134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6" w:hRule="atLeast"/>
          <w:tblHeader/>
        </w:trPr>
        <w:tc>
          <w:tcPr>
            <w:tcW w:w="907"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序号</w:t>
            </w:r>
          </w:p>
        </w:tc>
        <w:tc>
          <w:tcPr>
            <w:tcW w:w="2870"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lang w:eastAsia="zh-CN"/>
              </w:rPr>
              <w:t>货物</w:t>
            </w:r>
            <w:r>
              <w:rPr>
                <w:rFonts w:hint="eastAsia" w:asciiTheme="minorEastAsia" w:hAnsiTheme="minorEastAsia" w:eastAsiaTheme="minorEastAsia" w:cstheme="minorEastAsia"/>
                <w:b/>
                <w:bCs/>
                <w:color w:val="auto"/>
                <w:sz w:val="18"/>
                <w:szCs w:val="18"/>
                <w:highlight w:val="none"/>
              </w:rPr>
              <w:t>名称</w:t>
            </w:r>
          </w:p>
        </w:tc>
        <w:tc>
          <w:tcPr>
            <w:tcW w:w="665"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单位</w:t>
            </w:r>
          </w:p>
        </w:tc>
        <w:tc>
          <w:tcPr>
            <w:tcW w:w="1116"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数量</w:t>
            </w:r>
          </w:p>
        </w:tc>
        <w:tc>
          <w:tcPr>
            <w:tcW w:w="1343"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b/>
                <w:bCs/>
                <w:color w:val="auto"/>
                <w:sz w:val="18"/>
                <w:szCs w:val="18"/>
                <w:highlight w:val="none"/>
                <w:lang w:eastAsia="zh-CN"/>
              </w:rPr>
            </w:pPr>
            <w:r>
              <w:rPr>
                <w:rFonts w:hint="eastAsia" w:asciiTheme="minorEastAsia" w:hAnsiTheme="minorEastAsia" w:eastAsiaTheme="minorEastAsia" w:cstheme="minorEastAsia"/>
                <w:b/>
                <w:bCs/>
                <w:color w:val="auto"/>
                <w:sz w:val="18"/>
                <w:szCs w:val="18"/>
                <w:highlight w:val="none"/>
                <w:lang w:eastAsia="zh-CN"/>
              </w:rPr>
              <w:t>单价</w:t>
            </w:r>
          </w:p>
          <w:p>
            <w:pPr>
              <w:pStyle w:val="10"/>
              <w:widowControl/>
              <w:jc w:val="center"/>
              <w:rPr>
                <w:rFonts w:hint="eastAsia" w:asciiTheme="minorEastAsia" w:hAnsiTheme="minorEastAsia" w:eastAsiaTheme="minorEastAsia" w:cstheme="minorEastAsia"/>
                <w:b/>
                <w:bCs/>
                <w:color w:val="auto"/>
                <w:sz w:val="18"/>
                <w:szCs w:val="18"/>
                <w:highlight w:val="none"/>
                <w:lang w:eastAsia="zh-CN"/>
              </w:rPr>
            </w:pPr>
            <w:r>
              <w:rPr>
                <w:rFonts w:hint="eastAsia" w:asciiTheme="minorEastAsia" w:hAnsiTheme="minorEastAsia" w:eastAsiaTheme="minorEastAsia" w:cstheme="minorEastAsia"/>
                <w:b/>
                <w:bCs/>
                <w:color w:val="auto"/>
                <w:sz w:val="18"/>
                <w:szCs w:val="18"/>
                <w:highlight w:val="none"/>
                <w:lang w:eastAsia="zh-CN"/>
              </w:rPr>
              <w:t>（元）</w:t>
            </w:r>
          </w:p>
        </w:tc>
        <w:tc>
          <w:tcPr>
            <w:tcW w:w="1659"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b/>
                <w:bCs/>
                <w:color w:val="auto"/>
                <w:sz w:val="18"/>
                <w:szCs w:val="18"/>
                <w:highlight w:val="none"/>
                <w:lang w:eastAsia="zh-CN"/>
              </w:rPr>
            </w:pPr>
            <w:r>
              <w:rPr>
                <w:rFonts w:hint="eastAsia" w:asciiTheme="minorEastAsia" w:hAnsiTheme="minorEastAsia" w:eastAsiaTheme="minorEastAsia" w:cstheme="minorEastAsia"/>
                <w:b/>
                <w:bCs/>
                <w:color w:val="auto"/>
                <w:sz w:val="18"/>
                <w:szCs w:val="18"/>
                <w:highlight w:val="none"/>
                <w:lang w:eastAsia="zh-CN"/>
              </w:rPr>
              <w:t>整机质保期（年）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3" w:hRule="atLeast"/>
        </w:trPr>
        <w:tc>
          <w:tcPr>
            <w:tcW w:w="907"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cstheme="minorEastAsia"/>
                <w:i w:val="0"/>
                <w:color w:val="000000"/>
                <w:kern w:val="0"/>
                <w:sz w:val="22"/>
                <w:szCs w:val="22"/>
                <w:u w:val="none"/>
                <w:lang w:val="en-US" w:eastAsia="zh-CN" w:bidi="ar"/>
              </w:rPr>
              <w:t>无油空气压</w:t>
            </w:r>
            <w:bookmarkStart w:id="0" w:name="_GoBack"/>
            <w:bookmarkEnd w:id="0"/>
            <w:r>
              <w:rPr>
                <w:rFonts w:hint="eastAsia" w:asciiTheme="minorEastAsia" w:hAnsiTheme="minorEastAsia" w:cstheme="minorEastAsia"/>
                <w:i w:val="0"/>
                <w:color w:val="000000"/>
                <w:kern w:val="0"/>
                <w:sz w:val="22"/>
                <w:szCs w:val="22"/>
                <w:u w:val="none"/>
                <w:lang w:val="en-US" w:eastAsia="zh-CN" w:bidi="ar"/>
              </w:rPr>
              <w:t>缩机</w:t>
            </w:r>
          </w:p>
        </w:tc>
        <w:tc>
          <w:tcPr>
            <w:tcW w:w="665"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台</w:t>
            </w:r>
          </w:p>
        </w:tc>
        <w:tc>
          <w:tcPr>
            <w:tcW w:w="1116"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343" w:type="dxa"/>
            <w:tcBorders>
              <w:top w:val="single" w:color="auto" w:sz="4" w:space="0"/>
              <w:left w:val="single" w:color="auto" w:sz="4" w:space="0"/>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b w:val="0"/>
                <w:bCs w:val="0"/>
                <w:sz w:val="22"/>
                <w:szCs w:val="22"/>
                <w:lang w:val="en-US" w:eastAsia="zh-CN"/>
              </w:rPr>
            </w:pPr>
          </w:p>
        </w:tc>
        <w:tc>
          <w:tcPr>
            <w:tcW w:w="1659" w:type="dxa"/>
            <w:tcBorders>
              <w:top w:val="single" w:color="auto" w:sz="4" w:space="0"/>
              <w:left w:val="single" w:color="auto" w:sz="4" w:space="0"/>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5" w:hRule="atLeast"/>
        </w:trPr>
        <w:tc>
          <w:tcPr>
            <w:tcW w:w="907"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cstheme="minorEastAsia"/>
                <w:i w:val="0"/>
                <w:color w:val="000000"/>
                <w:kern w:val="0"/>
                <w:sz w:val="22"/>
                <w:szCs w:val="22"/>
                <w:u w:val="none"/>
                <w:lang w:val="en-US" w:eastAsia="zh-CN" w:bidi="ar"/>
              </w:rPr>
              <w:t>真空泵</w:t>
            </w:r>
          </w:p>
        </w:tc>
        <w:tc>
          <w:tcPr>
            <w:tcW w:w="665"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台</w:t>
            </w:r>
          </w:p>
        </w:tc>
        <w:tc>
          <w:tcPr>
            <w:tcW w:w="1116"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343" w:type="dxa"/>
            <w:tcBorders>
              <w:top w:val="single" w:color="auto" w:sz="4" w:space="0"/>
              <w:left w:val="single" w:color="auto" w:sz="4" w:space="0"/>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b w:val="0"/>
                <w:bCs w:val="0"/>
                <w:sz w:val="22"/>
                <w:szCs w:val="22"/>
                <w:lang w:val="en-US" w:eastAsia="zh-CN"/>
              </w:rPr>
            </w:pPr>
          </w:p>
        </w:tc>
        <w:tc>
          <w:tcPr>
            <w:tcW w:w="1659" w:type="dxa"/>
            <w:tcBorders>
              <w:top w:val="single" w:color="auto" w:sz="4" w:space="0"/>
              <w:left w:val="single" w:color="auto" w:sz="4" w:space="0"/>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sz w:val="21"/>
                <w:szCs w:val="21"/>
                <w:lang w:val="en-US" w:eastAsia="zh-CN"/>
              </w:rPr>
            </w:pPr>
          </w:p>
        </w:tc>
      </w:tr>
    </w:tbl>
    <w:p>
      <w:pPr>
        <w:numPr>
          <w:ilvl w:val="0"/>
          <w:numId w:val="0"/>
        </w:numPr>
        <w:adjustRightInd w:val="0"/>
        <w:snapToGrid w:val="0"/>
        <w:spacing w:line="240" w:lineRule="auto"/>
        <w:rPr>
          <w:rFonts w:hint="eastAsia" w:asciiTheme="minorEastAsia" w:hAnsiTheme="minorEastAsia" w:eastAsiaTheme="minorEastAsia" w:cstheme="minorEastAsia"/>
          <w:b/>
          <w:color w:val="auto"/>
          <w:kern w:val="2"/>
          <w:sz w:val="24"/>
          <w:szCs w:val="24"/>
          <w:lang w:eastAsia="zh-CN" w:bidi="ar"/>
        </w:rPr>
      </w:pPr>
    </w:p>
    <w:p>
      <w:pPr>
        <w:numPr>
          <w:ilvl w:val="0"/>
          <w:numId w:val="0"/>
        </w:numPr>
        <w:adjustRightInd w:val="0"/>
        <w:snapToGrid w:val="0"/>
        <w:spacing w:line="240" w:lineRule="auto"/>
        <w:ind w:firstLine="482" w:firstLineChars="200"/>
        <w:rPr>
          <w:rFonts w:hint="eastAsia" w:asciiTheme="minorEastAsia" w:hAnsiTheme="minorEastAsia" w:eastAsiaTheme="minorEastAsia" w:cstheme="minorEastAsia"/>
          <w:b/>
          <w:color w:val="auto"/>
          <w:kern w:val="2"/>
          <w:sz w:val="24"/>
          <w:szCs w:val="24"/>
          <w:lang w:bidi="ar"/>
        </w:rPr>
      </w:pPr>
      <w:r>
        <w:rPr>
          <w:rFonts w:hint="eastAsia" w:asciiTheme="minorEastAsia" w:hAnsiTheme="minorEastAsia" w:eastAsiaTheme="minorEastAsia" w:cstheme="minorEastAsia"/>
          <w:b/>
          <w:color w:val="auto"/>
          <w:kern w:val="2"/>
          <w:sz w:val="24"/>
          <w:szCs w:val="24"/>
          <w:lang w:eastAsia="zh-CN" w:bidi="ar"/>
        </w:rPr>
        <w:t>二、</w:t>
      </w:r>
      <w:r>
        <w:rPr>
          <w:rFonts w:hint="eastAsia" w:asciiTheme="minorEastAsia" w:hAnsiTheme="minorEastAsia" w:eastAsiaTheme="minorEastAsia" w:cstheme="minorEastAsia"/>
          <w:b/>
          <w:color w:val="auto"/>
          <w:kern w:val="2"/>
          <w:sz w:val="24"/>
          <w:szCs w:val="24"/>
          <w:lang w:bidi="ar"/>
        </w:rPr>
        <w:t>合同金额</w:t>
      </w:r>
    </w:p>
    <w:p>
      <w:pPr>
        <w:pStyle w:val="10"/>
        <w:ind w:firstLine="480" w:firstLineChars="200"/>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bidi="ar"/>
        </w:rPr>
        <w:t>1</w:t>
      </w:r>
      <w:r>
        <w:rPr>
          <w:rFonts w:hint="eastAsia" w:asciiTheme="minorEastAsia" w:hAnsiTheme="minorEastAsia" w:eastAsiaTheme="minorEastAsia" w:cstheme="minorEastAsia"/>
          <w:color w:val="auto"/>
          <w:kern w:val="2"/>
          <w:sz w:val="24"/>
          <w:szCs w:val="24"/>
          <w:lang w:eastAsia="zh-CN" w:bidi="ar"/>
        </w:rPr>
        <w:t>、</w:t>
      </w:r>
      <w:r>
        <w:rPr>
          <w:rFonts w:hint="eastAsia" w:asciiTheme="minorEastAsia" w:hAnsiTheme="minorEastAsia" w:eastAsiaTheme="minorEastAsia" w:cstheme="minorEastAsia"/>
          <w:color w:val="auto"/>
          <w:kern w:val="2"/>
          <w:sz w:val="24"/>
          <w:szCs w:val="24"/>
          <w:lang w:bidi="ar"/>
        </w:rPr>
        <w:t>合同总价：大写</w:t>
      </w:r>
      <w:r>
        <w:rPr>
          <w:rFonts w:hint="eastAsia" w:asciiTheme="minorEastAsia" w:hAnsiTheme="minorEastAsia" w:eastAsiaTheme="minorEastAsia" w:cstheme="minorEastAsia"/>
          <w:color w:val="auto"/>
          <w:kern w:val="2"/>
          <w:sz w:val="24"/>
          <w:szCs w:val="24"/>
          <w:lang w:eastAsia="zh-CN" w:bidi="ar"/>
        </w:rPr>
        <w:t>：</w:t>
      </w:r>
      <w:r>
        <w:rPr>
          <w:rFonts w:hint="eastAsia" w:asciiTheme="minorEastAsia" w:hAnsiTheme="minorEastAsia" w:eastAsiaTheme="minorEastAsia" w:cstheme="minorEastAsia"/>
          <w:color w:val="auto"/>
          <w:kern w:val="2"/>
          <w:sz w:val="24"/>
          <w:szCs w:val="24"/>
          <w:lang w:val="en-US" w:eastAsia="zh-CN" w:bidi="ar"/>
        </w:rPr>
        <w:t xml:space="preserve">       </w:t>
      </w:r>
      <w:r>
        <w:rPr>
          <w:rFonts w:hint="eastAsia" w:asciiTheme="minorEastAsia" w:hAnsiTheme="minorEastAsia" w:eastAsiaTheme="minorEastAsia" w:cstheme="minorEastAsia"/>
          <w:color w:val="auto"/>
          <w:kern w:val="2"/>
          <w:sz w:val="24"/>
          <w:szCs w:val="24"/>
          <w:lang w:bidi="ar"/>
        </w:rPr>
        <w:t>，（小写</w:t>
      </w:r>
      <w:r>
        <w:rPr>
          <w:rFonts w:hint="eastAsia" w:asciiTheme="minorEastAsia" w:hAnsiTheme="minorEastAsia" w:eastAsiaTheme="minorEastAsia" w:cstheme="minorEastAsia"/>
          <w:color w:val="auto"/>
          <w:kern w:val="2"/>
          <w:sz w:val="24"/>
          <w:szCs w:val="24"/>
          <w:lang w:eastAsia="zh-CN" w:bidi="ar"/>
        </w:rPr>
        <w:t>：</w:t>
      </w:r>
      <w:r>
        <w:rPr>
          <w:rFonts w:hint="eastAsia" w:asciiTheme="minorEastAsia" w:hAnsiTheme="minorEastAsia" w:eastAsiaTheme="minorEastAsia" w:cstheme="minorEastAsia"/>
          <w:b/>
          <w:bCs/>
          <w:color w:val="auto"/>
          <w:kern w:val="2"/>
          <w:sz w:val="24"/>
          <w:szCs w:val="24"/>
          <w:u w:val="single"/>
          <w:lang w:bidi="ar"/>
        </w:rPr>
        <w:t>¥</w:t>
      </w:r>
      <w:r>
        <w:rPr>
          <w:rFonts w:hint="eastAsia" w:asciiTheme="minorEastAsia" w:hAnsiTheme="minorEastAsia" w:eastAsiaTheme="minorEastAsia" w:cstheme="minorEastAsia"/>
          <w:b/>
          <w:bCs/>
          <w:color w:val="auto"/>
          <w:kern w:val="2"/>
          <w:sz w:val="24"/>
          <w:szCs w:val="24"/>
          <w:u w:val="single"/>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w:t>
      </w:r>
    </w:p>
    <w:p>
      <w:pPr>
        <w:tabs>
          <w:tab w:val="left" w:pos="425"/>
        </w:tabs>
        <w:adjustRightInd w:val="0"/>
        <w:snapToGrid w:val="0"/>
        <w:spacing w:line="24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bidi="ar"/>
        </w:rPr>
        <w:t>2</w:t>
      </w:r>
      <w:r>
        <w:rPr>
          <w:rFonts w:hint="eastAsia" w:asciiTheme="minorEastAsia" w:hAnsiTheme="minorEastAsia" w:eastAsiaTheme="minorEastAsia" w:cstheme="minorEastAsia"/>
          <w:color w:val="auto"/>
          <w:kern w:val="2"/>
          <w:sz w:val="24"/>
          <w:szCs w:val="24"/>
          <w:lang w:eastAsia="zh-CN" w:bidi="ar"/>
        </w:rPr>
        <w:t>、</w:t>
      </w:r>
      <w:r>
        <w:rPr>
          <w:rFonts w:hint="eastAsia" w:asciiTheme="minorEastAsia" w:hAnsiTheme="minorEastAsia" w:eastAsiaTheme="minorEastAsia" w:cstheme="minorEastAsia"/>
          <w:color w:val="auto"/>
          <w:kern w:val="2"/>
          <w:sz w:val="24"/>
          <w:szCs w:val="24"/>
          <w:lang w:bidi="ar"/>
        </w:rPr>
        <w:t>总价包括了标的货物、其它相关配件、包装、安装、税费(包括关税、增值税等)、运费、保险费、仓储费等的全部费用，乙方不得以任何理由向甲方加收其他任何费用。</w:t>
      </w:r>
      <w:r>
        <w:rPr>
          <w:rFonts w:hint="eastAsia" w:asciiTheme="minorEastAsia" w:hAnsiTheme="minorEastAsia" w:eastAsiaTheme="minorEastAsia" w:cstheme="minorEastAsia"/>
          <w:color w:val="auto"/>
          <w:kern w:val="2"/>
          <w:sz w:val="24"/>
          <w:szCs w:val="24"/>
          <w:lang w:val="en-US" w:eastAsia="zh-CN" w:bidi="ar"/>
        </w:rPr>
        <w:t xml:space="preserve">  </w:t>
      </w:r>
    </w:p>
    <w:p>
      <w:pPr>
        <w:tabs>
          <w:tab w:val="left" w:pos="425"/>
        </w:tabs>
        <w:adjustRightInd w:val="0"/>
        <w:snapToGrid w:val="0"/>
        <w:spacing w:line="240" w:lineRule="auto"/>
        <w:ind w:firstLine="482" w:firstLineChars="200"/>
        <w:jc w:val="left"/>
        <w:rPr>
          <w:rFonts w:hint="eastAsia" w:asciiTheme="minorEastAsia" w:hAnsiTheme="minorEastAsia" w:eastAsiaTheme="minorEastAsia" w:cstheme="minorEastAsia"/>
          <w:b/>
          <w:bCs/>
          <w:color w:val="auto"/>
          <w:kern w:val="2"/>
          <w:sz w:val="24"/>
          <w:szCs w:val="24"/>
          <w:lang w:val="en-US" w:eastAsia="zh-CN" w:bidi="ar"/>
        </w:rPr>
      </w:pPr>
      <w:r>
        <w:rPr>
          <w:rFonts w:hint="eastAsia" w:asciiTheme="minorEastAsia" w:hAnsiTheme="minorEastAsia" w:eastAsiaTheme="minorEastAsia" w:cstheme="minorEastAsia"/>
          <w:b/>
          <w:bCs/>
          <w:color w:val="auto"/>
          <w:kern w:val="2"/>
          <w:sz w:val="24"/>
          <w:szCs w:val="24"/>
          <w:lang w:val="en-US" w:eastAsia="zh-CN" w:bidi="ar"/>
        </w:rPr>
        <w:t>三、质量要求</w:t>
      </w:r>
    </w:p>
    <w:p>
      <w:pPr>
        <w:pStyle w:val="9"/>
        <w:spacing w:line="240" w:lineRule="auto"/>
        <w:ind w:left="0" w:leftChars="0" w:firstLine="480" w:firstLineChars="200"/>
        <w:jc w:val="left"/>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1、乙方提供的产品必须符合国家和行业相关产品的标准；</w:t>
      </w:r>
    </w:p>
    <w:p>
      <w:pPr>
        <w:pStyle w:val="9"/>
        <w:spacing w:line="240" w:lineRule="auto"/>
        <w:ind w:left="0" w:leftChars="0" w:firstLine="480" w:firstLineChars="200"/>
        <w:jc w:val="left"/>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2、质量符合国家或行业质量、安全标准，货物来源合法，无假冒伪劣产品出售；</w:t>
      </w:r>
    </w:p>
    <w:p>
      <w:pPr>
        <w:pStyle w:val="9"/>
        <w:spacing w:line="240" w:lineRule="auto"/>
        <w:ind w:firstLine="480"/>
        <w:jc w:val="left"/>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3、货物为全新产品，无污染，无侵权行为、表面无划损、无任何缺陷隐患，在中国境内可依常规安全合法使用；</w:t>
      </w:r>
    </w:p>
    <w:p>
      <w:pPr>
        <w:numPr>
          <w:ilvl w:val="0"/>
          <w:numId w:val="0"/>
        </w:numPr>
        <w:tabs>
          <w:tab w:val="left" w:pos="855"/>
        </w:tabs>
        <w:spacing w:line="24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 xml:space="preserve">四、 </w:t>
      </w:r>
      <w:r>
        <w:rPr>
          <w:rFonts w:hint="eastAsia" w:asciiTheme="minorEastAsia" w:hAnsiTheme="minorEastAsia" w:eastAsiaTheme="minorEastAsia" w:cstheme="minorEastAsia"/>
          <w:b/>
          <w:sz w:val="24"/>
          <w:szCs w:val="24"/>
        </w:rPr>
        <w:t>交货及验收</w:t>
      </w:r>
    </w:p>
    <w:p>
      <w:pPr>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sz w:val="24"/>
          <w:szCs w:val="24"/>
        </w:rPr>
        <w:t>交货时间：合同签订后</w:t>
      </w:r>
      <w:r>
        <w:rPr>
          <w:rFonts w:hint="eastAsia" w:asciiTheme="minorEastAsia" w:hAnsiTheme="minorEastAsia" w:eastAsiaTheme="minorEastAsia" w:cstheme="minorEastAsia"/>
          <w:sz w:val="24"/>
          <w:szCs w:val="24"/>
          <w:u w:val="single"/>
          <w:lang w:val="en-US" w:eastAsia="zh-CN"/>
        </w:rPr>
        <w:t>15</w:t>
      </w:r>
      <w:r>
        <w:rPr>
          <w:rFonts w:hint="eastAsia" w:asciiTheme="minorEastAsia" w:hAnsiTheme="minorEastAsia" w:eastAsiaTheme="minorEastAsia" w:cstheme="minorEastAsia"/>
          <w:sz w:val="24"/>
          <w:szCs w:val="24"/>
        </w:rPr>
        <w:t>个工作日完成交货硬件和安装调试。</w:t>
      </w:r>
    </w:p>
    <w:p>
      <w:pPr>
        <w:pStyle w:val="9"/>
        <w:numPr>
          <w:ilvl w:val="0"/>
          <w:numId w:val="0"/>
        </w:numPr>
        <w:spacing w:line="24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kern w:val="2"/>
          <w:sz w:val="24"/>
          <w:szCs w:val="24"/>
          <w:lang w:val="en-US" w:eastAsia="zh-CN" w:bidi="ar-SA"/>
        </w:rPr>
        <w:t>验收应在</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双方共同参加下进行，验收标准按照国家有关标准；</w:t>
      </w:r>
    </w:p>
    <w:p>
      <w:pPr>
        <w:pStyle w:val="9"/>
        <w:numPr>
          <w:ilvl w:val="0"/>
          <w:numId w:val="0"/>
        </w:numPr>
        <w:spacing w:line="24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3、验收按国家有关的规定、规范进行。验收时如发现所交付的货物有短装、次品、损坏或其它不符合合同规定之情形者，</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kern w:val="2"/>
          <w:sz w:val="24"/>
          <w:szCs w:val="24"/>
          <w:lang w:val="en-US" w:eastAsia="zh-CN" w:bidi="ar-SA"/>
        </w:rPr>
        <w:t>应做出详尽的现场记录，或由</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双方签署备忘录。现场记录或备忘录可用作补充、缺失和更换损坏部件的有效证据。若发生上述情形，</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kern w:val="2"/>
          <w:sz w:val="24"/>
          <w:szCs w:val="24"/>
          <w:lang w:val="en-US" w:eastAsia="zh-CN" w:bidi="ar-SA"/>
        </w:rPr>
        <w:t>有权要求退货或换货，由此产生的有关费用由</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承担；</w:t>
      </w:r>
    </w:p>
    <w:p>
      <w:pPr>
        <w:pStyle w:val="9"/>
        <w:numPr>
          <w:ilvl w:val="0"/>
          <w:numId w:val="0"/>
        </w:numPr>
        <w:spacing w:line="240" w:lineRule="auto"/>
        <w:ind w:left="105"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4、如果货物运输和安装调试过程中因事故造成货物短缺、损坏，</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应及时安排换装，以保证货物安装调试的成功完成。换货的相关费用由</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承担；</w:t>
      </w:r>
    </w:p>
    <w:p>
      <w:pPr>
        <w:pStyle w:val="9"/>
        <w:numPr>
          <w:ilvl w:val="0"/>
          <w:numId w:val="0"/>
        </w:numPr>
        <w:spacing w:line="240" w:lineRule="auto"/>
        <w:ind w:left="105"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保证所提供的设备不侵犯任何第三方的专利、商标或版权。否则，</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 xml:space="preserve">须承担对第三方的专利或版权的侵权责任并承担因此而发生的所有费用。  </w:t>
      </w:r>
    </w:p>
    <w:p>
      <w:pPr>
        <w:pStyle w:val="9"/>
        <w:numPr>
          <w:ilvl w:val="0"/>
          <w:numId w:val="0"/>
        </w:numPr>
        <w:spacing w:line="240" w:lineRule="auto"/>
        <w:ind w:left="105"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国内产品或合资厂的产品必须具备出厂合格证。</w:t>
      </w:r>
    </w:p>
    <w:p>
      <w:pPr>
        <w:spacing w:line="24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质保期及售后服务</w:t>
      </w:r>
    </w:p>
    <w:p>
      <w:pPr>
        <w:spacing w:line="240" w:lineRule="auto"/>
        <w:ind w:firstLine="480" w:firstLineChars="200"/>
        <w:rPr>
          <w:rFonts w:hint="eastAsia" w:asciiTheme="minorEastAsia" w:hAnsiTheme="minorEastAsia" w:eastAsiaTheme="minorEastAsia" w:cstheme="minorEastAsia"/>
          <w:b w:val="0"/>
          <w:bCs/>
          <w:color w:val="auto"/>
          <w:kern w:val="28"/>
          <w:sz w:val="21"/>
          <w:szCs w:val="21"/>
          <w:highlight w:val="none"/>
          <w:lang w:eastAsia="zh-CN"/>
        </w:rPr>
      </w:pPr>
      <w:r>
        <w:rPr>
          <w:rFonts w:hint="eastAsia" w:asciiTheme="minorEastAsia" w:hAnsiTheme="minorEastAsia" w:eastAsiaTheme="minorEastAsia" w:cstheme="minorEastAsia"/>
          <w:kern w:val="0"/>
          <w:sz w:val="24"/>
          <w:szCs w:val="24"/>
          <w:lang w:val="en-US" w:eastAsia="zh-CN"/>
        </w:rPr>
        <w:t>1、整机质保期≥</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val="en-US" w:eastAsia="zh-CN"/>
        </w:rPr>
        <w:t>年。质保期内非因甲方的人为原因而出现产品质量及安装问题，由乙方负责包修、包换或包退，并承担因此而产生的一切费用</w:t>
      </w:r>
      <w:r>
        <w:rPr>
          <w:rFonts w:hint="eastAsia" w:asciiTheme="minorEastAsia" w:hAnsiTheme="minorEastAsia" w:eastAsiaTheme="minorEastAsia" w:cstheme="minorEastAsia"/>
          <w:b w:val="0"/>
          <w:bCs/>
          <w:color w:val="auto"/>
          <w:kern w:val="28"/>
          <w:sz w:val="21"/>
          <w:szCs w:val="21"/>
          <w:highlight w:val="none"/>
          <w:lang w:eastAsia="zh-CN"/>
        </w:rPr>
        <w:t>。</w:t>
      </w:r>
    </w:p>
    <w:p>
      <w:pPr>
        <w:pStyle w:val="2"/>
        <w:spacing w:line="240" w:lineRule="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b w:val="0"/>
          <w:bCs/>
          <w:color w:val="auto"/>
          <w:kern w:val="28"/>
          <w:sz w:val="21"/>
          <w:szCs w:val="21"/>
          <w:highlight w:val="none"/>
          <w:lang w:val="en-US" w:eastAsia="zh-CN"/>
        </w:rPr>
        <w:t xml:space="preserve">    </w:t>
      </w:r>
      <w:r>
        <w:rPr>
          <w:rFonts w:hint="eastAsia" w:asciiTheme="minorEastAsia" w:hAnsiTheme="minorEastAsia" w:eastAsiaTheme="minorEastAsia" w:cstheme="minorEastAsia"/>
          <w:b w:val="0"/>
          <w:bCs/>
          <w:color w:val="auto"/>
          <w:kern w:val="28"/>
          <w:sz w:val="24"/>
          <w:szCs w:val="24"/>
          <w:highlight w:val="none"/>
          <w:lang w:val="en-US" w:eastAsia="zh-CN"/>
        </w:rPr>
        <w:t>2</w:t>
      </w:r>
      <w:r>
        <w:rPr>
          <w:rFonts w:hint="eastAsia" w:asciiTheme="minorEastAsia" w:hAnsiTheme="minorEastAsia" w:eastAsiaTheme="minorEastAsia" w:cstheme="minorEastAsia"/>
          <w:bCs w:val="0"/>
          <w:spacing w:val="0"/>
          <w:kern w:val="0"/>
          <w:sz w:val="24"/>
          <w:szCs w:val="24"/>
          <w:lang w:val="en-US" w:eastAsia="zh-CN" w:bidi="ar-SA"/>
        </w:rPr>
        <w:t>、</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bCs w:val="0"/>
          <w:spacing w:val="0"/>
          <w:kern w:val="0"/>
          <w:sz w:val="24"/>
          <w:szCs w:val="24"/>
          <w:lang w:val="en-US" w:eastAsia="zh-CN" w:bidi="ar-SA"/>
        </w:rPr>
        <w:t>提供的产品在质保期内</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bCs w:val="0"/>
          <w:spacing w:val="0"/>
          <w:kern w:val="0"/>
          <w:sz w:val="24"/>
          <w:szCs w:val="24"/>
          <w:lang w:val="en-US" w:eastAsia="zh-CN" w:bidi="ar-SA"/>
        </w:rPr>
        <w:t>免费实行包换、包退服务。</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bCs w:val="0"/>
          <w:spacing w:val="0"/>
          <w:kern w:val="0"/>
          <w:sz w:val="24"/>
          <w:szCs w:val="24"/>
          <w:lang w:val="en-US" w:eastAsia="zh-CN" w:bidi="ar-SA"/>
        </w:rPr>
        <w:t>所配送的产品（品牌、规格、质量等）不符合或达不到</w:t>
      </w:r>
      <w:r>
        <w:rPr>
          <w:rFonts w:hint="eastAsia" w:asciiTheme="minorEastAsia" w:hAnsiTheme="minorEastAsia" w:eastAsiaTheme="minorEastAsia" w:cstheme="minorEastAsia"/>
          <w:kern w:val="0"/>
          <w:sz w:val="24"/>
          <w:szCs w:val="24"/>
          <w:lang w:val="en-US" w:eastAsia="zh-CN"/>
        </w:rPr>
        <w:t>合同</w:t>
      </w:r>
      <w:r>
        <w:rPr>
          <w:rFonts w:hint="eastAsia" w:asciiTheme="minorEastAsia" w:hAnsiTheme="minorEastAsia" w:eastAsiaTheme="minorEastAsia" w:cstheme="minorEastAsia"/>
          <w:bCs w:val="0"/>
          <w:spacing w:val="0"/>
          <w:kern w:val="0"/>
          <w:sz w:val="24"/>
          <w:szCs w:val="24"/>
          <w:lang w:val="en-US" w:eastAsia="zh-CN" w:bidi="ar-SA"/>
        </w:rPr>
        <w:t>所要求的，</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Cs w:val="0"/>
          <w:spacing w:val="0"/>
          <w:kern w:val="0"/>
          <w:sz w:val="24"/>
          <w:szCs w:val="24"/>
          <w:lang w:val="en-US" w:eastAsia="zh-CN" w:bidi="ar-SA"/>
        </w:rPr>
        <w:t>可拒绝收货并要求进行换货。换货应为全新合同规定的品质、规格等。若换货仍不能达到质量的要求，</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Cs w:val="0"/>
          <w:spacing w:val="0"/>
          <w:kern w:val="0"/>
          <w:sz w:val="24"/>
          <w:szCs w:val="24"/>
          <w:lang w:val="en-US" w:eastAsia="zh-CN" w:bidi="ar-SA"/>
        </w:rPr>
        <w:t>有权要求退货，并由</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bCs w:val="0"/>
          <w:spacing w:val="0"/>
          <w:kern w:val="0"/>
          <w:sz w:val="24"/>
          <w:szCs w:val="24"/>
          <w:lang w:val="en-US" w:eastAsia="zh-CN" w:bidi="ar-SA"/>
        </w:rPr>
        <w:t>承担因此而产生的一切费用和</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Cs w:val="0"/>
          <w:spacing w:val="0"/>
          <w:kern w:val="0"/>
          <w:sz w:val="24"/>
          <w:szCs w:val="24"/>
          <w:lang w:val="en-US" w:eastAsia="zh-CN" w:bidi="ar-SA"/>
        </w:rPr>
        <w:t>遭受的一切损失。</w:t>
      </w:r>
    </w:p>
    <w:p>
      <w:pPr>
        <w:numPr>
          <w:ilvl w:val="0"/>
          <w:numId w:val="0"/>
        </w:numPr>
        <w:tabs>
          <w:tab w:val="left" w:pos="855"/>
        </w:tabs>
        <w:spacing w:line="24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bidi="ar-SA"/>
        </w:rPr>
        <w:t>六、</w:t>
      </w:r>
      <w:r>
        <w:rPr>
          <w:rFonts w:hint="eastAsia" w:asciiTheme="minorEastAsia" w:hAnsiTheme="minorEastAsia" w:eastAsiaTheme="minorEastAsia" w:cstheme="minorEastAsia"/>
          <w:b/>
          <w:sz w:val="24"/>
          <w:szCs w:val="24"/>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sz w:val="24"/>
          <w:szCs w:val="24"/>
        </w:rPr>
        <w:t>全部货物供货完毕</w:t>
      </w:r>
      <w:r>
        <w:rPr>
          <w:rFonts w:hint="eastAsia" w:asciiTheme="minorEastAsia" w:hAnsiTheme="minorEastAsia" w:eastAsiaTheme="minorEastAsia" w:cstheme="minorEastAsia"/>
          <w:sz w:val="24"/>
          <w:szCs w:val="24"/>
          <w:lang w:eastAsia="zh-CN"/>
        </w:rPr>
        <w:t>、安装调试</w:t>
      </w:r>
      <w:r>
        <w:rPr>
          <w:rFonts w:hint="eastAsia" w:asciiTheme="minorEastAsia" w:hAnsiTheme="minorEastAsia" w:eastAsiaTheme="minorEastAsia" w:cstheme="minorEastAsia"/>
          <w:sz w:val="24"/>
          <w:szCs w:val="24"/>
        </w:rPr>
        <w:t>并经甲方验收合格后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rPr>
        <w:t>乙方向甲方开具</w:t>
      </w:r>
      <w:r>
        <w:rPr>
          <w:rFonts w:hint="eastAsia" w:asciiTheme="minorEastAsia" w:hAnsiTheme="minorEastAsia" w:eastAsiaTheme="minorEastAsia" w:cstheme="minorEastAsia"/>
          <w:color w:val="auto"/>
          <w:sz w:val="24"/>
          <w:szCs w:val="24"/>
          <w:lang w:eastAsia="zh-CN"/>
        </w:rPr>
        <w:t>有效</w:t>
      </w:r>
      <w:r>
        <w:rPr>
          <w:rFonts w:hint="eastAsia" w:asciiTheme="minorEastAsia" w:hAnsiTheme="minorEastAsia" w:eastAsiaTheme="minorEastAsia" w:cstheme="minorEastAsia"/>
          <w:color w:val="auto"/>
          <w:sz w:val="24"/>
          <w:szCs w:val="24"/>
        </w:rPr>
        <w:t>发票，</w:t>
      </w:r>
      <w:r>
        <w:rPr>
          <w:rFonts w:hint="eastAsia" w:asciiTheme="minorEastAsia" w:hAnsiTheme="minorEastAsia" w:eastAsiaTheme="minorEastAsia" w:cstheme="minorEastAsia"/>
          <w:kern w:val="0"/>
          <w:sz w:val="24"/>
          <w:szCs w:val="24"/>
          <w:lang w:val="en-US" w:eastAsia="zh-CN"/>
        </w:rPr>
        <w:t>甲方在收到发票后60天内以银行转账方式一次性支付合同全款。因乙方未及时向甲方开具有效发票导致甲方未能在约定期限内付款的，不视为甲方违约；因甲方使用的是财政资金，按政府审批流程支付，若审批延迟则相应货款到账延迟，且不视为甲方违约。以下银行账户为乙方的唯一收款账号：</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64" w:firstLineChars="200"/>
        <w:jc w:val="left"/>
        <w:textAlignment w:val="auto"/>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收款单位：</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64" w:firstLineChars="200"/>
        <w:jc w:val="left"/>
        <w:textAlignment w:val="auto"/>
        <w:outlineLvl w:val="9"/>
        <w:rPr>
          <w:rFonts w:hint="eastAsia" w:asciiTheme="minorEastAsia" w:hAnsiTheme="minorEastAsia" w:eastAsiaTheme="minorEastAsia" w:cstheme="minorEastAsia"/>
          <w:b w:val="0"/>
          <w:bCs w:val="0"/>
          <w:color w:val="auto"/>
          <w:spacing w:val="-4"/>
          <w:sz w:val="24"/>
          <w:szCs w:val="24"/>
          <w:lang w:val="en-US" w:eastAsia="zh-CN"/>
        </w:rPr>
      </w:pPr>
      <w:r>
        <w:rPr>
          <w:rFonts w:hint="eastAsia" w:asciiTheme="minorEastAsia" w:hAnsiTheme="minorEastAsia" w:eastAsiaTheme="minorEastAsia" w:cstheme="minorEastAsia"/>
          <w:color w:val="auto"/>
          <w:spacing w:val="-4"/>
          <w:sz w:val="24"/>
          <w:szCs w:val="24"/>
        </w:rPr>
        <w:t>开户银行：</w:t>
      </w:r>
    </w:p>
    <w:p>
      <w:pPr>
        <w:pStyle w:val="3"/>
        <w:spacing w:line="240" w:lineRule="auto"/>
        <w:ind w:firstLine="48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color w:val="auto"/>
          <w:spacing w:val="-4"/>
          <w:sz w:val="24"/>
          <w:szCs w:val="24"/>
          <w:lang w:eastAsia="zh-CN"/>
        </w:rPr>
        <w:t>账</w:t>
      </w:r>
      <w:r>
        <w:rPr>
          <w:rFonts w:hint="eastAsia" w:asciiTheme="minorEastAsia" w:hAnsiTheme="minorEastAsia" w:eastAsiaTheme="minorEastAsia" w:cstheme="minorEastAsia"/>
          <w:color w:val="auto"/>
          <w:spacing w:val="-4"/>
          <w:sz w:val="24"/>
          <w:szCs w:val="24"/>
        </w:rPr>
        <w:t xml:space="preserve">    号：</w:t>
      </w:r>
    </w:p>
    <w:p>
      <w:pPr>
        <w:numPr>
          <w:ilvl w:val="0"/>
          <w:numId w:val="0"/>
        </w:numPr>
        <w:tabs>
          <w:tab w:val="left" w:pos="855"/>
        </w:tabs>
        <w:spacing w:line="24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sz w:val="24"/>
          <w:szCs w:val="24"/>
          <w:lang w:val="en-US" w:eastAsia="zh-CN"/>
        </w:rPr>
        <w:t xml:space="preserve"> 违约责任</w:t>
      </w:r>
    </w:p>
    <w:p>
      <w:pPr>
        <w:numPr>
          <w:ilvl w:val="0"/>
          <w:numId w:val="0"/>
        </w:numPr>
        <w:tabs>
          <w:tab w:val="left" w:pos="855"/>
        </w:tabs>
        <w:spacing w:line="240" w:lineRule="auto"/>
        <w:ind w:left="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rPr>
        <w:t>若乙方逾期交付货物或</w:t>
      </w:r>
      <w:r>
        <w:rPr>
          <w:rFonts w:hint="eastAsia" w:asciiTheme="minorEastAsia" w:hAnsiTheme="minorEastAsia" w:eastAsiaTheme="minorEastAsia" w:cstheme="minorEastAsia"/>
          <w:b w:val="0"/>
          <w:bCs/>
          <w:sz w:val="24"/>
          <w:szCs w:val="24"/>
          <w:lang w:val="en-US" w:eastAsia="zh-CN"/>
        </w:rPr>
        <w:t>逾期提供服务</w:t>
      </w:r>
      <w:r>
        <w:rPr>
          <w:rFonts w:hint="eastAsia" w:asciiTheme="minorEastAsia" w:hAnsiTheme="minorEastAsia" w:eastAsiaTheme="minorEastAsia" w:cstheme="minorEastAsia"/>
          <w:b w:val="0"/>
          <w:bCs/>
          <w:sz w:val="24"/>
          <w:szCs w:val="24"/>
        </w:rPr>
        <w:t>的，每延期1天，支付合同金额的5‰的违约金，违约金总金额不超过合同总价20%；</w:t>
      </w:r>
    </w:p>
    <w:p>
      <w:pPr>
        <w:numPr>
          <w:ilvl w:val="0"/>
          <w:numId w:val="0"/>
        </w:numPr>
        <w:tabs>
          <w:tab w:val="left" w:pos="855"/>
        </w:tabs>
        <w:spacing w:line="240" w:lineRule="auto"/>
        <w:ind w:left="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乙方交付的货物不符合项目规定的，</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 w:val="0"/>
          <w:bCs/>
          <w:sz w:val="24"/>
          <w:szCs w:val="24"/>
        </w:rPr>
        <w:t>有权拒收，乙方向</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 w:val="0"/>
          <w:bCs/>
          <w:sz w:val="24"/>
          <w:szCs w:val="24"/>
        </w:rPr>
        <w:t>支付合同金额20%的违约金。因此导致</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 w:val="0"/>
          <w:bCs/>
          <w:sz w:val="24"/>
          <w:szCs w:val="24"/>
        </w:rPr>
        <w:t>遭受损失（包括但不限于实际损失，预期利益损失，为维护其合法权益而支付的鉴定费、审计费、律师费、差旅费等费用）的，乙方应对</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 w:val="0"/>
          <w:bCs/>
          <w:sz w:val="24"/>
          <w:szCs w:val="24"/>
        </w:rPr>
        <w:t>承担赔偿责任。</w:t>
      </w:r>
    </w:p>
    <w:p>
      <w:pPr>
        <w:numPr>
          <w:ilvl w:val="0"/>
          <w:numId w:val="0"/>
        </w:numPr>
        <w:tabs>
          <w:tab w:val="left" w:pos="855"/>
        </w:tabs>
        <w:spacing w:line="240" w:lineRule="auto"/>
        <w:ind w:left="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乙方逾期超过7日未能交付货物，则向</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 w:val="0"/>
          <w:bCs/>
          <w:sz w:val="24"/>
          <w:szCs w:val="24"/>
        </w:rPr>
        <w:t>支付合同金额的20%的违约金，同时</w:t>
      </w: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b w:val="0"/>
          <w:bCs/>
          <w:sz w:val="24"/>
          <w:szCs w:val="24"/>
        </w:rPr>
        <w:t>有权单方解除合同。</w:t>
      </w:r>
    </w:p>
    <w:p>
      <w:pPr>
        <w:numPr>
          <w:ilvl w:val="0"/>
          <w:numId w:val="0"/>
        </w:numPr>
        <w:tabs>
          <w:tab w:val="left" w:pos="855"/>
        </w:tabs>
        <w:spacing w:line="240" w:lineRule="auto"/>
        <w:ind w:left="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因乙方设备自身或安装不善等原因发生事故造成采购人或第三方损害的，乙方应直接承担由此产生的一切责任。</w:t>
      </w:r>
    </w:p>
    <w:p>
      <w:pPr>
        <w:numPr>
          <w:ilvl w:val="0"/>
          <w:numId w:val="0"/>
        </w:numPr>
        <w:tabs>
          <w:tab w:val="left" w:pos="855"/>
        </w:tabs>
        <w:spacing w:line="24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八、</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其他</w:t>
      </w:r>
    </w:p>
    <w:p>
      <w:pPr>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1、合同履行过程中发生争议的，由双方友好协商解决；协商不成时，</w:t>
      </w:r>
      <w:r>
        <w:rPr>
          <w:rFonts w:hint="eastAsia" w:asciiTheme="minorEastAsia" w:hAnsiTheme="minorEastAsia" w:eastAsiaTheme="minorEastAsia" w:cstheme="minorEastAsia"/>
          <w:color w:val="auto"/>
          <w:sz w:val="24"/>
          <w:szCs w:val="24"/>
          <w:lang w:val="en-US" w:eastAsia="zh-CN"/>
        </w:rPr>
        <w:t>则由中山市第二人民法院提起诉讼。受理期间，双方应继续执行合同其余部分。</w:t>
      </w:r>
    </w:p>
    <w:p>
      <w:pPr>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2、有关本合同条款的修改、补充和变更，均应以书面形式进行，经双方签字</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盖章后生效。</w:t>
      </w:r>
    </w:p>
    <w:p>
      <w:pPr>
        <w:spacing w:line="24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color w:val="auto"/>
          <w:sz w:val="24"/>
          <w:szCs w:val="24"/>
        </w:rPr>
        <w:t>本合同一式</w:t>
      </w:r>
      <w:r>
        <w:rPr>
          <w:rFonts w:hint="eastAsia" w:asciiTheme="minorEastAsia" w:hAnsiTheme="minorEastAsia" w:eastAsiaTheme="minorEastAsia" w:cstheme="minorEastAsia"/>
          <w:color w:val="auto"/>
          <w:sz w:val="24"/>
          <w:szCs w:val="24"/>
          <w:u w:val="single"/>
          <w:lang w:eastAsia="zh-CN"/>
        </w:rPr>
        <w:t>叁</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甲方</w:t>
      </w:r>
      <w:r>
        <w:rPr>
          <w:rFonts w:hint="eastAsia" w:asciiTheme="minorEastAsia" w:hAnsiTheme="minorEastAsia" w:eastAsiaTheme="minorEastAsia" w:cstheme="minorEastAsia"/>
          <w:color w:val="auto"/>
          <w:sz w:val="24"/>
          <w:szCs w:val="24"/>
        </w:rPr>
        <w:t>执</w:t>
      </w:r>
      <w:r>
        <w:rPr>
          <w:rFonts w:hint="eastAsia" w:asciiTheme="minorEastAsia" w:hAnsiTheme="minorEastAsia" w:eastAsiaTheme="minorEastAsia" w:cstheme="minorEastAsia"/>
          <w:color w:val="auto"/>
          <w:sz w:val="24"/>
          <w:szCs w:val="24"/>
          <w:u w:val="single"/>
          <w:lang w:eastAsia="zh-CN"/>
        </w:rPr>
        <w:t>贰</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乙方执</w:t>
      </w:r>
      <w:r>
        <w:rPr>
          <w:rFonts w:hint="eastAsia" w:asciiTheme="minorEastAsia" w:hAnsiTheme="minorEastAsia" w:eastAsiaTheme="minorEastAsia" w:cstheme="minorEastAsia"/>
          <w:color w:val="auto"/>
          <w:sz w:val="24"/>
          <w:szCs w:val="24"/>
          <w:u w:val="single"/>
          <w:lang w:eastAsia="zh-CN"/>
        </w:rPr>
        <w:t>壹</w:t>
      </w:r>
      <w:r>
        <w:rPr>
          <w:rFonts w:hint="eastAsia" w:asciiTheme="minorEastAsia" w:hAnsiTheme="minorEastAsia" w:eastAsiaTheme="minorEastAsia" w:cstheme="minorEastAsia"/>
          <w:color w:val="auto"/>
          <w:sz w:val="24"/>
          <w:szCs w:val="24"/>
          <w:lang w:eastAsia="zh-CN"/>
        </w:rPr>
        <w:t>份，</w:t>
      </w:r>
      <w:r>
        <w:rPr>
          <w:rFonts w:hint="eastAsia" w:asciiTheme="minorEastAsia" w:hAnsiTheme="minorEastAsia" w:eastAsiaTheme="minorEastAsia" w:cstheme="minorEastAsia"/>
          <w:color w:val="auto"/>
          <w:sz w:val="24"/>
          <w:szCs w:val="24"/>
        </w:rPr>
        <w:t>合同经双方签字</w:t>
      </w:r>
      <w:r>
        <w:rPr>
          <w:rFonts w:hint="eastAsia" w:asciiTheme="minorEastAsia" w:hAnsiTheme="minorEastAsia" w:eastAsiaTheme="minorEastAsia" w:cstheme="minorEastAsia"/>
          <w:color w:val="auto"/>
          <w:sz w:val="24"/>
          <w:szCs w:val="24"/>
          <w:lang w:val="en-US" w:eastAsia="zh-CN"/>
        </w:rPr>
        <w:t>并</w:t>
      </w:r>
      <w:r>
        <w:rPr>
          <w:rFonts w:hint="eastAsia" w:asciiTheme="minorEastAsia" w:hAnsiTheme="minorEastAsia" w:eastAsiaTheme="minorEastAsia" w:cstheme="minorEastAsia"/>
          <w:color w:val="auto"/>
          <w:sz w:val="24"/>
          <w:szCs w:val="24"/>
        </w:rPr>
        <w:t>盖章后生效。未尽事宜，双方可另行协商签订补充合同，补充合同与本合同具有同等效力。</w:t>
      </w:r>
    </w:p>
    <w:p>
      <w:pPr>
        <w:spacing w:line="24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本合同在履行过程中所有文书送达地址及联系方式应以签署页为准，一方若有更改须及时通知另一方，否则视为没有更改</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因此产生的一切不利后果自行承担。</w:t>
      </w:r>
    </w:p>
    <w:p>
      <w:pPr>
        <w:spacing w:line="24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此行以下无正文</w:t>
      </w:r>
      <w:r>
        <w:rPr>
          <w:rFonts w:hint="eastAsia" w:asciiTheme="minorEastAsia" w:hAnsiTheme="minorEastAsia" w:eastAsiaTheme="minorEastAsia" w:cstheme="minorEastAsia"/>
          <w:color w:val="auto"/>
          <w:sz w:val="24"/>
          <w:szCs w:val="24"/>
          <w:lang w:eastAsia="zh-CN"/>
        </w:rPr>
        <w:t>）</w:t>
      </w:r>
    </w:p>
    <w:p>
      <w:pPr>
        <w:spacing w:line="240" w:lineRule="auto"/>
        <w:rPr>
          <w:rFonts w:hint="eastAsia" w:asciiTheme="minorEastAsia" w:hAnsiTheme="minorEastAsia" w:eastAsiaTheme="minorEastAsia" w:cstheme="minorEastAsia"/>
          <w:sz w:val="24"/>
          <w:szCs w:val="24"/>
        </w:rPr>
      </w:pPr>
    </w:p>
    <w:p>
      <w:pPr>
        <w:spacing w:line="240" w:lineRule="auto"/>
        <w:rPr>
          <w:rFonts w:hint="eastAsia" w:asciiTheme="minorEastAsia" w:hAnsiTheme="minorEastAsia" w:eastAsiaTheme="minorEastAsia" w:cstheme="minorEastAsia"/>
          <w:color w:val="auto"/>
          <w:sz w:val="24"/>
          <w:szCs w:val="24"/>
        </w:rPr>
      </w:pPr>
    </w:p>
    <w:p>
      <w:pPr>
        <w:spacing w:line="240" w:lineRule="auto"/>
        <w:ind w:left="6240" w:hanging="6240" w:hangingChars="2600"/>
        <w:rPr>
          <w:rFonts w:hint="eastAsia" w:asciiTheme="minorEastAsia" w:hAnsiTheme="minorEastAsia" w:eastAsiaTheme="minorEastAsia" w:cstheme="minorEastAsia"/>
          <w:color w:val="auto"/>
          <w:sz w:val="24"/>
          <w:szCs w:val="24"/>
        </w:rPr>
      </w:pPr>
    </w:p>
    <w:p>
      <w:pPr>
        <w:spacing w:line="240" w:lineRule="auto"/>
        <w:ind w:left="6240" w:hanging="6240" w:hangingChars="2600"/>
        <w:rPr>
          <w:rFonts w:hint="eastAsia" w:asciiTheme="minorEastAsia" w:hAnsiTheme="minorEastAsia" w:eastAsiaTheme="minorEastAsia" w:cstheme="minorEastAsia"/>
          <w:color w:val="auto"/>
          <w:sz w:val="24"/>
          <w:szCs w:val="24"/>
        </w:rPr>
      </w:pPr>
    </w:p>
    <w:p>
      <w:pPr>
        <w:spacing w:line="240" w:lineRule="auto"/>
        <w:ind w:left="6240" w:hanging="6240" w:hangingChars="2600"/>
        <w:rPr>
          <w:rFonts w:hint="eastAsia" w:asciiTheme="minorEastAsia" w:hAnsiTheme="minorEastAsia" w:eastAsiaTheme="minorEastAsia" w:cstheme="minorEastAsia"/>
          <w:color w:val="auto"/>
          <w:sz w:val="24"/>
          <w:szCs w:val="24"/>
        </w:rPr>
      </w:pPr>
    </w:p>
    <w:p>
      <w:pPr>
        <w:spacing w:line="240" w:lineRule="auto"/>
        <w:ind w:left="6240" w:hanging="6240" w:hangingChars="2600"/>
        <w:rPr>
          <w:rFonts w:hint="eastAsia" w:asciiTheme="minorEastAsia" w:hAnsiTheme="minorEastAsia" w:eastAsiaTheme="minorEastAsia" w:cstheme="minorEastAsia"/>
          <w:color w:val="auto"/>
          <w:sz w:val="24"/>
          <w:szCs w:val="24"/>
        </w:rPr>
      </w:pPr>
    </w:p>
    <w:p>
      <w:pPr>
        <w:spacing w:line="240" w:lineRule="auto"/>
        <w:ind w:left="6240" w:hanging="6240" w:hangingChars="2600"/>
        <w:rPr>
          <w:rFonts w:hint="eastAsia" w:asciiTheme="minorEastAsia" w:hAnsiTheme="minorEastAsia" w:eastAsiaTheme="minorEastAsia" w:cstheme="minorEastAsia"/>
          <w:color w:val="auto"/>
          <w:sz w:val="24"/>
          <w:szCs w:val="24"/>
        </w:rPr>
      </w:pPr>
    </w:p>
    <w:p>
      <w:pPr>
        <w:spacing w:line="240" w:lineRule="auto"/>
        <w:ind w:left="6240" w:hanging="6240" w:hangingChars="2600"/>
        <w:rPr>
          <w:rFonts w:hint="eastAsia" w:asciiTheme="minorEastAsia" w:hAnsiTheme="minorEastAsia" w:eastAsiaTheme="minorEastAsia" w:cstheme="minorEastAsia"/>
          <w:color w:val="auto"/>
          <w:sz w:val="24"/>
          <w:szCs w:val="24"/>
        </w:rPr>
      </w:pPr>
    </w:p>
    <w:p>
      <w:pPr>
        <w:spacing w:line="360" w:lineRule="auto"/>
        <w:ind w:left="6240" w:hanging="6240" w:hangingChars="2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甲方（盖章）：中山市</w:t>
      </w:r>
      <w:r>
        <w:rPr>
          <w:rFonts w:hint="eastAsia" w:asciiTheme="minorEastAsia" w:hAnsiTheme="minorEastAsia" w:eastAsiaTheme="minorEastAsia" w:cstheme="minorEastAsia"/>
          <w:color w:val="auto"/>
          <w:sz w:val="24"/>
          <w:szCs w:val="24"/>
          <w:lang w:eastAsia="zh-CN"/>
        </w:rPr>
        <w:t>黄圃人民医院</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乙方（盖章）：</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w:t>
      </w:r>
      <w:r>
        <w:rPr>
          <w:rFonts w:hint="eastAsia" w:asciiTheme="minorEastAsia" w:hAnsiTheme="minorEastAsia" w:cstheme="minorEastAsia"/>
          <w:color w:val="auto"/>
          <w:sz w:val="24"/>
          <w:szCs w:val="24"/>
          <w:lang w:eastAsia="zh-CN"/>
        </w:rPr>
        <w:t>定</w:t>
      </w:r>
      <w:r>
        <w:rPr>
          <w:rFonts w:hint="eastAsia" w:asciiTheme="minorEastAsia" w:hAnsiTheme="minorEastAsia" w:eastAsiaTheme="minorEastAsia" w:cstheme="minorEastAsia"/>
          <w:color w:val="auto"/>
          <w:sz w:val="24"/>
          <w:szCs w:val="24"/>
          <w:lang w:eastAsia="zh-CN"/>
        </w:rPr>
        <w:t>代表</w:t>
      </w:r>
      <w:r>
        <w:rPr>
          <w:rFonts w:hint="eastAsia" w:asciiTheme="minorEastAsia" w:hAnsiTheme="minorEastAsia" w:cstheme="minorEastAsia"/>
          <w:color w:val="auto"/>
          <w:sz w:val="24"/>
          <w:szCs w:val="24"/>
          <w:lang w:eastAsia="zh-CN"/>
        </w:rPr>
        <w:t>人</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法</w:t>
      </w:r>
      <w:r>
        <w:rPr>
          <w:rFonts w:hint="eastAsia" w:asciiTheme="minorEastAsia" w:hAnsiTheme="minorEastAsia" w:cstheme="minorEastAsia"/>
          <w:color w:val="auto"/>
          <w:sz w:val="24"/>
          <w:szCs w:val="24"/>
          <w:lang w:eastAsia="zh-CN"/>
        </w:rPr>
        <w:t>定</w:t>
      </w:r>
      <w:r>
        <w:rPr>
          <w:rFonts w:hint="eastAsia" w:asciiTheme="minorEastAsia" w:hAnsiTheme="minorEastAsia" w:eastAsiaTheme="minorEastAsia" w:cstheme="minorEastAsia"/>
          <w:color w:val="auto"/>
          <w:sz w:val="24"/>
          <w:szCs w:val="24"/>
          <w:lang w:eastAsia="zh-CN"/>
        </w:rPr>
        <w:t>代表</w:t>
      </w:r>
      <w:r>
        <w:rPr>
          <w:rFonts w:hint="eastAsia" w:asciiTheme="minorEastAsia" w:hAnsiTheme="minorEastAsia" w:cstheme="minorEastAsia"/>
          <w:color w:val="auto"/>
          <w:sz w:val="24"/>
          <w:szCs w:val="24"/>
          <w:lang w:eastAsia="zh-CN"/>
        </w:rPr>
        <w:t>人</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或</w:t>
      </w:r>
      <w:r>
        <w:rPr>
          <w:rFonts w:hint="eastAsia" w:asciiTheme="minorEastAsia" w:hAnsiTheme="minorEastAsia" w:eastAsiaTheme="minorEastAsia" w:cstheme="minorEastAsia"/>
          <w:color w:val="auto"/>
          <w:sz w:val="24"/>
          <w:szCs w:val="24"/>
        </w:rPr>
        <w:t>授权</w:t>
      </w:r>
      <w:r>
        <w:rPr>
          <w:rFonts w:hint="eastAsia" w:asciiTheme="minorEastAsia" w:hAnsiTheme="minorEastAsia" w:cstheme="minorEastAsia"/>
          <w:color w:val="auto"/>
          <w:sz w:val="24"/>
          <w:szCs w:val="24"/>
          <w:lang w:eastAsia="zh-CN"/>
        </w:rPr>
        <w:t>委托人</w:t>
      </w:r>
      <w:r>
        <w:rPr>
          <w:rFonts w:hint="eastAsia" w:asciiTheme="minorEastAsia" w:hAnsiTheme="minorEastAsia" w:eastAsiaTheme="minorEastAsia" w:cstheme="minorEastAsia"/>
          <w:color w:val="auto"/>
          <w:sz w:val="24"/>
          <w:szCs w:val="24"/>
        </w:rPr>
        <w:t>签字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或</w:t>
      </w:r>
      <w:r>
        <w:rPr>
          <w:rFonts w:hint="eastAsia" w:asciiTheme="minorEastAsia" w:hAnsiTheme="minorEastAsia" w:eastAsiaTheme="minorEastAsia" w:cstheme="minorEastAsia"/>
          <w:color w:val="auto"/>
          <w:sz w:val="24"/>
          <w:szCs w:val="24"/>
        </w:rPr>
        <w:t>授权</w:t>
      </w:r>
      <w:r>
        <w:rPr>
          <w:rFonts w:hint="eastAsia" w:asciiTheme="minorEastAsia" w:hAnsiTheme="minorEastAsia" w:cstheme="minorEastAsia"/>
          <w:color w:val="auto"/>
          <w:sz w:val="24"/>
          <w:szCs w:val="24"/>
          <w:lang w:eastAsia="zh-CN"/>
        </w:rPr>
        <w:t>委托人</w:t>
      </w:r>
      <w:r>
        <w:rPr>
          <w:rFonts w:hint="eastAsia" w:asciiTheme="minorEastAsia" w:hAnsiTheme="minorEastAsia" w:eastAsiaTheme="minorEastAsia" w:cstheme="minorEastAsia"/>
          <w:color w:val="auto"/>
          <w:sz w:val="24"/>
          <w:szCs w:val="24"/>
        </w:rPr>
        <w:t>签字</w:t>
      </w:r>
      <w:r>
        <w:rPr>
          <w:rFonts w:hint="eastAsia" w:asciiTheme="minorEastAsia" w:hAnsiTheme="minorEastAsia" w:eastAsiaTheme="minorEastAsia" w:cstheme="minorEastAsia"/>
          <w:color w:val="auto"/>
          <w:sz w:val="24"/>
          <w:szCs w:val="24"/>
          <w:lang w:eastAsia="zh-CN"/>
        </w:rPr>
        <w:t>：</w:t>
      </w:r>
    </w:p>
    <w:p>
      <w:pPr>
        <w:spacing w:line="360" w:lineRule="auto"/>
        <w:ind w:left="5280" w:hanging="5280" w:hangingChars="2200"/>
        <w:jc w:val="left"/>
        <w:rPr>
          <w:rFonts w:hint="eastAsia" w:asciiTheme="minorEastAsia" w:hAnsiTheme="minorEastAsia" w:eastAsiaTheme="minorEastAsia" w:cstheme="minorEastAsia"/>
          <w:b w:val="0"/>
          <w:bCs w:val="0"/>
          <w:sz w:val="28"/>
          <w:szCs w:val="28"/>
          <w:u w:val="none"/>
          <w:lang w:val="en-US" w:eastAsia="zh-CN"/>
        </w:rPr>
      </w:pPr>
      <w:r>
        <w:rPr>
          <w:rFonts w:hint="eastAsia" w:asciiTheme="minorEastAsia" w:hAnsiTheme="minorEastAsia" w:eastAsiaTheme="minorEastAsia" w:cstheme="minorEastAsia"/>
          <w:color w:val="auto"/>
          <w:sz w:val="24"/>
          <w:szCs w:val="24"/>
          <w:lang w:val="en-US" w:eastAsia="zh-CN"/>
        </w:rPr>
        <w:t>地址：中山市黄圃镇龙安街32号         地址：</w:t>
      </w:r>
    </w:p>
    <w:p>
      <w:pPr>
        <w:tabs>
          <w:tab w:val="left" w:pos="5670"/>
        </w:tabs>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lang w:val="en-US" w:eastAsia="zh-CN"/>
        </w:rPr>
        <w:t xml:space="preserve">联系方式：0760-23210186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联系方式： </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签订日期：</w:t>
      </w:r>
      <w:r>
        <w:rPr>
          <w:rFonts w:hint="eastAsia" w:asciiTheme="minorEastAsia" w:hAnsiTheme="minorEastAsia" w:eastAsiaTheme="minorEastAsia" w:cstheme="minorEastAsia"/>
          <w:color w:val="auto"/>
          <w:sz w:val="24"/>
          <w:szCs w:val="24"/>
          <w:lang w:eastAsia="zh-CN"/>
        </w:rPr>
        <w:t xml:space="preserve">   年</w:t>
      </w:r>
      <w:r>
        <w:rPr>
          <w:rFonts w:hint="eastAsia" w:asciiTheme="minorEastAsia" w:hAnsiTheme="minorEastAsia" w:eastAsiaTheme="minorEastAsia" w:cstheme="minorEastAsia"/>
          <w:color w:val="auto"/>
          <w:sz w:val="24"/>
          <w:szCs w:val="24"/>
          <w:lang w:val="en-US" w:eastAsia="zh-CN"/>
        </w:rPr>
        <w:t xml:space="preserve">    月    日</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签订日期：</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年</w:t>
      </w:r>
      <w:r>
        <w:rPr>
          <w:rFonts w:hint="eastAsia" w:asciiTheme="minorEastAsia" w:hAnsiTheme="minorEastAsia" w:eastAsiaTheme="minorEastAsia" w:cstheme="minorEastAsia"/>
          <w:color w:val="auto"/>
          <w:sz w:val="24"/>
          <w:szCs w:val="24"/>
          <w:lang w:val="en-US" w:eastAsia="zh-CN"/>
        </w:rPr>
        <w:t xml:space="preserve">    月    日</w:t>
      </w:r>
      <w:r>
        <w:rPr>
          <w:rFonts w:hint="eastAsia" w:asciiTheme="minorEastAsia" w:hAnsiTheme="minorEastAsia" w:eastAsiaTheme="minorEastAsia" w:cstheme="minorEastAsia"/>
          <w:color w:val="auto"/>
          <w:sz w:val="24"/>
          <w:szCs w:val="24"/>
          <w:lang w:eastAsia="zh-CN"/>
        </w:rPr>
        <w:t xml:space="preserve">       </w:t>
      </w:r>
    </w:p>
    <w:p>
      <w:pPr>
        <w:pStyle w:val="4"/>
        <w:spacing w:line="360" w:lineRule="auto"/>
        <w:ind w:left="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86F15"/>
    <w:rsid w:val="019A537A"/>
    <w:rsid w:val="03B55B58"/>
    <w:rsid w:val="09E045F4"/>
    <w:rsid w:val="0F0B6136"/>
    <w:rsid w:val="0F7070A4"/>
    <w:rsid w:val="11825917"/>
    <w:rsid w:val="131B54E6"/>
    <w:rsid w:val="139A408B"/>
    <w:rsid w:val="15D23CAB"/>
    <w:rsid w:val="17541E2D"/>
    <w:rsid w:val="234A1311"/>
    <w:rsid w:val="23C06578"/>
    <w:rsid w:val="258375DC"/>
    <w:rsid w:val="2FA942B0"/>
    <w:rsid w:val="330D16C1"/>
    <w:rsid w:val="3C9A2080"/>
    <w:rsid w:val="4C7F753A"/>
    <w:rsid w:val="567F5B4D"/>
    <w:rsid w:val="60576330"/>
    <w:rsid w:val="62EB1983"/>
    <w:rsid w:val="68BD6BED"/>
    <w:rsid w:val="6978070F"/>
    <w:rsid w:val="71786F15"/>
    <w:rsid w:val="749A1D01"/>
    <w:rsid w:val="75C82C6B"/>
    <w:rsid w:val="7C1B3735"/>
    <w:rsid w:val="7D154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rFonts w:ascii="宋体"/>
      <w:bCs/>
      <w:spacing w:val="10"/>
      <w:kern w:val="0"/>
      <w:sz w:val="24"/>
      <w:szCs w:val="20"/>
    </w:rPr>
  </w:style>
  <w:style w:type="paragraph" w:styleId="3">
    <w:name w:val="Body Text"/>
    <w:basedOn w:val="1"/>
    <w:next w:val="1"/>
    <w:qFormat/>
    <w:uiPriority w:val="0"/>
    <w:pPr>
      <w:spacing w:after="120"/>
    </w:pPr>
    <w:rPr>
      <w:rFonts w:ascii="Times New Roman" w:hAnsi="Times New Roman" w:cs="Times New Roman"/>
      <w:kern w:val="0"/>
      <w:sz w:val="24"/>
      <w:szCs w:val="24"/>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投标正文小四"/>
    <w:basedOn w:val="1"/>
    <w:qFormat/>
    <w:uiPriority w:val="0"/>
    <w:pPr>
      <w:spacing w:line="360" w:lineRule="auto"/>
      <w:ind w:firstLine="200" w:firstLineChars="200"/>
    </w:pPr>
    <w:rPr>
      <w:sz w:val="24"/>
    </w:rPr>
  </w:style>
  <w:style w:type="paragraph" w:customStyle="1" w:styleId="10">
    <w:name w:val="正文1"/>
    <w:qFormat/>
    <w:uiPriority w:val="0"/>
    <w:pPr>
      <w:widowControl w:val="0"/>
      <w:jc w:val="both"/>
    </w:pPr>
    <w:rPr>
      <w:rFonts w:ascii="Calibri" w:hAnsi="Calibri" w:eastAsia="宋体" w:cs="Times New Roman"/>
      <w:sz w:val="21"/>
      <w:szCs w:val="22"/>
      <w:lang w:val="en-US" w:eastAsia="zh-CN" w:bidi="ar-SA"/>
    </w:rPr>
  </w:style>
  <w:style w:type="paragraph" w:customStyle="1" w:styleId="11">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12">
    <w:name w:val="_Style 5"/>
    <w:basedOn w:val="1"/>
    <w:qFormat/>
    <w:uiPriority w:val="0"/>
    <w:pPr>
      <w:ind w:firstLine="420" w:firstLineChars="200"/>
    </w:pPr>
  </w:style>
  <w:style w:type="paragraph" w:customStyle="1" w:styleId="1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2025-05-27T07:16:00Z</dcterms:created>
  <dc:creator>黎凤婵</dc:creator>
  <cp:lastModifiedBy>赖宇娟</cp:lastModifiedBy>
  <dcterms:modified xsi:type="dcterms:W3CDTF">2026-06-12T08:31:26Z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