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contextualSpacing/>
        <w:jc w:val="left"/>
        <w:rPr>
          <w:rFonts w:hint="eastAsia" w:ascii="仿宋" w:hAnsi="仿宋" w:eastAsia="仿宋" w:cs="仿宋"/>
          <w:b/>
          <w:color w:val="auto"/>
          <w:spacing w:val="20"/>
          <w:sz w:val="24"/>
          <w:szCs w:val="24"/>
          <w:highlight w:val="none"/>
          <w:lang w:eastAsia="zh-CN"/>
        </w:rPr>
      </w:pPr>
      <w:r>
        <w:rPr>
          <w:rFonts w:hint="eastAsia" w:ascii="仿宋" w:hAnsi="仿宋" w:eastAsia="仿宋" w:cs="仿宋"/>
          <w:b/>
          <w:color w:val="auto"/>
          <w:spacing w:val="20"/>
          <w:sz w:val="24"/>
          <w:szCs w:val="24"/>
          <w:highlight w:val="none"/>
          <w:lang w:eastAsia="zh-CN"/>
        </w:rPr>
        <w:t>附件</w:t>
      </w:r>
      <w:r>
        <w:rPr>
          <w:rFonts w:hint="eastAsia" w:ascii="仿宋" w:hAnsi="仿宋" w:eastAsia="仿宋" w:cs="仿宋"/>
          <w:b/>
          <w:color w:val="auto"/>
          <w:spacing w:val="20"/>
          <w:sz w:val="24"/>
          <w:szCs w:val="24"/>
          <w:highlight w:val="none"/>
          <w:lang w:val="en-US" w:eastAsia="zh-CN"/>
        </w:rPr>
        <w:t>5：</w:t>
      </w:r>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r>
        <w:rPr>
          <w:rFonts w:hint="eastAsia" w:ascii="仿宋" w:hAnsi="仿宋" w:eastAsia="仿宋" w:cs="仿宋"/>
          <w:b/>
          <w:color w:val="auto"/>
          <w:spacing w:val="20"/>
          <w:sz w:val="52"/>
          <w:szCs w:val="52"/>
          <w:highlight w:val="none"/>
        </w:rPr>
        <w:t>中山市黄圃人民医院</w:t>
      </w:r>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bookmarkStart w:id="0" w:name="OLE_LINK1"/>
      <w:r>
        <w:rPr>
          <w:rFonts w:hint="eastAsia" w:ascii="仿宋" w:hAnsi="仿宋" w:eastAsia="仿宋" w:cs="仿宋"/>
          <w:b/>
          <w:color w:val="auto"/>
          <w:spacing w:val="20"/>
          <w:sz w:val="52"/>
          <w:szCs w:val="52"/>
          <w:highlight w:val="none"/>
          <w:lang w:val="en-US" w:eastAsia="zh-CN"/>
        </w:rPr>
        <w:t>网闸及配套设备采购</w:t>
      </w:r>
      <w:r>
        <w:rPr>
          <w:rFonts w:hint="eastAsia" w:ascii="仿宋" w:hAnsi="仿宋" w:eastAsia="仿宋" w:cs="仿宋"/>
          <w:b/>
          <w:color w:val="auto"/>
          <w:spacing w:val="20"/>
          <w:sz w:val="52"/>
          <w:szCs w:val="52"/>
          <w:highlight w:val="none"/>
        </w:rPr>
        <w:t>合同</w:t>
      </w:r>
      <w:bookmarkEnd w:id="0"/>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p>
    <w:p>
      <w:pPr>
        <w:pStyle w:val="3"/>
        <w:spacing w:line="300" w:lineRule="auto"/>
        <w:contextualSpacing/>
        <w:rPr>
          <w:color w:val="auto"/>
          <w:sz w:val="52"/>
          <w:szCs w:val="52"/>
          <w:highlight w:val="none"/>
        </w:rPr>
      </w:pPr>
    </w:p>
    <w:p>
      <w:pPr>
        <w:pStyle w:val="3"/>
        <w:spacing w:line="300" w:lineRule="auto"/>
        <w:contextualSpacing/>
        <w:rPr>
          <w:color w:val="auto"/>
          <w:sz w:val="52"/>
          <w:szCs w:val="52"/>
          <w:highlight w:val="none"/>
        </w:rPr>
      </w:pPr>
    </w:p>
    <w:p>
      <w:pPr>
        <w:pStyle w:val="3"/>
        <w:spacing w:line="300" w:lineRule="auto"/>
        <w:contextualSpacing/>
        <w:rPr>
          <w:color w:val="auto"/>
          <w:sz w:val="52"/>
          <w:szCs w:val="52"/>
          <w:highlight w:val="none"/>
          <w:u w:val="single"/>
        </w:rPr>
      </w:pPr>
    </w:p>
    <w:p>
      <w:pPr>
        <w:adjustRightInd w:val="0"/>
        <w:snapToGrid w:val="0"/>
        <w:spacing w:line="300" w:lineRule="auto"/>
        <w:jc w:val="center"/>
        <w:rPr>
          <w:rFonts w:hint="eastAsia" w:ascii="仿宋" w:hAnsi="仿宋" w:eastAsia="仿宋"/>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r>
        <w:rPr>
          <w:rFonts w:hint="eastAsia" w:ascii="仿宋" w:hAnsi="仿宋" w:eastAsia="仿宋"/>
          <w:b/>
          <w:color w:val="auto"/>
          <w:sz w:val="24"/>
          <w:highlight w:val="none"/>
        </w:rPr>
        <w:t>采购方：</w:t>
      </w:r>
      <w:r>
        <w:rPr>
          <w:rFonts w:ascii="仿宋" w:hAnsi="仿宋" w:eastAsia="仿宋"/>
          <w:b/>
          <w:color w:val="auto"/>
          <w:sz w:val="24"/>
          <w:highlight w:val="none"/>
        </w:rPr>
        <w:t>（</w:t>
      </w:r>
      <w:r>
        <w:rPr>
          <w:rFonts w:hint="eastAsia" w:ascii="仿宋" w:hAnsi="仿宋" w:eastAsia="仿宋"/>
          <w:b/>
          <w:color w:val="auto"/>
          <w:sz w:val="24"/>
          <w:highlight w:val="none"/>
        </w:rPr>
        <w:t>甲</w:t>
      </w:r>
      <w:r>
        <w:rPr>
          <w:rFonts w:ascii="仿宋" w:hAnsi="仿宋" w:eastAsia="仿宋"/>
          <w:b/>
          <w:color w:val="auto"/>
          <w:sz w:val="24"/>
          <w:highlight w:val="none"/>
        </w:rPr>
        <w:t>方）</w:t>
      </w:r>
      <w:r>
        <w:rPr>
          <w:rFonts w:hint="eastAsia" w:ascii="仿宋" w:hAnsi="仿宋" w:eastAsia="仿宋"/>
          <w:b/>
          <w:color w:val="auto"/>
          <w:sz w:val="24"/>
          <w:highlight w:val="none"/>
          <w:u w:val="single"/>
        </w:rPr>
        <w:t xml:space="preserve">中山市黄圃人民医院             </w:t>
      </w:r>
    </w:p>
    <w:p>
      <w:pPr>
        <w:adjustRightInd w:val="0"/>
        <w:snapToGrid w:val="0"/>
        <w:spacing w:line="480" w:lineRule="auto"/>
        <w:ind w:firstLine="831" w:firstLineChars="345"/>
        <w:rPr>
          <w:rFonts w:hint="eastAsia" w:ascii="仿宋" w:hAnsi="仿宋" w:eastAsia="仿宋"/>
          <w:b/>
          <w:color w:val="auto"/>
          <w:sz w:val="24"/>
          <w:highlight w:val="none"/>
          <w:u w:val="single"/>
          <w:lang w:val="en-US" w:eastAsia="zh-CN"/>
        </w:rPr>
      </w:pPr>
      <w:r>
        <w:rPr>
          <w:rFonts w:hint="eastAsia" w:ascii="仿宋" w:hAnsi="仿宋" w:eastAsia="仿宋"/>
          <w:b/>
          <w:color w:val="auto"/>
          <w:sz w:val="24"/>
          <w:highlight w:val="none"/>
        </w:rPr>
        <w:t>供货方</w:t>
      </w:r>
      <w:r>
        <w:rPr>
          <w:rFonts w:ascii="仿宋" w:hAnsi="仿宋" w:eastAsia="仿宋"/>
          <w:b/>
          <w:color w:val="auto"/>
          <w:sz w:val="24"/>
          <w:highlight w:val="none"/>
        </w:rPr>
        <w:t>:（</w:t>
      </w:r>
      <w:r>
        <w:rPr>
          <w:rFonts w:hint="eastAsia" w:ascii="仿宋" w:hAnsi="仿宋" w:eastAsia="仿宋"/>
          <w:b/>
          <w:color w:val="auto"/>
          <w:sz w:val="24"/>
          <w:highlight w:val="none"/>
        </w:rPr>
        <w:t>乙</w:t>
      </w:r>
      <w:r>
        <w:rPr>
          <w:rFonts w:ascii="仿宋" w:hAnsi="仿宋" w:eastAsia="仿宋"/>
          <w:b/>
          <w:color w:val="auto"/>
          <w:sz w:val="24"/>
          <w:highlight w:val="none"/>
        </w:rPr>
        <w:t>方）</w:t>
      </w:r>
      <w:r>
        <w:rPr>
          <w:rFonts w:hint="eastAsia" w:ascii="仿宋" w:hAnsi="仿宋" w:eastAsia="仿宋"/>
          <w:b/>
          <w:color w:val="auto"/>
          <w:sz w:val="24"/>
          <w:highlight w:val="none"/>
          <w:u w:val="single"/>
          <w:lang w:val="en-US" w:eastAsia="zh-CN"/>
        </w:rPr>
        <w:t>XXX</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u w:val="single"/>
          <w:lang w:val="en-US" w:eastAsia="zh-CN"/>
        </w:rPr>
        <w:t xml:space="preserve"> </w:t>
      </w: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bookmarkStart w:id="1" w:name="_GoBack"/>
      <w:bookmarkEnd w:id="1"/>
    </w:p>
    <w:p>
      <w:pPr>
        <w:adjustRightInd w:val="0"/>
        <w:snapToGrid w:val="0"/>
        <w:spacing w:line="480" w:lineRule="auto"/>
        <w:ind w:firstLine="831" w:firstLineChars="345"/>
        <w:rPr>
          <w:rFonts w:hint="eastAsia" w:ascii="仿宋" w:hAnsi="仿宋" w:eastAsia="仿宋"/>
          <w:b/>
          <w:color w:val="auto"/>
          <w:sz w:val="24"/>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br w:type="page"/>
      </w: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第一条 合同目的</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鉴于甲方</w:t>
      </w:r>
      <w:r>
        <w:rPr>
          <w:rFonts w:hint="eastAsia" w:ascii="宋体" w:hAnsi="宋体"/>
          <w:color w:val="auto"/>
          <w:szCs w:val="21"/>
          <w:highlight w:val="none"/>
          <w:lang w:val="en-US" w:eastAsia="zh-CN"/>
        </w:rPr>
        <w:t>网络安全防护需要</w:t>
      </w:r>
      <w:r>
        <w:rPr>
          <w:rFonts w:hint="eastAsia" w:ascii="宋体" w:hAnsi="宋体"/>
          <w:color w:val="auto"/>
          <w:szCs w:val="21"/>
          <w:highlight w:val="none"/>
        </w:rPr>
        <w:t>，需采购</w:t>
      </w:r>
      <w:r>
        <w:rPr>
          <w:rFonts w:hint="eastAsia" w:ascii="宋体" w:hAnsi="宋体" w:cs="宋体"/>
          <w:i w:val="0"/>
          <w:iCs w:val="0"/>
          <w:caps w:val="0"/>
          <w:color w:val="auto"/>
          <w:spacing w:val="0"/>
          <w:sz w:val="21"/>
          <w:szCs w:val="21"/>
          <w:highlight w:val="none"/>
          <w:shd w:val="clear" w:color="auto" w:fill="FFFFFF"/>
          <w:vertAlign w:val="baseline"/>
          <w:lang w:val="en-US" w:eastAsia="zh-CN"/>
        </w:rPr>
        <w:t>网闸及配套设备</w:t>
      </w:r>
      <w:r>
        <w:rPr>
          <w:rFonts w:hint="eastAsia" w:ascii="宋体" w:hAnsi="宋体"/>
          <w:color w:val="auto"/>
          <w:szCs w:val="21"/>
          <w:highlight w:val="none"/>
        </w:rPr>
        <w:t>（以下简称“设备”）用于</w:t>
      </w:r>
      <w:r>
        <w:rPr>
          <w:rFonts w:hint="eastAsia" w:ascii="宋体" w:hAnsi="宋体"/>
          <w:color w:val="auto"/>
          <w:szCs w:val="21"/>
          <w:highlight w:val="none"/>
          <w:lang w:val="en-US" w:eastAsia="zh-CN"/>
        </w:rPr>
        <w:t>网络安全防护</w:t>
      </w:r>
      <w:r>
        <w:rPr>
          <w:rFonts w:hint="eastAsia" w:ascii="宋体" w:hAnsi="宋体"/>
          <w:color w:val="auto"/>
          <w:szCs w:val="21"/>
          <w:highlight w:val="none"/>
        </w:rPr>
        <w:t>；乙方具备提供符合甲方需求的设备及服务的资质与能力。根据《中华人民共和国民法典》《中华人民共和国个人信息保护法》及相关法律法规，经平等协商，达成如下协议：</w:t>
      </w:r>
    </w:p>
    <w:p>
      <w:pPr>
        <w:spacing w:line="360" w:lineRule="exact"/>
        <w:rPr>
          <w:rFonts w:hint="eastAsia" w:ascii="宋体" w:hAnsi="宋体"/>
          <w:color w:val="auto"/>
          <w:szCs w:val="21"/>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t>第二条 采购内容与规格</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合计总价：大写人民币</w:t>
      </w:r>
      <w:r>
        <w:rPr>
          <w:rFonts w:hint="eastAsia" w:ascii="宋体" w:hAnsi="宋体"/>
          <w:color w:val="FF0000"/>
          <w:szCs w:val="21"/>
          <w:highlight w:val="none"/>
          <w:lang w:val="en-US" w:eastAsia="zh-CN"/>
        </w:rPr>
        <w:t>XXX</w:t>
      </w:r>
      <w:r>
        <w:rPr>
          <w:rFonts w:hint="eastAsia" w:ascii="宋体" w:hAnsi="宋体"/>
          <w:color w:val="auto"/>
          <w:szCs w:val="21"/>
          <w:highlight w:val="none"/>
        </w:rPr>
        <w:t>元整（小写：¥</w:t>
      </w:r>
      <w:r>
        <w:rPr>
          <w:rFonts w:hint="eastAsia" w:ascii="宋体" w:hAnsi="宋体"/>
          <w:color w:val="FF0000"/>
          <w:szCs w:val="21"/>
          <w:highlight w:val="none"/>
          <w:lang w:val="en-US" w:eastAsia="zh-CN"/>
        </w:rPr>
        <w:t>XXX</w:t>
      </w:r>
      <w:r>
        <w:rPr>
          <w:rFonts w:hint="eastAsia" w:ascii="宋体" w:hAnsi="宋体"/>
          <w:color w:val="auto"/>
          <w:szCs w:val="21"/>
          <w:highlight w:val="none"/>
          <w:lang w:val="en-US" w:eastAsia="zh-CN"/>
        </w:rPr>
        <w:t>.00</w:t>
      </w:r>
      <w:r>
        <w:rPr>
          <w:rFonts w:hint="eastAsia" w:ascii="宋体" w:hAnsi="宋体"/>
          <w:color w:val="auto"/>
          <w:szCs w:val="21"/>
          <w:highlight w:val="none"/>
        </w:rPr>
        <w:t>）。</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.2 </w:t>
      </w:r>
      <w:r>
        <w:rPr>
          <w:rFonts w:hint="eastAsia" w:ascii="宋体" w:hAnsi="宋体" w:cs="宋体"/>
          <w:sz w:val="21"/>
          <w:szCs w:val="21"/>
          <w:lang w:eastAsia="zh-CN"/>
        </w:rPr>
        <w:t>项目建设期：总工期为</w:t>
      </w:r>
      <w:r>
        <w:rPr>
          <w:rFonts w:hint="eastAsia" w:ascii="宋体" w:hAnsi="宋体" w:cs="宋体"/>
          <w:sz w:val="21"/>
          <w:szCs w:val="21"/>
          <w:lang w:val="en-US" w:eastAsia="zh-CN"/>
        </w:rPr>
        <w:t>壹</w:t>
      </w:r>
      <w:r>
        <w:rPr>
          <w:rFonts w:hint="eastAsia" w:ascii="宋体" w:hAnsi="宋体" w:cs="宋体"/>
          <w:sz w:val="21"/>
          <w:szCs w:val="21"/>
          <w:lang w:eastAsia="zh-CN"/>
        </w:rPr>
        <w:t>个月（自本项目合同正式签订之日起计算）。</w:t>
      </w:r>
      <w:r>
        <w:rPr>
          <w:rFonts w:hint="eastAsia" w:ascii="宋体" w:hAnsi="宋体"/>
          <w:color w:val="auto"/>
          <w:szCs w:val="21"/>
          <w:highlight w:val="none"/>
          <w:lang w:val="en-US" w:eastAsia="zh-CN"/>
        </w:rPr>
        <w:t>设备质保期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叁</w:t>
      </w:r>
      <w:r>
        <w:rPr>
          <w:rFonts w:hint="eastAsia" w:ascii="宋体" w:hAnsi="宋体"/>
          <w:color w:val="auto"/>
          <w:szCs w:val="21"/>
          <w:highlight w:val="none"/>
        </w:rPr>
        <w:t>年（自验收之日起</w:t>
      </w:r>
      <w:r>
        <w:rPr>
          <w:rFonts w:hint="eastAsia" w:ascii="宋体" w:hAnsi="宋体"/>
          <w:color w:val="auto"/>
          <w:szCs w:val="21"/>
          <w:highlight w:val="none"/>
          <w:lang w:val="en-US" w:eastAsia="zh-CN"/>
        </w:rPr>
        <w:t>叁</w:t>
      </w:r>
      <w:r>
        <w:rPr>
          <w:rFonts w:hint="eastAsia" w:ascii="宋体" w:hAnsi="宋体"/>
          <w:color w:val="auto"/>
          <w:szCs w:val="21"/>
          <w:highlight w:val="none"/>
        </w:rPr>
        <w:t>年）。</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设备采购清单：</w:t>
      </w:r>
    </w:p>
    <w:p>
      <w:pPr>
        <w:spacing w:line="360" w:lineRule="exact"/>
        <w:ind w:firstLine="500" w:firstLineChars="200"/>
        <w:jc w:val="right"/>
        <w:rPr>
          <w:rFonts w:hint="eastAsia" w:ascii="宋体" w:hAnsi="宋体"/>
          <w:color w:val="auto"/>
          <w:szCs w:val="21"/>
          <w:highlight w:val="none"/>
        </w:rPr>
      </w:pPr>
      <w:r>
        <w:rPr>
          <w:rFonts w:hint="eastAsia" w:ascii="宋体" w:hAnsi="宋体"/>
          <w:color w:val="auto"/>
          <w:spacing w:val="20"/>
          <w:szCs w:val="21"/>
          <w:highlight w:val="none"/>
        </w:rPr>
        <w:t>货币单位：人民币元</w:t>
      </w:r>
    </w:p>
    <w:tbl>
      <w:tblPr>
        <w:tblStyle w:val="9"/>
        <w:tblW w:w="8796"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421"/>
        <w:gridCol w:w="1965"/>
        <w:gridCol w:w="1185"/>
        <w:gridCol w:w="1042"/>
        <w:gridCol w:w="131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71" w:type="dxa"/>
            <w:shd w:val="clear" w:color="auto" w:fill="D9D9D9"/>
            <w:vAlign w:val="center"/>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名称</w:t>
            </w:r>
          </w:p>
        </w:tc>
        <w:tc>
          <w:tcPr>
            <w:tcW w:w="1421" w:type="dxa"/>
            <w:shd w:val="clear" w:color="auto" w:fill="D9D9D9"/>
            <w:vAlign w:val="center"/>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规格型号</w:t>
            </w:r>
          </w:p>
        </w:tc>
        <w:tc>
          <w:tcPr>
            <w:tcW w:w="1965" w:type="dxa"/>
            <w:shd w:val="clear" w:color="auto" w:fill="D9D9D9"/>
            <w:vAlign w:val="center"/>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生产厂家</w:t>
            </w:r>
          </w:p>
        </w:tc>
        <w:tc>
          <w:tcPr>
            <w:tcW w:w="1185" w:type="dxa"/>
            <w:shd w:val="clear" w:color="auto" w:fill="D9D9D9"/>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单价</w:t>
            </w:r>
          </w:p>
        </w:tc>
        <w:tc>
          <w:tcPr>
            <w:tcW w:w="1042" w:type="dxa"/>
            <w:shd w:val="clear" w:color="auto" w:fill="D9D9D9"/>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数量</w:t>
            </w:r>
          </w:p>
        </w:tc>
        <w:tc>
          <w:tcPr>
            <w:tcW w:w="1312" w:type="dxa"/>
            <w:shd w:val="clear" w:color="auto" w:fill="D9D9D9"/>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71"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eastAsia="宋体" w:cs="宋体"/>
                <w:szCs w:val="24"/>
              </w:rPr>
              <w:t>网闸</w:t>
            </w:r>
          </w:p>
        </w:tc>
        <w:tc>
          <w:tcPr>
            <w:tcW w:w="1421" w:type="dxa"/>
            <w:vAlign w:val="center"/>
          </w:tcPr>
          <w:p>
            <w:pPr>
              <w:tabs>
                <w:tab w:val="left" w:pos="1365"/>
              </w:tabs>
              <w:spacing w:before="156" w:beforeLines="50" w:after="156" w:afterLines="50" w:line="360" w:lineRule="exact"/>
              <w:jc w:val="center"/>
              <w:rPr>
                <w:rFonts w:hint="default" w:ascii="宋体" w:hAnsi="宋体"/>
                <w:color w:val="auto"/>
                <w:spacing w:val="20"/>
                <w:szCs w:val="21"/>
                <w:highlight w:val="none"/>
                <w:lang w:val="en-US"/>
              </w:rPr>
            </w:pPr>
            <w:r>
              <w:rPr>
                <w:rFonts w:hint="eastAsia" w:ascii="宋体" w:hAnsi="宋体"/>
                <w:color w:val="auto"/>
                <w:spacing w:val="20"/>
                <w:szCs w:val="21"/>
                <w:highlight w:val="none"/>
                <w:lang w:val="en-US" w:eastAsia="zh-CN"/>
              </w:rPr>
              <w:t>XXX</w:t>
            </w:r>
          </w:p>
        </w:tc>
        <w:tc>
          <w:tcPr>
            <w:tcW w:w="1965"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XXX</w:t>
            </w:r>
          </w:p>
        </w:tc>
        <w:tc>
          <w:tcPr>
            <w:tcW w:w="1185"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color w:val="auto"/>
                <w:spacing w:val="20"/>
                <w:szCs w:val="21"/>
                <w:highlight w:val="none"/>
              </w:rPr>
            </w:pPr>
            <w:r>
              <w:rPr>
                <w:rFonts w:hint="eastAsia" w:ascii="宋体" w:hAnsi="宋体"/>
                <w:color w:val="auto"/>
                <w:spacing w:val="20"/>
                <w:szCs w:val="21"/>
                <w:highlight w:val="none"/>
                <w:lang w:val="en-US" w:eastAsia="zh-CN"/>
              </w:rPr>
              <w:t>1</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71" w:type="dxa"/>
            <w:vAlign w:val="center"/>
          </w:tcPr>
          <w:p>
            <w:pPr>
              <w:tabs>
                <w:tab w:val="left" w:pos="1365"/>
              </w:tabs>
              <w:spacing w:before="156" w:beforeLines="50" w:after="156" w:afterLines="50" w:line="360" w:lineRule="exact"/>
              <w:jc w:val="center"/>
              <w:rPr>
                <w:rFonts w:hint="eastAsia" w:ascii="宋体" w:hAnsi="宋体"/>
                <w:color w:val="auto"/>
                <w:spacing w:val="20"/>
                <w:szCs w:val="21"/>
                <w:highlight w:val="none"/>
                <w:lang w:val="en-US" w:eastAsia="zh-CN"/>
              </w:rPr>
            </w:pPr>
            <w:r>
              <w:rPr>
                <w:rFonts w:hAnsi="宋体" w:cs="宋体"/>
                <w:szCs w:val="24"/>
              </w:rPr>
              <w:t>内网处理单元</w:t>
            </w:r>
            <w:r>
              <w:rPr>
                <w:rFonts w:hint="eastAsia" w:ascii="宋体" w:hAnsi="宋体" w:eastAsia="宋体" w:cs="宋体"/>
                <w:szCs w:val="24"/>
              </w:rPr>
              <w:t>与</w:t>
            </w:r>
            <w:r>
              <w:rPr>
                <w:rFonts w:hAnsi="宋体" w:cs="宋体"/>
                <w:szCs w:val="24"/>
              </w:rPr>
              <w:t>外网处理单元</w:t>
            </w:r>
          </w:p>
        </w:tc>
        <w:tc>
          <w:tcPr>
            <w:tcW w:w="1421"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965"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185"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2</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71" w:type="dxa"/>
            <w:vAlign w:val="center"/>
          </w:tcPr>
          <w:p>
            <w:pPr>
              <w:tabs>
                <w:tab w:val="left" w:pos="1365"/>
              </w:tabs>
              <w:spacing w:before="156" w:beforeLines="50" w:after="156" w:afterLines="50" w:line="360" w:lineRule="exact"/>
              <w:jc w:val="center"/>
              <w:rPr>
                <w:rFonts w:hint="eastAsia" w:ascii="宋体" w:hAnsi="宋体"/>
                <w:color w:val="auto"/>
                <w:spacing w:val="20"/>
                <w:szCs w:val="21"/>
                <w:highlight w:val="none"/>
                <w:lang w:val="en-US" w:eastAsia="zh-CN"/>
              </w:rPr>
            </w:pPr>
            <w:r>
              <w:rPr>
                <w:rFonts w:hint="eastAsia" w:hAnsi="宋体" w:cs="宋体"/>
                <w:color w:val="auto"/>
                <w:szCs w:val="24"/>
              </w:rPr>
              <w:t>交换机</w:t>
            </w:r>
          </w:p>
        </w:tc>
        <w:tc>
          <w:tcPr>
            <w:tcW w:w="1421"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965"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185"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1</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796" w:type="dxa"/>
            <w:gridSpan w:val="6"/>
            <w:vAlign w:val="center"/>
          </w:tcPr>
          <w:p>
            <w:pPr>
              <w:tabs>
                <w:tab w:val="left" w:pos="1365"/>
              </w:tabs>
              <w:spacing w:before="156" w:beforeLines="50" w:after="156" w:afterLines="50" w:line="360" w:lineRule="exact"/>
              <w:jc w:val="center"/>
              <w:rPr>
                <w:rFonts w:hint="eastAsia" w:ascii="宋体" w:hAnsi="宋体" w:cs="宋体"/>
                <w:color w:val="auto"/>
                <w:spacing w:val="20"/>
                <w:szCs w:val="21"/>
                <w:highlight w:val="none"/>
              </w:rPr>
            </w:pPr>
            <w:r>
              <w:rPr>
                <w:rFonts w:hint="eastAsia" w:ascii="宋体" w:hAnsi="宋体" w:cs="宋体"/>
                <w:color w:val="auto"/>
                <w:spacing w:val="20"/>
                <w:szCs w:val="21"/>
                <w:highlight w:val="none"/>
              </w:rPr>
              <w:t>备注：本报价含增值税普通发票</w:t>
            </w:r>
          </w:p>
        </w:tc>
      </w:tr>
    </w:tbl>
    <w:p>
      <w:pPr>
        <w:spacing w:line="360" w:lineRule="exact"/>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2.3 </w:t>
      </w:r>
      <w:r>
        <w:rPr>
          <w:rFonts w:hint="eastAsia" w:ascii="宋体" w:hAnsi="宋体"/>
          <w:color w:val="auto"/>
          <w:szCs w:val="21"/>
          <w:highlight w:val="none"/>
        </w:rPr>
        <w:t>设备技术标准</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（一）网闸</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▲1配置:≥1U标准机架设备，冗余电源:端口:内网主机设备提供≥6个千兆电口，接口扩展槽≥1,串口(RJ45)≥1;外网主机设备提供≥6个千兆电口，接口扩展槽≥1串口(RJ45)≥1。提供5年技术支持服务。</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性能要求:系统吞吐量≥600Mbps，最大并发连接数≥8万，延时&lt;1ms;最大视频并发数(4Mbps)≥60路;支持WEB方式访问;有效的保护了来往的数据、文件、音视频、图片的安全;防病毒支持多引擎，可根据用户需求选择需要的病毒引擎;满足文件交换、FTP访问，数据库交换，安全浏览，邮件传输，视频传输，安全通道，工控等使用场景:支持 NFS、CIFS (SAMBA) 、FTP、SFTP等文件系统，FTP文件交换支持SSL加密;支持抗DDoS攻击功能，支持断点续传、增量传输、发送后删除、改名传输、延时传输等策略，支持文件格式特征过滤。可选防病毒功能，支持双引擎病毒模块，可根据用户需求选择需要的病毒引擎（提供承诺函并加盖供应商公章，格式见附件4）；同时，提供第三方机构（中国信息安全测评中心、中国信息安全认证中心、公安部检验/检测中心、中国网络安全审查技术与认证中心、国家知识产权局、商用密码检测认证中心和国家版权局中的任一单位）出具网络安全控制技术相关的检验报告。</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（二）内网处理单元与外网处理单元</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▲1.CPU数量：≥1颗，核心数：≥8核，线程数：≥16线程，主频：≥2.4GHz。</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内存≥32GB。硬盘≥512GB SSD固态硬盘。网卡≥2个千兆以太网卡。</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▲2.预安装最新正版商业授权银河麒麟国产化操作系统。</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▲3.操作系统安全：提供服务器端安全防护软件及安全管理平台软件。</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（三）交换机</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▲1.28个10/100/1000Base-T自适应以太网端口，其中8个是combo口，4个万兆SFP+口。（提供承诺函并加盖供应商公章，格式见附件4）</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▲2.背板带宽‌：598 Gbps（5.98 Tbps）。（提供承诺函并加盖供应商公章，格式见附件4）</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▲3.应用层级‌：三层（支持路由功能）‌包转发率‌：222 Mpps，支持双电源冗余。</w:t>
      </w:r>
    </w:p>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 服务要求</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（一）按国家规定的产品三包期限要求。</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（二）供应商提供的货物质量必须符合国家相关标准、行业标准及采购文件要求。</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三）供应商提供的货物必须为原装出厂、正版、全新未启封、无污、表面无划痕、无缺陷隐患的产品，来源渠道合法，各项技术指标符合国家有关质量检测和环保标准，且无任何的侵权行为，货物在开箱检验时必须完好，无破损。</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★（四）供应商提供的货物须按国家规定的标准及保护措施进行包装，包装材料、标识和随货资料应符合国家的有关要求。凡由于包装不良造成的损失和由此产生的费用均由供应商承担。</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★（五）质保期≥5年。质保期内非因采购人的人为原因而出现产品质量及安装问题，由成交供应商负责包修、包换或包退，并承担因此而产生的一切费用。</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（六）配套改造服务</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▲1为提高系统升级和维护能力，部署安装机房网络桥架。</w:t>
      </w:r>
    </w:p>
    <w:p>
      <w:pPr>
        <w:spacing w:line="36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▲2充分结合现有新旧设备部署情况，重新优化现有线路与新增线路。</w:t>
      </w:r>
    </w:p>
    <w:p>
      <w:pPr>
        <w:numPr>
          <w:ilvl w:val="0"/>
          <w:numId w:val="1"/>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交货与验收</w:t>
      </w:r>
    </w:p>
    <w:p>
      <w:pPr>
        <w:spacing w:line="360" w:lineRule="exact"/>
        <w:ind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3.1 交货时间：乙方应于合同签订后5日内，将设备运送至甲方指定地点（黄圃人民医院</w:t>
      </w:r>
      <w:r>
        <w:rPr>
          <w:rFonts w:hint="eastAsia" w:ascii="宋体" w:hAnsi="宋体" w:cs="宋体"/>
          <w:b w:val="0"/>
          <w:bCs w:val="0"/>
          <w:color w:val="auto"/>
          <w:szCs w:val="21"/>
          <w:highlight w:val="none"/>
          <w:lang w:val="en-US" w:eastAsia="zh-CN"/>
        </w:rPr>
        <w:t>医技楼七楼信息科信息机房</w:t>
      </w:r>
      <w:r>
        <w:rPr>
          <w:rFonts w:hint="eastAsia" w:ascii="宋体" w:hAnsi="宋体" w:eastAsia="宋体" w:cs="宋体"/>
          <w:b w:val="0"/>
          <w:bCs w:val="0"/>
          <w:color w:val="auto"/>
          <w:szCs w:val="21"/>
          <w:highlight w:val="none"/>
          <w:lang w:val="en-US" w:eastAsia="zh-CN"/>
        </w:rPr>
        <w:t>）。</w:t>
      </w:r>
    </w:p>
    <w:p>
      <w:pPr>
        <w:spacing w:line="360" w:lineRule="exact"/>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3.2 交货方式：乙方负责运输并承担运费及运输风险，设备外包装须完好无损。</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 安装与</w:t>
      </w:r>
      <w:r>
        <w:rPr>
          <w:rFonts w:hint="eastAsia" w:ascii="宋体" w:hAnsi="宋体" w:cs="宋体"/>
          <w:color w:val="auto"/>
          <w:szCs w:val="21"/>
          <w:highlight w:val="none"/>
          <w:lang w:val="en-US" w:eastAsia="zh-CN"/>
        </w:rPr>
        <w:t>交付</w:t>
      </w:r>
      <w:r>
        <w:rPr>
          <w:rFonts w:hint="eastAsia" w:ascii="宋体" w:hAnsi="宋体" w:eastAsia="宋体" w:cs="宋体"/>
          <w:color w:val="auto"/>
          <w:szCs w:val="21"/>
          <w:highlight w:val="none"/>
          <w:lang w:val="en-US" w:eastAsia="zh-CN"/>
        </w:rPr>
        <w:t>：乙方负责设备的安装、调试及操作培训，确保设备与甲方的</w:t>
      </w:r>
      <w:r>
        <w:rPr>
          <w:rFonts w:hint="eastAsia" w:ascii="宋体" w:hAnsi="宋体" w:cs="宋体"/>
          <w:color w:val="auto"/>
          <w:szCs w:val="21"/>
          <w:highlight w:val="none"/>
          <w:lang w:val="en-US" w:eastAsia="zh-CN"/>
        </w:rPr>
        <w:t>机柜、现有网络环境</w:t>
      </w:r>
      <w:r>
        <w:rPr>
          <w:rFonts w:hint="eastAsia" w:ascii="宋体" w:hAnsi="宋体" w:eastAsia="宋体" w:cs="宋体"/>
          <w:color w:val="auto"/>
          <w:szCs w:val="21"/>
          <w:highlight w:val="none"/>
          <w:lang w:val="en-US" w:eastAsia="zh-CN"/>
        </w:rPr>
        <w:t>对接无误，安装完成后，双方验收。</w:t>
      </w:r>
    </w:p>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3.4 验收标准：</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甲方在收到设备后依据本合同第二条和附件标准进行现场验收，验收内容包括设备外观、数量、技术参数、功能测试，具体如下：</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（1）硬件参数验收</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闸设备采用1U机箱、冗余电源，内外网端口、扩展槽、串口配置均满足合同标准；内外网处理单元CPU、主频、线程、内存、固态硬盘、网卡配置足额达标，预装正版银河麒麟高级服务器国产化操作系统，并部署配套安全防护软件及安全管理平台。</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（2）性能及功能验收</w:t>
      </w:r>
    </w:p>
    <w:p>
      <w:pPr>
        <w:keepNext w:val="0"/>
        <w:keepLines w:val="0"/>
        <w:widowControl/>
        <w:suppressLineNumbers w:val="0"/>
        <w:ind w:firstLine="420" w:firstLineChars="200"/>
        <w:jc w:val="left"/>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val="en-US" w:eastAsia="zh-CN"/>
        </w:rPr>
        <w:t>设备支持Web运维管理，系统吞吐量、并发连接、传输时延、视频并发等核心性能指标均满足合同阈值要求。经现场逐项核验、功能测试，本次交付网闸及配套设备外观完好、参数达标、功能完整、安全合规、服务到位，完全满足合同技术标准及甲方使用需求，设备验收合格。</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（3）售后验收</w:t>
      </w:r>
    </w:p>
    <w:p>
      <w:pPr>
        <w:numPr>
          <w:ilvl w:val="-1"/>
          <w:numId w:val="0"/>
        </w:num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乙方需满足本合同约定的售后保障要求，售后响应时间≤2 小时，</w:t>
      </w:r>
      <w:r>
        <w:rPr>
          <w:rFonts w:hint="eastAsia" w:ascii="宋体" w:hAnsi="宋体" w:cs="宋体"/>
          <w:color w:val="auto"/>
          <w:szCs w:val="21"/>
          <w:highlight w:val="none"/>
          <w:lang w:val="en-US" w:eastAsia="zh-CN"/>
        </w:rPr>
        <w:t>设备</w:t>
      </w:r>
      <w:r>
        <w:rPr>
          <w:rFonts w:hint="eastAsia" w:ascii="宋体" w:hAnsi="宋体" w:eastAsia="宋体" w:cs="宋体"/>
          <w:color w:val="auto"/>
          <w:szCs w:val="21"/>
          <w:highlight w:val="none"/>
          <w:lang w:val="en-US" w:eastAsia="zh-CN"/>
        </w:rPr>
        <w:t>质保期≥</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年（自验收合格之日起算）。</w:t>
      </w:r>
    </w:p>
    <w:p>
      <w:pPr>
        <w:numPr>
          <w:ilvl w:val="-1"/>
          <w:numId w:val="0"/>
        </w:num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上述资料经甲方审核无误且各项验收指标均达标</w:t>
      </w:r>
      <w:r>
        <w:rPr>
          <w:rFonts w:hint="eastAsia" w:ascii="宋体" w:hAnsi="宋体" w:cs="宋体"/>
          <w:color w:val="auto"/>
          <w:szCs w:val="21"/>
          <w:highlight w:val="none"/>
          <w:lang w:val="en-US" w:eastAsia="zh-CN"/>
        </w:rPr>
        <w:t>，且安装设备无故障运行壹个月后</w:t>
      </w:r>
      <w:r>
        <w:rPr>
          <w:rFonts w:hint="eastAsia" w:ascii="宋体" w:hAnsi="宋体" w:eastAsia="宋体" w:cs="宋体"/>
          <w:color w:val="auto"/>
          <w:szCs w:val="21"/>
          <w:highlight w:val="none"/>
          <w:lang w:val="en-US" w:eastAsia="zh-CN"/>
        </w:rPr>
        <w:t>，甲乙双方现场签署《验收</w:t>
      </w:r>
      <w:r>
        <w:rPr>
          <w:rFonts w:hint="eastAsia" w:ascii="宋体" w:hAnsi="宋体" w:cs="宋体"/>
          <w:color w:val="auto"/>
          <w:szCs w:val="21"/>
          <w:highlight w:val="none"/>
          <w:lang w:val="en-US" w:eastAsia="zh-CN"/>
        </w:rPr>
        <w:t>表</w:t>
      </w:r>
      <w:r>
        <w:rPr>
          <w:rFonts w:hint="eastAsia" w:ascii="宋体" w:hAnsi="宋体" w:eastAsia="宋体" w:cs="宋体"/>
          <w:color w:val="auto"/>
          <w:szCs w:val="21"/>
          <w:highlight w:val="none"/>
          <w:lang w:val="en-US" w:eastAsia="zh-CN"/>
        </w:rPr>
        <w:t>》，验收合格后，</w:t>
      </w:r>
      <w:r>
        <w:rPr>
          <w:rFonts w:hint="eastAsia" w:ascii="宋体" w:hAnsi="宋体" w:cs="宋体"/>
          <w:color w:val="auto"/>
          <w:szCs w:val="21"/>
          <w:highlight w:val="none"/>
          <w:lang w:val="en-US" w:eastAsia="zh-CN"/>
        </w:rPr>
        <w:t>设备</w:t>
      </w:r>
      <w:r>
        <w:rPr>
          <w:rFonts w:hint="eastAsia" w:ascii="宋体" w:hAnsi="宋体" w:eastAsia="宋体" w:cs="宋体"/>
          <w:color w:val="auto"/>
          <w:szCs w:val="21"/>
          <w:highlight w:val="none"/>
          <w:lang w:val="en-US" w:eastAsia="zh-CN"/>
        </w:rPr>
        <w:t>正式移交甲方使用；若验收不合格，甲方有权要求乙方在5日内完成整改、返修或更换，整改后重新组织验收，相关费用由乙方承担。</w:t>
      </w:r>
    </w:p>
    <w:p>
      <w:pPr>
        <w:pStyle w:val="3"/>
        <w:numPr>
          <w:ilvl w:val="-1"/>
          <w:numId w:val="0"/>
        </w:numPr>
        <w:spacing w:line="360" w:lineRule="exact"/>
        <w:ind w:firstLine="0" w:firstLineChars="0"/>
        <w:rPr>
          <w:rFonts w:hint="eastAsia" w:ascii="宋体" w:hAnsi="宋体"/>
          <w:color w:val="auto"/>
          <w:sz w:val="21"/>
          <w:szCs w:val="21"/>
          <w:highlight w:val="none"/>
          <w:lang w:val="en-US" w:eastAsia="zh-CN"/>
        </w:rPr>
      </w:pPr>
    </w:p>
    <w:p>
      <w:pPr>
        <w:numPr>
          <w:ilvl w:val="0"/>
          <w:numId w:val="1"/>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付款方式</w:t>
      </w:r>
    </w:p>
    <w:p>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.1.本合同以人民币转账方式支付， 第一期：合同签订生效，且成交</w:t>
      </w:r>
      <w:r>
        <w:rPr>
          <w:rFonts w:hint="eastAsia" w:ascii="宋体" w:hAnsi="宋体"/>
          <w:color w:val="auto"/>
          <w:szCs w:val="21"/>
          <w:highlight w:val="none"/>
          <w:lang w:val="en-US" w:eastAsia="zh-CN"/>
        </w:rPr>
        <w:t>乙方</w:t>
      </w:r>
      <w:r>
        <w:rPr>
          <w:rFonts w:hint="eastAsia" w:ascii="宋体" w:hAnsi="宋体"/>
          <w:color w:val="auto"/>
          <w:szCs w:val="21"/>
          <w:highlight w:val="none"/>
        </w:rPr>
        <w:t>项目团队进场后，提交双方签字确认的项目实施方案后，</w:t>
      </w:r>
      <w:r>
        <w:rPr>
          <w:rFonts w:hint="eastAsia" w:ascii="宋体" w:hAnsi="宋体"/>
          <w:color w:val="auto"/>
          <w:szCs w:val="21"/>
          <w:highlight w:val="none"/>
          <w:lang w:val="en-US" w:eastAsia="zh-CN"/>
        </w:rPr>
        <w:t>乙方</w:t>
      </w:r>
      <w:r>
        <w:rPr>
          <w:rFonts w:hint="eastAsia" w:ascii="宋体" w:hAnsi="宋体"/>
          <w:color w:val="auto"/>
          <w:szCs w:val="21"/>
          <w:highlight w:val="none"/>
        </w:rPr>
        <w:t>提供合同总金额30%的款项发票，甲方向乙方支付合同总金额的</w:t>
      </w:r>
      <w:r>
        <w:rPr>
          <w:rFonts w:hint="eastAsia" w:ascii="宋体" w:hAnsi="宋体"/>
          <w:color w:val="auto"/>
          <w:szCs w:val="21"/>
          <w:highlight w:val="none"/>
          <w:lang w:val="en-US" w:eastAsia="zh-CN"/>
        </w:rPr>
        <w:t>30</w:t>
      </w:r>
      <w:r>
        <w:rPr>
          <w:rFonts w:hint="eastAsia" w:ascii="宋体" w:hAnsi="宋体"/>
          <w:color w:val="auto"/>
          <w:szCs w:val="21"/>
          <w:highlight w:val="none"/>
        </w:rPr>
        <w:t>%，</w:t>
      </w:r>
      <w:r>
        <w:rPr>
          <w:rFonts w:hint="eastAsia" w:ascii="宋体" w:hAnsi="宋体"/>
          <w:color w:val="auto"/>
          <w:szCs w:val="21"/>
          <w:highlight w:val="none"/>
          <w:lang w:val="en-US" w:eastAsia="zh-CN"/>
        </w:rPr>
        <w:t>即大写：人民币</w:t>
      </w:r>
      <w:r>
        <w:rPr>
          <w:rFonts w:hint="eastAsia" w:ascii="宋体" w:hAnsi="宋体"/>
          <w:color w:val="FF0000"/>
          <w:szCs w:val="21"/>
          <w:highlight w:val="none"/>
          <w:lang w:val="en-US" w:eastAsia="zh-CN"/>
        </w:rPr>
        <w:t>XXX</w:t>
      </w:r>
      <w:r>
        <w:rPr>
          <w:rFonts w:hint="eastAsia" w:ascii="宋体" w:hAnsi="宋体"/>
          <w:color w:val="auto"/>
          <w:szCs w:val="21"/>
          <w:highlight w:val="none"/>
          <w:lang w:val="en-US" w:eastAsia="zh-CN"/>
        </w:rPr>
        <w:t>元整（小写：</w:t>
      </w:r>
      <w:r>
        <w:rPr>
          <w:rFonts w:hint="eastAsia" w:ascii="宋体" w:hAnsi="宋体" w:cs="宋体"/>
          <w:color w:val="auto"/>
          <w:szCs w:val="21"/>
          <w:highlight w:val="none"/>
          <w:lang w:val="en-US" w:eastAsia="zh-CN"/>
        </w:rPr>
        <w:t>¥</w:t>
      </w:r>
      <w:r>
        <w:rPr>
          <w:rFonts w:hint="eastAsia" w:ascii="宋体" w:hAnsi="宋体"/>
          <w:color w:val="auto"/>
          <w:szCs w:val="21"/>
          <w:highlight w:val="none"/>
          <w:lang w:val="en-US" w:eastAsia="zh-CN"/>
        </w:rPr>
        <w:t>XXX.00）。第二期：</w:t>
      </w:r>
      <w:r>
        <w:rPr>
          <w:rFonts w:hint="eastAsia" w:ascii="宋体" w:hAnsi="宋体" w:eastAsia="宋体" w:cs="宋体"/>
          <w:color w:val="000000"/>
          <w:szCs w:val="21"/>
          <w:highlight w:val="none"/>
          <w:lang w:val="en-US" w:eastAsia="zh-CN"/>
        </w:rPr>
        <w:t>乙方</w:t>
      </w:r>
      <w:r>
        <w:rPr>
          <w:rFonts w:hint="eastAsia" w:ascii="宋体" w:hAnsi="宋体" w:eastAsia="宋体" w:cs="宋体"/>
          <w:color w:val="000000"/>
          <w:szCs w:val="21"/>
          <w:highlight w:val="none"/>
          <w:lang w:val="en-US"/>
        </w:rPr>
        <w:t>按合同协议时间</w:t>
      </w:r>
      <w:r>
        <w:rPr>
          <w:rFonts w:hint="eastAsia" w:ascii="宋体" w:hAnsi="宋体" w:eastAsia="宋体" w:cs="宋体"/>
          <w:color w:val="000000"/>
          <w:szCs w:val="21"/>
          <w:highlight w:val="none"/>
          <w:lang w:val="en-US" w:eastAsia="zh-CN"/>
        </w:rPr>
        <w:t>安装、部署、交付设备</w:t>
      </w:r>
      <w:r>
        <w:rPr>
          <w:rFonts w:hint="eastAsia" w:ascii="宋体" w:hAnsi="宋体" w:eastAsia="宋体" w:cs="宋体"/>
          <w:color w:val="000000"/>
          <w:szCs w:val="21"/>
          <w:highlight w:val="none"/>
          <w:lang w:val="en-US"/>
        </w:rPr>
        <w:t>，</w:t>
      </w:r>
      <w:r>
        <w:rPr>
          <w:rFonts w:hint="eastAsia" w:ascii="宋体" w:hAnsi="宋体" w:eastAsia="宋体" w:cs="宋体"/>
          <w:color w:val="000000"/>
          <w:szCs w:val="21"/>
          <w:highlight w:val="none"/>
          <w:lang w:val="en-US" w:eastAsia="zh-CN"/>
        </w:rPr>
        <w:t>设备</w:t>
      </w:r>
      <w:r>
        <w:rPr>
          <w:rFonts w:hint="eastAsia" w:ascii="宋体" w:hAnsi="宋体" w:eastAsia="宋体" w:cs="宋体"/>
          <w:b w:val="0"/>
          <w:bCs w:val="0"/>
          <w:color w:val="000000"/>
          <w:sz w:val="21"/>
          <w:szCs w:val="21"/>
          <w:highlight w:val="none"/>
          <w:lang w:val="en-US" w:eastAsia="zh-CN"/>
        </w:rPr>
        <w:t>使用稳定一个月后，由</w:t>
      </w:r>
      <w:r>
        <w:rPr>
          <w:rFonts w:hint="eastAsia" w:ascii="宋体" w:hAnsi="宋体" w:eastAsia="宋体" w:cs="宋体"/>
          <w:color w:val="000000"/>
          <w:szCs w:val="21"/>
          <w:highlight w:val="none"/>
          <w:lang w:val="en-US" w:eastAsia="zh-CN"/>
        </w:rPr>
        <w:t>乙方</w:t>
      </w:r>
      <w:r>
        <w:rPr>
          <w:rFonts w:hint="eastAsia" w:ascii="宋体" w:hAnsi="宋体" w:eastAsia="宋体" w:cs="宋体"/>
          <w:b w:val="0"/>
          <w:bCs w:val="0"/>
          <w:color w:val="000000"/>
          <w:sz w:val="21"/>
          <w:szCs w:val="21"/>
          <w:highlight w:val="none"/>
          <w:lang w:val="en-US" w:eastAsia="zh-CN"/>
        </w:rPr>
        <w:t>提出验收申请，</w:t>
      </w:r>
      <w:r>
        <w:rPr>
          <w:rFonts w:hint="eastAsia" w:ascii="宋体" w:hAnsi="宋体"/>
          <w:color w:val="auto"/>
          <w:szCs w:val="21"/>
          <w:highlight w:val="none"/>
        </w:rPr>
        <w:t>提交双方签字确认的</w:t>
      </w:r>
      <w:r>
        <w:rPr>
          <w:rFonts w:hint="eastAsia" w:ascii="宋体" w:hAnsi="宋体"/>
          <w:color w:val="auto"/>
          <w:szCs w:val="21"/>
          <w:highlight w:val="none"/>
          <w:lang w:val="en-US" w:eastAsia="zh-CN"/>
        </w:rPr>
        <w:t>验收表</w:t>
      </w:r>
      <w:r>
        <w:rPr>
          <w:rFonts w:hint="eastAsia" w:ascii="宋体" w:hAnsi="宋体"/>
          <w:color w:val="auto"/>
          <w:szCs w:val="21"/>
          <w:highlight w:val="none"/>
        </w:rPr>
        <w:t>后，</w:t>
      </w:r>
      <w:r>
        <w:rPr>
          <w:rFonts w:hint="eastAsia" w:ascii="宋体" w:hAnsi="宋体"/>
          <w:color w:val="auto"/>
          <w:szCs w:val="21"/>
          <w:highlight w:val="none"/>
          <w:lang w:val="en-US" w:eastAsia="zh-CN"/>
        </w:rPr>
        <w:t>乙方</w:t>
      </w:r>
      <w:r>
        <w:rPr>
          <w:rFonts w:hint="eastAsia" w:ascii="宋体" w:hAnsi="宋体"/>
          <w:color w:val="auto"/>
          <w:szCs w:val="21"/>
          <w:highlight w:val="none"/>
        </w:rPr>
        <w:t>提供合同总金额</w:t>
      </w:r>
      <w:r>
        <w:rPr>
          <w:rFonts w:hint="eastAsia" w:ascii="宋体" w:hAnsi="宋体"/>
          <w:color w:val="auto"/>
          <w:szCs w:val="21"/>
          <w:highlight w:val="none"/>
          <w:lang w:val="en-US" w:eastAsia="zh-CN"/>
        </w:rPr>
        <w:t>7</w:t>
      </w:r>
      <w:r>
        <w:rPr>
          <w:rFonts w:hint="eastAsia" w:ascii="宋体" w:hAnsi="宋体"/>
          <w:color w:val="auto"/>
          <w:szCs w:val="21"/>
          <w:highlight w:val="none"/>
        </w:rPr>
        <w:t>0%的款项发票，甲方向乙方支付合同总金额的</w:t>
      </w:r>
      <w:r>
        <w:rPr>
          <w:rFonts w:hint="eastAsia" w:ascii="宋体" w:hAnsi="宋体"/>
          <w:color w:val="auto"/>
          <w:szCs w:val="21"/>
          <w:highlight w:val="none"/>
          <w:lang w:val="en-US" w:eastAsia="zh-CN"/>
        </w:rPr>
        <w:t>70</w:t>
      </w:r>
      <w:r>
        <w:rPr>
          <w:rFonts w:hint="eastAsia" w:ascii="宋体" w:hAnsi="宋体"/>
          <w:color w:val="auto"/>
          <w:szCs w:val="21"/>
          <w:highlight w:val="none"/>
        </w:rPr>
        <w:t>%，</w:t>
      </w:r>
      <w:r>
        <w:rPr>
          <w:rFonts w:hint="eastAsia" w:ascii="宋体" w:hAnsi="宋体"/>
          <w:color w:val="auto"/>
          <w:szCs w:val="21"/>
          <w:highlight w:val="none"/>
          <w:lang w:val="en-US" w:eastAsia="zh-CN"/>
        </w:rPr>
        <w:t>即大写：人民币</w:t>
      </w:r>
      <w:r>
        <w:rPr>
          <w:rFonts w:hint="eastAsia" w:ascii="宋体" w:hAnsi="宋体"/>
          <w:color w:val="FF0000"/>
          <w:szCs w:val="21"/>
          <w:highlight w:val="none"/>
          <w:lang w:val="en-US" w:eastAsia="zh-CN"/>
        </w:rPr>
        <w:t>XXX</w:t>
      </w:r>
      <w:r>
        <w:rPr>
          <w:rFonts w:hint="eastAsia" w:ascii="宋体" w:hAnsi="宋体"/>
          <w:color w:val="auto"/>
          <w:szCs w:val="21"/>
          <w:highlight w:val="none"/>
          <w:lang w:val="en-US" w:eastAsia="zh-CN"/>
        </w:rPr>
        <w:t>元整（小写：</w:t>
      </w:r>
      <w:r>
        <w:rPr>
          <w:rFonts w:hint="eastAsia" w:ascii="宋体" w:hAnsi="宋体" w:cs="宋体"/>
          <w:color w:val="auto"/>
          <w:szCs w:val="21"/>
          <w:highlight w:val="none"/>
          <w:lang w:val="en-US" w:eastAsia="zh-CN"/>
        </w:rPr>
        <w:t>¥</w:t>
      </w:r>
      <w:r>
        <w:rPr>
          <w:rFonts w:hint="eastAsia" w:ascii="宋体" w:hAnsi="宋体"/>
          <w:color w:val="auto"/>
          <w:szCs w:val="21"/>
          <w:highlight w:val="none"/>
          <w:lang w:val="en-US" w:eastAsia="zh-CN"/>
        </w:rPr>
        <w:t>XXX.00）。</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eastAsia="zh-CN"/>
        </w:rPr>
        <w:t>2</w:t>
      </w:r>
      <w:r>
        <w:rPr>
          <w:rFonts w:hint="eastAsia" w:ascii="宋体" w:hAnsi="宋体"/>
          <w:color w:val="auto"/>
          <w:szCs w:val="21"/>
          <w:highlight w:val="none"/>
        </w:rPr>
        <w:t xml:space="preserve"> 每期支付前由乙方提出验收申请，并向</w:t>
      </w:r>
      <w:r>
        <w:rPr>
          <w:rFonts w:hint="eastAsia"/>
          <w:color w:val="auto"/>
          <w:highlight w:val="none"/>
          <w:lang w:val="en-US" w:eastAsia="zh-CN"/>
        </w:rPr>
        <w:t>甲方</w:t>
      </w:r>
      <w:r>
        <w:rPr>
          <w:rFonts w:hint="eastAsia" w:ascii="宋体" w:hAnsi="宋体"/>
          <w:color w:val="auto"/>
          <w:szCs w:val="21"/>
          <w:highlight w:val="none"/>
        </w:rPr>
        <w:t>提交以下资料：</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)合同（复印件）；</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)经甲乙双方签字确认的验收表;</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)乙方开具的支付金额等额的正规发票（含税）</w:t>
      </w:r>
      <w:r>
        <w:rPr>
          <w:rFonts w:hint="eastAsia" w:ascii="宋体" w:hAnsi="宋体"/>
          <w:color w:val="auto"/>
          <w:szCs w:val="21"/>
          <w:highlight w:val="none"/>
          <w:lang w:val="en-US" w:eastAsia="zh-CN"/>
        </w:rPr>
        <w:t>甲方</w:t>
      </w:r>
      <w:r>
        <w:rPr>
          <w:rFonts w:hint="eastAsia" w:ascii="宋体" w:hAnsi="宋体"/>
          <w:color w:val="auto"/>
          <w:szCs w:val="21"/>
          <w:highlight w:val="none"/>
        </w:rPr>
        <w:t>确认无误后60日内支付。</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.因甲方使用的是财政资金，按政府审批流程支付，若审批延迟则相应货款到账延迟，不视为甲方违约。</w:t>
      </w:r>
    </w:p>
    <w:p>
      <w:p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4 </w:t>
      </w:r>
      <w:r>
        <w:rPr>
          <w:rFonts w:hint="eastAsia" w:ascii="宋体" w:hAnsi="宋体" w:cs="宋体"/>
          <w:color w:val="auto"/>
          <w:sz w:val="21"/>
          <w:szCs w:val="21"/>
          <w:highlight w:val="none"/>
          <w:lang w:val="en-US" w:eastAsia="zh-CN"/>
        </w:rPr>
        <w:t>双方银行账户信息</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甲方开户名称：中山市黄圃人民医院</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银行账户：12442000G19169144L</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开户银行：中国工商银行股份有限公司中山黄圃支行</w:t>
      </w:r>
    </w:p>
    <w:p>
      <w:pPr>
        <w:pStyle w:val="3"/>
        <w:spacing w:line="360" w:lineRule="exact"/>
        <w:rPr>
          <w:rFonts w:hint="eastAsia" w:ascii="宋体" w:hAnsi="宋体"/>
          <w:color w:val="auto"/>
          <w:sz w:val="21"/>
          <w:szCs w:val="21"/>
          <w:highlight w:val="none"/>
        </w:rPr>
      </w:pPr>
    </w:p>
    <w:p>
      <w:pPr>
        <w:spacing w:line="36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乙方开户名称：</w:t>
      </w:r>
      <w:r>
        <w:rPr>
          <w:rFonts w:hint="eastAsia" w:ascii="宋体" w:hAnsi="宋体"/>
          <w:color w:val="FF0000"/>
          <w:szCs w:val="21"/>
          <w:highlight w:val="none"/>
          <w:lang w:val="en-US" w:eastAsia="zh-CN"/>
        </w:rPr>
        <w:t>XXX</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银行账户：</w:t>
      </w:r>
      <w:r>
        <w:rPr>
          <w:rFonts w:hint="eastAsia" w:ascii="宋体" w:hAnsi="宋体"/>
          <w:color w:val="FF0000"/>
          <w:szCs w:val="21"/>
          <w:highlight w:val="none"/>
          <w:lang w:val="en-US" w:eastAsia="zh-CN"/>
        </w:rPr>
        <w:t>XXX</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FF0000"/>
          <w:szCs w:val="21"/>
          <w:highlight w:val="none"/>
          <w:lang w:val="en-US" w:eastAsia="zh-CN"/>
        </w:rPr>
        <w:t>XXX</w:t>
      </w:r>
      <w:r>
        <w:rPr>
          <w:rFonts w:hint="eastAsia" w:ascii="宋体" w:hAnsi="宋体"/>
          <w:color w:val="auto"/>
          <w:szCs w:val="21"/>
          <w:highlight w:val="none"/>
        </w:rPr>
        <w:t xml:space="preserve"> </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第五条 售后服务</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 乙方对所售出产品实行保修</w:t>
      </w:r>
      <w:r>
        <w:rPr>
          <w:rFonts w:hint="eastAsia" w:ascii="宋体" w:hAnsi="宋体"/>
          <w:color w:val="auto"/>
          <w:szCs w:val="21"/>
          <w:highlight w:val="none"/>
          <w:lang w:val="en-US" w:eastAsia="zh-CN"/>
        </w:rPr>
        <w:t>叁</w:t>
      </w:r>
      <w:r>
        <w:rPr>
          <w:rFonts w:hint="eastAsia" w:ascii="宋体" w:hAnsi="宋体"/>
          <w:color w:val="auto"/>
          <w:szCs w:val="21"/>
          <w:highlight w:val="none"/>
        </w:rPr>
        <w:t>年（自验收完成之日起算,整机含附属配件），并保证货物是全新的、未使用过的，并完全符合合同约定的质量、规格和性能要求。</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 在设备质保期内，乙方应对由于设计、工艺、质量或材料的缺陷而发生的故障负责保修。</w:t>
      </w:r>
      <w:r>
        <w:rPr>
          <w:rFonts w:hint="eastAsia" w:ascii="宋体" w:hAnsi="宋体"/>
          <w:color w:val="auto"/>
          <w:szCs w:val="21"/>
          <w:highlight w:val="none"/>
          <w:lang w:val="en-US" w:eastAsia="zh-CN"/>
        </w:rPr>
        <w:t>但因甲方重大过失或故意行为造成的损坏不在保修范围；对于外部因素（如雷击）导致的损坏，若设备本身未符合国家防雷标准，乙方仍应承担保修责任。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 设备质保期</w:t>
      </w:r>
      <w:r>
        <w:rPr>
          <w:rFonts w:hint="eastAsia" w:ascii="宋体" w:hAnsi="宋体"/>
          <w:color w:val="auto"/>
          <w:szCs w:val="21"/>
          <w:highlight w:val="none"/>
          <w:lang w:val="en-US" w:eastAsia="zh-CN"/>
        </w:rPr>
        <w:t>过</w:t>
      </w:r>
      <w:r>
        <w:rPr>
          <w:rFonts w:hint="eastAsia" w:ascii="宋体" w:hAnsi="宋体"/>
          <w:color w:val="auto"/>
          <w:szCs w:val="21"/>
          <w:highlight w:val="none"/>
        </w:rPr>
        <w:t>后，设备产品维修收取工本费，收费标准按照厂家客服中心维修收费规定执行。</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第六条 保密条款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 在双方合作期间，双方未经对方许可，不得以任何理由向第三方的单位或个人泄露接触到双方产品的技术机密、商业机密和价格，违约者将承担违约责任并赔偿相应损失。</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 在本合同终止、变更、撤销后，各方在本合同项下的义务并不随之终止，各方仍需遵守本合同之保密条款。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 未经对方书面同意，不得向第三方披露保密信息；</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 仅将保密信息用于本合同目的，禁止用于其他商业用途；</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6.5 合作终止后[3年]内仍需履行保密义务。</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6.6 违反保密义务的一方需赔偿对方因此遭受的全部损失（包括直接损失、商誉损失及法律费用）。</w:t>
      </w:r>
    </w:p>
    <w:p>
      <w:pPr>
        <w:spacing w:line="360" w:lineRule="exact"/>
        <w:ind w:firstLine="420" w:firstLineChars="200"/>
        <w:rPr>
          <w:rFonts w:hint="eastAsia" w:ascii="宋体" w:hAnsi="宋体"/>
          <w:color w:val="auto"/>
          <w:szCs w:val="21"/>
          <w:highlight w:val="none"/>
        </w:rPr>
      </w:pPr>
    </w:p>
    <w:p>
      <w:pPr>
        <w:numPr>
          <w:ilvl w:val="0"/>
          <w:numId w:val="2"/>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免责条款</w:t>
      </w:r>
    </w:p>
    <w:p>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7.1 双方签订购销合同的行为视为甲方已对乙方产品的组成、质量、功能、运行环境等情况进行了充分了解，甲方未按说明书的要求使用产品，在非产品所规定的工作环境运行产品或错误安装、保管及使用（包括但不限于不正确插拔，非正常开关机，充电电压或电流不稳定，未使用产品配套电源适配器，网络环境不稳，使用环境过于潮湿、漏雨、进水，阳光暴晒导致温度过高等）所造成的故障或损坏不在产品或服务声明免费保修范围之内，因此造成的事故赔偿责任及损失由甲方承担，乙方因此承担责任的，有权向甲方追偿。</w:t>
      </w:r>
    </w:p>
    <w:p>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因甲方重大过失或故意行为导致的故障或损坏不在免费保修范围之内；但乙方应提供有偿维修服务，费用由双方协商确定。</w:t>
      </w:r>
    </w:p>
    <w:p>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7.3 不可抗力事件（包括地震、台风、洪水、海啸等自然灾害，因疫情防控采取管制措施或颁布禁运令等政府行为，罢工骚乱等社会异常行为等）造成的设备故障、毁损及事故乙方不承担维修及赔偿责任。</w:t>
      </w:r>
    </w:p>
    <w:p>
      <w:pPr>
        <w:spacing w:line="360" w:lineRule="exact"/>
        <w:ind w:firstLine="420"/>
        <w:rPr>
          <w:rFonts w:hint="eastAsia" w:ascii="宋体" w:hAnsi="宋体"/>
          <w:color w:val="auto"/>
          <w:szCs w:val="21"/>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t>第八条 违约责任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 乙方没有正当理由未能按时完成合同项目，每拖延一天须向甲方支付合同金额的</w:t>
      </w:r>
      <w:r>
        <w:rPr>
          <w:rFonts w:hint="eastAsia" w:ascii="宋体" w:hAnsi="宋体"/>
          <w:color w:val="auto"/>
          <w:szCs w:val="21"/>
          <w:highlight w:val="none"/>
          <w:lang w:val="en-US" w:eastAsia="zh-CN"/>
        </w:rPr>
        <w:t>5</w:t>
      </w:r>
      <w:r>
        <w:rPr>
          <w:rFonts w:hint="eastAsia" w:ascii="宋体" w:hAnsi="宋体"/>
          <w:color w:val="auto"/>
          <w:szCs w:val="21"/>
          <w:highlight w:val="none"/>
        </w:rPr>
        <w:t>‰的违约金。</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8.2 若合同中的设备出现故障且乙方不能在两天内完成维修，以致影响甲方正常运作的，每逾期一日按合同总金额的[0.05%]支付违约金；逾期超过[10]日的，甲方有权解除合同并要求退还已付款项；在乙方没有正当理由逾期完成维修的情况下，甲方有权指派第三方完成维修，该次维修费用由乙方承担。</w:t>
      </w:r>
    </w:p>
    <w:p>
      <w:pPr>
        <w:numPr>
          <w:ilvl w:val="255"/>
          <w:numId w:val="0"/>
        </w:numPr>
        <w:spacing w:line="360" w:lineRule="exact"/>
        <w:ind w:firstLine="420"/>
        <w:rPr>
          <w:rFonts w:hint="eastAsia" w:ascii="宋体" w:hAnsi="宋体"/>
          <w:color w:val="auto"/>
          <w:szCs w:val="21"/>
          <w:highlight w:val="none"/>
        </w:rPr>
      </w:pPr>
      <w:r>
        <w:rPr>
          <w:rFonts w:hint="eastAsia" w:ascii="宋体" w:hAnsi="宋体"/>
          <w:color w:val="auto"/>
          <w:szCs w:val="21"/>
          <w:highlight w:val="none"/>
        </w:rPr>
        <w:t>8.3 若一年内单次故障造成设备无法使用超过[2小时]的情况发生超过三次的，或是乙方超过3次逾期履行合同约定的，甲方有权终止合同且乙方向甲方支付合同金额的10％的违约金，同时由此产生的损失由乙方承担（包括但不限于实际损失，预期利益损失，为维护其合法权益而支付的鉴定费、审计费、律师费、差旅费等费用）。甲方有权扣除当月服务费。</w:t>
      </w:r>
    </w:p>
    <w:p>
      <w:pPr>
        <w:numPr>
          <w:ilvl w:val="255"/>
          <w:numId w:val="0"/>
        </w:num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8.4泄露患者隐私或甲方商业秘密，需承担全部法律责任。</w:t>
      </w:r>
    </w:p>
    <w:p>
      <w:pPr>
        <w:spacing w:line="360" w:lineRule="exact"/>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第九条 合同期限与终止</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出现以下情形时，守约方可书面通知解除合同：</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9.1一方严重违约且未在[15]日内整改；</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9.2因不可抗力导致合同无法履行超过[30]日；</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9.3法律法规或监管政策要求终止合作。</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第十条 争议解决</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双方应本着友好协商的原则解决争议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协商结果以补充协议形式明确</w:t>
      </w:r>
      <w:r>
        <w:rPr>
          <w:rFonts w:hint="eastAsia" w:ascii="宋体" w:hAnsi="宋体"/>
          <w:color w:val="auto"/>
          <w:szCs w:val="21"/>
          <w:highlight w:val="none"/>
        </w:rPr>
        <w:t>。如协商不成，应提交甲方所在地有管辖权的人民法院进行诉讼。本合同适用中华人民共和国法律。</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第十一条 其他条款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 不可抗力</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任何一方由于不可抗力原因不能履行合同时，应在不可抗力事件发生后1 日内向对方通报，以减轻可能给对方造成的损失，在取得有关机构的不可抗力证明或双方谅解确认后，允许延期履行或终止合同，并根据情况可部分或全部免于承担违约责任。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本合同未尽事宜，双方可签订补充协议；任何修改需双方签字盖章确认，口头约定无效。</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t>第十二条 合同组成</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详细价格、技术说明及其它有关合同设备的特定信息由合同附件说明。所有附件及本项目的招投标文件、会议纪要、协议等均为本合同不可分割之一部分。</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第十</w:t>
      </w:r>
      <w:r>
        <w:rPr>
          <w:rFonts w:hint="eastAsia" w:ascii="宋体" w:hAnsi="宋体"/>
          <w:b/>
          <w:bCs/>
          <w:color w:val="auto"/>
          <w:szCs w:val="21"/>
          <w:highlight w:val="none"/>
          <w:lang w:val="en-US" w:eastAsia="zh-CN"/>
        </w:rPr>
        <w:t>三</w:t>
      </w:r>
      <w:r>
        <w:rPr>
          <w:rFonts w:hint="eastAsia" w:ascii="宋体" w:hAnsi="宋体"/>
          <w:b/>
          <w:bCs/>
          <w:color w:val="auto"/>
          <w:szCs w:val="21"/>
          <w:highlight w:val="none"/>
        </w:rPr>
        <w:t>条</w:t>
      </w:r>
      <w:r>
        <w:rPr>
          <w:rFonts w:hint="eastAsia" w:ascii="宋体" w:hAnsi="宋体"/>
          <w:color w:val="auto"/>
          <w:szCs w:val="21"/>
          <w:highlight w:val="none"/>
        </w:rPr>
        <w:t xml:space="preserve"> </w:t>
      </w:r>
      <w:r>
        <w:rPr>
          <w:rFonts w:hint="eastAsia" w:ascii="宋体" w:hAnsi="宋体"/>
          <w:b/>
          <w:bCs/>
          <w:color w:val="auto"/>
          <w:szCs w:val="21"/>
          <w:highlight w:val="none"/>
        </w:rPr>
        <w:t>其他</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合同正本一式</w:t>
      </w:r>
      <w:r>
        <w:rPr>
          <w:rFonts w:hint="eastAsia" w:ascii="宋体" w:hAnsi="宋体"/>
          <w:color w:val="auto"/>
          <w:szCs w:val="21"/>
          <w:highlight w:val="none"/>
          <w:lang w:val="en-US" w:eastAsia="zh-CN"/>
        </w:rPr>
        <w:t>肆</w:t>
      </w:r>
      <w:r>
        <w:rPr>
          <w:rFonts w:hint="eastAsia" w:ascii="宋体" w:hAnsi="宋体"/>
          <w:color w:val="auto"/>
          <w:szCs w:val="21"/>
          <w:highlight w:val="none"/>
        </w:rPr>
        <w:t>份，</w:t>
      </w:r>
      <w:r>
        <w:rPr>
          <w:rFonts w:hint="eastAsia" w:ascii="宋体" w:hAnsi="宋体"/>
          <w:color w:val="auto"/>
          <w:szCs w:val="21"/>
          <w:highlight w:val="none"/>
          <w:lang w:val="en-US" w:eastAsia="zh-CN"/>
        </w:rPr>
        <w:t>双方各</w:t>
      </w:r>
      <w:r>
        <w:rPr>
          <w:rFonts w:hint="eastAsia" w:ascii="宋体" w:hAnsi="宋体"/>
          <w:color w:val="auto"/>
          <w:szCs w:val="21"/>
          <w:highlight w:val="none"/>
        </w:rPr>
        <w:t>执贰份，经双方签字盖章生效，甲乙双方同意任何对合同条款的手写改动均无效。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（以下无正文）</w:t>
      </w:r>
    </w:p>
    <w:p>
      <w:pPr>
        <w:spacing w:line="360" w:lineRule="exact"/>
        <w:ind w:firstLine="0" w:firstLineChars="0"/>
        <w:rPr>
          <w:rFonts w:hint="eastAsia" w:ascii="宋体" w:hAnsi="宋体"/>
          <w:color w:val="auto"/>
          <w:szCs w:val="21"/>
          <w:highlight w:val="none"/>
        </w:rPr>
      </w:pPr>
    </w:p>
    <w:p>
      <w:pPr>
        <w:pStyle w:val="3"/>
        <w:spacing w:line="360" w:lineRule="exact"/>
        <w:rPr>
          <w:rFonts w:hint="eastAsia" w:ascii="宋体" w:hAnsi="宋体"/>
          <w:color w:val="auto"/>
          <w:sz w:val="21"/>
          <w:szCs w:val="21"/>
          <w:highlight w:val="none"/>
        </w:rPr>
      </w:pPr>
    </w:p>
    <w:p>
      <w:pPr>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甲方：中山市黄圃人民医院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乙方：</w:t>
      </w:r>
      <w:r>
        <w:rPr>
          <w:rFonts w:hint="eastAsia" w:ascii="宋体" w:hAnsi="宋体"/>
          <w:color w:val="FF0000"/>
          <w:szCs w:val="21"/>
          <w:highlight w:val="none"/>
          <w:lang w:val="en-US" w:eastAsia="zh-CN"/>
        </w:rPr>
        <w:t>XXX</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（盖章）</w:t>
      </w:r>
    </w:p>
    <w:p>
      <w:pPr>
        <w:spacing w:line="360" w:lineRule="exact"/>
        <w:rPr>
          <w:rFonts w:hint="eastAsia" w:ascii="宋体" w:hAnsi="宋体"/>
          <w:color w:val="auto"/>
          <w:szCs w:val="21"/>
          <w:highlight w:val="none"/>
        </w:rPr>
      </w:pPr>
      <w:r>
        <w:rPr>
          <w:rFonts w:hint="eastAsia" w:ascii="宋体" w:hAnsi="宋体"/>
          <w:color w:val="auto"/>
          <w:szCs w:val="21"/>
          <w:highlight w:val="none"/>
        </w:rPr>
        <w:t xml:space="preserve">法定代表人或授权委托人：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法定代表人或授权委托人：                  </w:t>
      </w:r>
    </w:p>
    <w:p>
      <w:pPr>
        <w:spacing w:line="360" w:lineRule="exact"/>
        <w:ind w:firstLine="420" w:firstLineChars="200"/>
        <w:rPr>
          <w:rFonts w:hint="eastAsia" w:ascii="宋体" w:hAnsi="宋体"/>
          <w:color w:val="auto"/>
          <w:szCs w:val="21"/>
          <w:highlight w:val="none"/>
        </w:rPr>
      </w:pPr>
    </w:p>
    <w:p>
      <w:pPr>
        <w:spacing w:line="360" w:lineRule="exact"/>
        <w:rPr>
          <w:rFonts w:hint="eastAsia"/>
          <w:color w:val="auto"/>
          <w:highlight w:val="none"/>
          <w:lang w:val="en-US" w:eastAsia="zh-CN"/>
        </w:rPr>
      </w:pPr>
      <w:r>
        <w:rPr>
          <w:rFonts w:hint="eastAsia" w:ascii="宋体" w:hAnsi="宋体"/>
          <w:color w:val="auto"/>
          <w:szCs w:val="21"/>
          <w:highlight w:val="none"/>
        </w:rPr>
        <w:t xml:space="preserve">日期：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日期：</w:t>
      </w:r>
      <w:r>
        <w:rPr>
          <w:rFonts w:hint="eastAsia" w:ascii="宋体" w:hAnsi="宋体"/>
          <w:bCs/>
          <w:color w:val="auto"/>
          <w:spacing w:val="20"/>
          <w:szCs w:val="21"/>
          <w:highlight w:val="non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9FD98"/>
    <w:multiLevelType w:val="singleLevel"/>
    <w:tmpl w:val="AFB9FD98"/>
    <w:lvl w:ilvl="0" w:tentative="0">
      <w:start w:val="7"/>
      <w:numFmt w:val="chineseCounting"/>
      <w:suff w:val="space"/>
      <w:lvlText w:val="第%1条"/>
      <w:lvlJc w:val="left"/>
      <w:rPr>
        <w:rFonts w:hint="eastAsia"/>
      </w:rPr>
    </w:lvl>
  </w:abstractNum>
  <w:abstractNum w:abstractNumId="1">
    <w:nsid w:val="F49C3190"/>
    <w:multiLevelType w:val="singleLevel"/>
    <w:tmpl w:val="F49C3190"/>
    <w:lvl w:ilvl="0" w:tentative="0">
      <w:start w:val="3"/>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CE"/>
    <w:rsid w:val="003D686D"/>
    <w:rsid w:val="003E31A4"/>
    <w:rsid w:val="00607ACF"/>
    <w:rsid w:val="006845B6"/>
    <w:rsid w:val="009171CE"/>
    <w:rsid w:val="009C08E3"/>
    <w:rsid w:val="00B30A24"/>
    <w:rsid w:val="00CB6EC2"/>
    <w:rsid w:val="02F2428C"/>
    <w:rsid w:val="031F2973"/>
    <w:rsid w:val="032F135D"/>
    <w:rsid w:val="04CE01C9"/>
    <w:rsid w:val="08BC047C"/>
    <w:rsid w:val="08D07683"/>
    <w:rsid w:val="0A09565A"/>
    <w:rsid w:val="0F0B47BD"/>
    <w:rsid w:val="0F8D66BA"/>
    <w:rsid w:val="107872B5"/>
    <w:rsid w:val="10951770"/>
    <w:rsid w:val="13945669"/>
    <w:rsid w:val="13E3112D"/>
    <w:rsid w:val="18197AAE"/>
    <w:rsid w:val="20322DE9"/>
    <w:rsid w:val="22AD4186"/>
    <w:rsid w:val="23372843"/>
    <w:rsid w:val="241117BF"/>
    <w:rsid w:val="247B4DC1"/>
    <w:rsid w:val="25B36949"/>
    <w:rsid w:val="26EA6AC0"/>
    <w:rsid w:val="28357DD3"/>
    <w:rsid w:val="29533E0F"/>
    <w:rsid w:val="2B720980"/>
    <w:rsid w:val="2C085655"/>
    <w:rsid w:val="2CD7144F"/>
    <w:rsid w:val="2CE36CE1"/>
    <w:rsid w:val="307A073E"/>
    <w:rsid w:val="30824D54"/>
    <w:rsid w:val="3163070E"/>
    <w:rsid w:val="31CF1A84"/>
    <w:rsid w:val="33645DF7"/>
    <w:rsid w:val="35FB29C9"/>
    <w:rsid w:val="36D05CFF"/>
    <w:rsid w:val="37437BB7"/>
    <w:rsid w:val="38FB32A4"/>
    <w:rsid w:val="3BA1222F"/>
    <w:rsid w:val="3E0D48C3"/>
    <w:rsid w:val="4138071D"/>
    <w:rsid w:val="425421A3"/>
    <w:rsid w:val="44542317"/>
    <w:rsid w:val="478256E5"/>
    <w:rsid w:val="4984282A"/>
    <w:rsid w:val="49C96C7E"/>
    <w:rsid w:val="4A7B5341"/>
    <w:rsid w:val="4AFC082E"/>
    <w:rsid w:val="4B0D4D62"/>
    <w:rsid w:val="4F3864DC"/>
    <w:rsid w:val="50BB4E79"/>
    <w:rsid w:val="513B239A"/>
    <w:rsid w:val="51FE7839"/>
    <w:rsid w:val="5240467B"/>
    <w:rsid w:val="540A471E"/>
    <w:rsid w:val="5B117F79"/>
    <w:rsid w:val="5B5F6A4D"/>
    <w:rsid w:val="5E7114D7"/>
    <w:rsid w:val="60C64031"/>
    <w:rsid w:val="60CF2E83"/>
    <w:rsid w:val="61491637"/>
    <w:rsid w:val="62737189"/>
    <w:rsid w:val="62CC43C2"/>
    <w:rsid w:val="63975B9D"/>
    <w:rsid w:val="64133A6C"/>
    <w:rsid w:val="65E46196"/>
    <w:rsid w:val="67FC5B97"/>
    <w:rsid w:val="6A941C14"/>
    <w:rsid w:val="6C2B22D9"/>
    <w:rsid w:val="72A32D6D"/>
    <w:rsid w:val="74B31490"/>
    <w:rsid w:val="763F3134"/>
    <w:rsid w:val="7A3B1353"/>
    <w:rsid w:val="7A6A448E"/>
    <w:rsid w:val="7BD40764"/>
    <w:rsid w:val="7CA0775F"/>
    <w:rsid w:val="7CB40B49"/>
    <w:rsid w:val="7CCB75CB"/>
    <w:rsid w:val="7D0378D1"/>
    <w:rsid w:val="7DC066FB"/>
    <w:rsid w:val="7E5B10A3"/>
    <w:rsid w:val="7FD1F812"/>
    <w:rsid w:val="8F6D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19"/>
      <w:szCs w:val="19"/>
    </w:rPr>
  </w:style>
  <w:style w:type="paragraph" w:styleId="4">
    <w:name w:val="toc 5"/>
    <w:basedOn w:val="1"/>
    <w:next w:val="1"/>
    <w:qFormat/>
    <w:uiPriority w:val="0"/>
    <w:pPr>
      <w:ind w:left="1680" w:leftChars="800"/>
    </w:pPr>
  </w:style>
  <w:style w:type="paragraph" w:styleId="5">
    <w:name w:val="footer"/>
    <w:basedOn w:val="1"/>
    <w:qFormat/>
    <w:uiPriority w:val="99"/>
    <w:pPr>
      <w:tabs>
        <w:tab w:val="center" w:pos="4153"/>
        <w:tab w:val="right" w:pos="8306"/>
      </w:tabs>
      <w:snapToGrid w:val="0"/>
    </w:pPr>
    <w:rPr>
      <w:rFonts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
    <w:name w:val="Revision"/>
    <w:hidden/>
    <w:unhideWhenUsed/>
    <w:qFormat/>
    <w:uiPriority w:val="99"/>
    <w:rPr>
      <w:rFonts w:ascii="Calibri" w:hAnsi="Calibri" w:eastAsia="宋体" w:cs="宋体"/>
      <w:kern w:val="2"/>
      <w:sz w:val="21"/>
      <w:szCs w:val="24"/>
      <w:lang w:val="en-US" w:eastAsia="zh-CN" w:bidi="ar-SA"/>
    </w:rPr>
  </w:style>
  <w:style w:type="paragraph" w:styleId="12">
    <w:name w:val="List Paragraph"/>
    <w:basedOn w:val="1"/>
    <w:qFormat/>
    <w:uiPriority w:val="34"/>
    <w:pPr>
      <w:ind w:firstLine="420" w:firstLineChars="200"/>
    </w:pPr>
    <w:rPr>
      <w:rFonts w:ascii="Times New Roman" w:hAnsi="Times New Roman" w:cs="Times New Roman"/>
    </w:rPr>
  </w:style>
  <w:style w:type="paragraph" w:customStyle="1" w:styleId="13">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3662</Words>
  <Characters>4057</Characters>
  <Lines>123</Lines>
  <Paragraphs>149</Paragraphs>
  <TotalTime>0</TotalTime>
  <ScaleCrop>false</ScaleCrop>
  <LinksUpToDate>false</LinksUpToDate>
  <CharactersWithSpaces>4276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2025-07-04T18:29:00Z</dcterms:created>
  <dc:creator>Administrator</dc:creator>
  <cp:lastModifiedBy>赖宇娟</cp:lastModifiedBy>
  <dcterms:modified xsi:type="dcterms:W3CDTF">2026-06-10T08:44:53Z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DocerSaveRecord">
    <vt:lpwstr>eyJoZGlkIjoiOGE1OWIzMTdiOTZlMzg4ZmRhNTc5OWI2NDdkMGIzOWEiLCJ1c2VySWQiOiIzMTgzMjMzNzQifQ==</vt:lpwstr>
  </property>
  <property fmtid="{D5CDD505-2E9C-101B-9397-08002B2CF9AE}" pid="4" name="ICV">
    <vt:lpwstr>A089101ED8564A2FA1E43EB1D586E272_13</vt:lpwstr>
  </property>
</Properties>
</file>