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4"/>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中山市黄圃人民医院网闸及配套设备采购项目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中山市黄圃人民医院网闸及配套设备采购项目</w:t>
      </w:r>
    </w:p>
    <w:p>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PYCG-XX-202606-06</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pPr>
        <w:spacing w:line="360" w:lineRule="auto"/>
        <w:ind w:firstLine="480" w:firstLineChars="200"/>
        <w:jc w:val="left"/>
        <w:outlineLvl w:val="0"/>
        <w:rPr>
          <w:rFonts w:hint="default"/>
          <w:lang w:val="en-US" w:eastAsia="zh-CN"/>
        </w:rPr>
      </w:pPr>
      <w:r>
        <w:rPr>
          <w:rFonts w:hint="eastAsia" w:ascii="宋体" w:hAnsi="宋体" w:eastAsia="宋体" w:cs="宋体"/>
          <w:color w:val="auto"/>
          <w:sz w:val="24"/>
          <w:szCs w:val="24"/>
          <w:lang w:val="en-US" w:eastAsia="zh-CN"/>
        </w:rPr>
        <w:t>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3"/>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22"/>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3"/>
        <w:tabs>
          <w:tab w:val="decimal" w:pos="315"/>
          <w:tab w:val="left" w:pos="630"/>
        </w:tabs>
        <w:spacing w:after="0"/>
        <w:ind w:left="424" w:hanging="424" w:hangingChars="202"/>
        <w:rPr>
          <w:rFonts w:hint="eastAsia"/>
          <w:color w:val="auto"/>
          <w:sz w:val="21"/>
          <w:szCs w:val="21"/>
          <w:lang w:val="en-US"/>
        </w:rPr>
      </w:pPr>
    </w:p>
    <w:p>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3"/>
        <w:tabs>
          <w:tab w:val="decimal" w:pos="315"/>
          <w:tab w:val="left" w:pos="630"/>
        </w:tabs>
        <w:spacing w:after="0"/>
        <w:rPr>
          <w:color w:val="auto"/>
          <w:sz w:val="21"/>
          <w:szCs w:val="21"/>
        </w:rPr>
      </w:pPr>
    </w:p>
    <w:p>
      <w:pPr>
        <w:pStyle w:val="13"/>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中山市黄圃人民医院网闸及配套设备采购项目（项目编号：PYCG-XX-202606-06）</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中山市黄圃人民医院网闸及配套设备采购项目（项目编号：PYCG-XX-202606-06）</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中山市黄圃人民医院网闸及配套设备采购项目（项目编号：PYCG-XX-202606-06）</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中山市黄圃人民医院网闸及配套设备采购项目（项目编号：PYCG-XX-202606-06）</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2"/>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4"/>
        </w:numPr>
        <w:spacing w:line="360" w:lineRule="auto"/>
        <w:jc w:val="center"/>
        <w:outlineLvl w:val="0"/>
        <w:rPr>
          <w:rFonts w:ascii="宋体" w:hAnsi="宋体"/>
          <w:b/>
          <w:bCs/>
          <w:color w:val="auto"/>
          <w:sz w:val="28"/>
          <w:szCs w:val="28"/>
        </w:rPr>
      </w:pPr>
      <w:bookmarkStart w:id="3" w:name="_Toc202251701"/>
      <w:bookmarkStart w:id="4" w:name="_Toc202819879"/>
      <w:bookmarkStart w:id="5" w:name="_Toc202820352"/>
      <w:bookmarkStart w:id="6" w:name="_Toc202816997"/>
      <w:bookmarkStart w:id="7" w:name="_Toc202251076"/>
      <w:bookmarkStart w:id="8" w:name="_Toc202252035"/>
      <w:bookmarkStart w:id="9" w:name="_Toc202254106"/>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建设期限</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2"/>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2"/>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4"/>
        <w:rPr>
          <w:rFonts w:ascii="宋体" w:hAnsi="宋体"/>
          <w:color w:val="auto"/>
          <w:szCs w:val="21"/>
          <w:highlight w:val="none"/>
        </w:rPr>
      </w:pPr>
    </w:p>
    <w:p>
      <w:pPr>
        <w:pStyle w:val="24"/>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816998"/>
      <w:bookmarkEnd w:id="10"/>
      <w:bookmarkStart w:id="11" w:name="_Toc202251077"/>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pStyle w:val="2"/>
        <w:rPr>
          <w:rFonts w:hint="eastAsia"/>
          <w:lang w:val="en-US" w:eastAsia="zh-CN"/>
        </w:rPr>
      </w:pPr>
    </w:p>
    <w:p>
      <w:pPr>
        <w:pStyle w:val="10"/>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pPr>
        <w:pStyle w:val="10"/>
        <w:spacing w:line="360" w:lineRule="auto"/>
        <w:ind w:firstLine="0" w:firstLineChars="0"/>
        <w:jc w:val="center"/>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报价表</w:t>
      </w:r>
    </w:p>
    <w:p>
      <w:pPr>
        <w:pStyle w:val="10"/>
        <w:spacing w:line="360" w:lineRule="auto"/>
        <w:ind w:firstLine="0" w:firstLineChars="0"/>
        <w:jc w:val="left"/>
        <w:outlineLvl w:val="0"/>
        <w:rPr>
          <w:rFonts w:hint="eastAsia" w:ascii="宋体" w:hAnsi="宋体" w:cs="宋体"/>
          <w:i w:val="0"/>
          <w:iCs w:val="0"/>
          <w:caps w:val="0"/>
          <w:color w:val="auto"/>
          <w:spacing w:val="0"/>
          <w:sz w:val="21"/>
          <w:szCs w:val="21"/>
          <w:highlight w:val="none"/>
          <w:shd w:val="clear" w:color="auto" w:fill="FFFFFF"/>
          <w:vertAlign w:val="baseline"/>
          <w:lang w:val="en-US" w:eastAsia="zh-CN"/>
        </w:rPr>
      </w:pPr>
      <w:r>
        <w:rPr>
          <w:rStyle w:val="29"/>
          <w:rFonts w:hint="eastAsia" w:ascii="宋体" w:hAnsi="宋体" w:eastAsia="宋体" w:cs="宋体"/>
          <w:color w:val="auto"/>
          <w:kern w:val="2"/>
          <w:sz w:val="24"/>
          <w:szCs w:val="24"/>
          <w:lang w:val="en-US" w:eastAsia="zh-CN" w:bidi="ar-SA"/>
        </w:rPr>
        <w:t>项目名称：</w:t>
      </w:r>
      <w:r>
        <w:rPr>
          <w:rFonts w:hint="eastAsia" w:ascii="宋体" w:hAnsi="宋体" w:cs="宋体"/>
          <w:i w:val="0"/>
          <w:iCs w:val="0"/>
          <w:caps w:val="0"/>
          <w:color w:val="auto"/>
          <w:spacing w:val="0"/>
          <w:sz w:val="21"/>
          <w:szCs w:val="21"/>
          <w:highlight w:val="none"/>
          <w:shd w:val="clear" w:color="auto" w:fill="FFFFFF"/>
          <w:vertAlign w:val="baseline"/>
          <w:lang w:val="en-US" w:eastAsia="zh-CN"/>
        </w:rPr>
        <w:t>中山市黄圃人民医院网闸及配套设备采购项目</w:t>
      </w:r>
    </w:p>
    <w:p>
      <w:pPr>
        <w:pStyle w:val="10"/>
        <w:spacing w:line="360" w:lineRule="auto"/>
        <w:ind w:firstLine="0" w:firstLineChars="0"/>
        <w:jc w:val="left"/>
        <w:outlineLvl w:val="0"/>
        <w:rPr>
          <w:rStyle w:val="29"/>
          <w:rFonts w:hint="eastAsia" w:ascii="宋体" w:hAnsi="宋体" w:eastAsia="宋体" w:cs="宋体"/>
          <w:color w:val="auto"/>
          <w:kern w:val="2"/>
          <w:sz w:val="24"/>
          <w:szCs w:val="24"/>
          <w:lang w:val="en-US" w:eastAsia="zh-CN" w:bidi="ar-SA"/>
        </w:rPr>
      </w:pPr>
      <w:r>
        <w:rPr>
          <w:rStyle w:val="29"/>
          <w:rFonts w:hint="eastAsia" w:ascii="宋体" w:hAnsi="宋体" w:eastAsia="宋体" w:cs="宋体"/>
          <w:color w:val="auto"/>
          <w:kern w:val="2"/>
          <w:sz w:val="24"/>
          <w:szCs w:val="24"/>
          <w:lang w:val="en-US" w:eastAsia="zh-CN" w:bidi="ar-SA"/>
        </w:rPr>
        <w:t>项目编号：</w:t>
      </w:r>
      <w:r>
        <w:rPr>
          <w:rFonts w:hint="eastAsia" w:ascii="宋体" w:hAnsi="宋体" w:cs="宋体"/>
          <w:i w:val="0"/>
          <w:iCs w:val="0"/>
          <w:caps w:val="0"/>
          <w:color w:val="auto"/>
          <w:spacing w:val="0"/>
          <w:sz w:val="21"/>
          <w:szCs w:val="21"/>
          <w:highlight w:val="none"/>
          <w:shd w:val="clear" w:color="auto" w:fill="FFFFFF"/>
          <w:vertAlign w:val="baseline"/>
          <w:lang w:val="en-US" w:eastAsia="zh-CN"/>
        </w:rPr>
        <w:t>PYCG-XX-202606-06</w:t>
      </w:r>
    </w:p>
    <w:tbl>
      <w:tblPr>
        <w:tblStyle w:val="22"/>
        <w:tblW w:w="96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821"/>
        <w:gridCol w:w="758"/>
        <w:gridCol w:w="2511"/>
        <w:gridCol w:w="1634"/>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311" w:type="dxa"/>
            <w:vAlign w:val="center"/>
          </w:tcPr>
          <w:p>
            <w:pPr>
              <w:jc w:val="center"/>
              <w:rPr>
                <w:rFonts w:hint="eastAsia" w:ascii="宋体" w:hAnsi="宋体" w:eastAsia="宋体" w:cs="宋体"/>
                <w:sz w:val="24"/>
                <w:szCs w:val="24"/>
              </w:rPr>
            </w:pPr>
            <w:r>
              <w:rPr>
                <w:rFonts w:hint="eastAsia" w:ascii="宋体" w:hAnsi="宋体" w:eastAsia="宋体" w:cs="宋体"/>
                <w:b/>
                <w:sz w:val="24"/>
                <w:szCs w:val="24"/>
                <w:lang w:val="en-US" w:eastAsia="zh-CN"/>
              </w:rPr>
              <w:t>产品名称</w:t>
            </w:r>
          </w:p>
        </w:tc>
        <w:tc>
          <w:tcPr>
            <w:tcW w:w="821" w:type="dxa"/>
            <w:vAlign w:val="center"/>
          </w:tcPr>
          <w:p>
            <w:pPr>
              <w:jc w:val="center"/>
              <w:rPr>
                <w:rFonts w:hint="eastAsia" w:ascii="宋体" w:hAnsi="宋体" w:cs="宋体"/>
                <w:b/>
                <w:sz w:val="24"/>
                <w:szCs w:val="24"/>
                <w:lang w:val="en-US" w:eastAsia="zh-CN"/>
              </w:rPr>
            </w:pPr>
            <w:r>
              <w:rPr>
                <w:rFonts w:hint="eastAsia" w:ascii="宋体" w:hAnsi="宋体" w:cs="宋体"/>
                <w:b/>
                <w:sz w:val="24"/>
                <w:szCs w:val="24"/>
                <w:lang w:val="en-US" w:eastAsia="zh-CN"/>
              </w:rPr>
              <w:t>单位</w:t>
            </w:r>
          </w:p>
        </w:tc>
        <w:tc>
          <w:tcPr>
            <w:tcW w:w="758" w:type="dxa"/>
            <w:vAlign w:val="center"/>
          </w:tcPr>
          <w:p>
            <w:pPr>
              <w:jc w:val="center"/>
              <w:rPr>
                <w:rFonts w:hint="eastAsia" w:ascii="宋体" w:hAnsi="宋体" w:eastAsia="宋体" w:cs="宋体"/>
                <w:b/>
                <w:sz w:val="24"/>
                <w:szCs w:val="24"/>
                <w:lang w:val="en-US" w:eastAsia="zh-CN"/>
              </w:rPr>
            </w:pPr>
            <w:r>
              <w:rPr>
                <w:rFonts w:hint="eastAsia" w:ascii="宋体" w:hAnsi="宋体" w:cs="宋体"/>
                <w:b/>
                <w:sz w:val="24"/>
                <w:szCs w:val="24"/>
                <w:lang w:val="en-US" w:eastAsia="zh-CN"/>
              </w:rPr>
              <w:t>数量</w:t>
            </w:r>
          </w:p>
        </w:tc>
        <w:tc>
          <w:tcPr>
            <w:tcW w:w="2511" w:type="dxa"/>
            <w:vAlign w:val="center"/>
          </w:tcPr>
          <w:p>
            <w:pPr>
              <w:jc w:val="center"/>
              <w:rPr>
                <w:rFonts w:hint="eastAsia" w:ascii="宋体" w:hAnsi="宋体" w:eastAsia="宋体" w:cs="宋体"/>
                <w:sz w:val="24"/>
                <w:szCs w:val="24"/>
              </w:rPr>
            </w:pPr>
            <w:r>
              <w:rPr>
                <w:rFonts w:hint="eastAsia" w:ascii="宋体" w:hAnsi="宋体" w:eastAsia="宋体" w:cs="宋体"/>
                <w:b/>
                <w:sz w:val="24"/>
                <w:szCs w:val="24"/>
                <w:lang w:val="en-US" w:eastAsia="zh-CN"/>
              </w:rPr>
              <w:t>报价</w:t>
            </w:r>
            <w:r>
              <w:rPr>
                <w:rFonts w:hint="eastAsia" w:ascii="宋体" w:hAnsi="宋体" w:eastAsia="宋体" w:cs="宋体"/>
                <w:b/>
                <w:sz w:val="24"/>
                <w:szCs w:val="24"/>
              </w:rPr>
              <w:t>（元）</w:t>
            </w:r>
          </w:p>
        </w:tc>
        <w:tc>
          <w:tcPr>
            <w:tcW w:w="1634" w:type="dxa"/>
            <w:vAlign w:val="center"/>
          </w:tcPr>
          <w:p>
            <w:pPr>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品牌（如有）</w:t>
            </w:r>
          </w:p>
        </w:tc>
        <w:tc>
          <w:tcPr>
            <w:tcW w:w="1628" w:type="dxa"/>
            <w:vAlign w:val="center"/>
          </w:tcPr>
          <w:p>
            <w:pPr>
              <w:jc w:val="center"/>
              <w:rPr>
                <w:rFonts w:hint="eastAsia" w:ascii="宋体" w:hAnsi="宋体" w:cs="宋体"/>
                <w:b/>
                <w:sz w:val="24"/>
                <w:szCs w:val="24"/>
                <w:lang w:val="en-US" w:eastAsia="zh-CN"/>
              </w:rPr>
            </w:pPr>
            <w:r>
              <w:rPr>
                <w:rFonts w:hint="eastAsia" w:ascii="宋体" w:hAnsi="宋体" w:cs="宋体"/>
                <w:b/>
                <w:sz w:val="24"/>
                <w:szCs w:val="24"/>
                <w:lang w:val="en-US" w:eastAsia="zh-CN"/>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2311" w:type="dxa"/>
            <w:vAlign w:val="center"/>
          </w:tcPr>
          <w:p>
            <w:pPr>
              <w:jc w:val="center"/>
              <w:rPr>
                <w:rFonts w:hint="eastAsia" w:ascii="宋体" w:hAnsi="宋体" w:eastAsia="宋体" w:cs="宋体"/>
                <w:sz w:val="24"/>
                <w:szCs w:val="24"/>
                <w:lang w:eastAsia="zh-CN"/>
              </w:rPr>
            </w:pPr>
            <w:r>
              <w:rPr>
                <w:rFonts w:hint="eastAsia" w:ascii="宋体" w:hAnsi="宋体" w:eastAsia="宋体" w:cs="宋体"/>
                <w:szCs w:val="24"/>
              </w:rPr>
              <w:t>网闸</w:t>
            </w:r>
          </w:p>
        </w:tc>
        <w:tc>
          <w:tcPr>
            <w:tcW w:w="821" w:type="dxa"/>
            <w:vAlign w:val="center"/>
          </w:tcPr>
          <w:p>
            <w:pPr>
              <w:jc w:val="center"/>
              <w:rPr>
                <w:rFonts w:hint="default" w:ascii="宋体" w:hAnsi="宋体" w:eastAsia="宋体" w:cs="宋体"/>
                <w:sz w:val="24"/>
                <w:szCs w:val="24"/>
                <w:lang w:val="en-US" w:eastAsia="zh-CN"/>
              </w:rPr>
            </w:pPr>
            <w:r>
              <w:rPr>
                <w:rFonts w:hint="eastAsia" w:ascii="Arial" w:eastAsia="等线"/>
                <w:sz w:val="22"/>
                <w:lang w:val="en-US" w:eastAsia="zh-CN"/>
              </w:rPr>
              <w:t>套</w:t>
            </w:r>
          </w:p>
        </w:tc>
        <w:tc>
          <w:tcPr>
            <w:tcW w:w="758" w:type="dxa"/>
            <w:vAlign w:val="center"/>
          </w:tcPr>
          <w:p>
            <w:pPr>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511" w:type="dxa"/>
            <w:vAlign w:val="center"/>
          </w:tcPr>
          <w:p>
            <w:pPr>
              <w:rPr>
                <w:rFonts w:hint="eastAsia" w:ascii="宋体" w:hAnsi="宋体" w:eastAsia="宋体" w:cs="宋体"/>
                <w:sz w:val="24"/>
                <w:szCs w:val="24"/>
              </w:rPr>
            </w:pPr>
          </w:p>
        </w:tc>
        <w:tc>
          <w:tcPr>
            <w:tcW w:w="1634" w:type="dxa"/>
            <w:vAlign w:val="center"/>
          </w:tcPr>
          <w:p>
            <w:pPr>
              <w:rPr>
                <w:rFonts w:hint="eastAsia" w:ascii="宋体" w:hAnsi="宋体" w:eastAsia="宋体" w:cs="宋体"/>
                <w:sz w:val="24"/>
                <w:szCs w:val="24"/>
              </w:rPr>
            </w:pPr>
          </w:p>
        </w:tc>
        <w:tc>
          <w:tcPr>
            <w:tcW w:w="1628"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2311" w:type="dxa"/>
            <w:vAlign w:val="center"/>
          </w:tcPr>
          <w:p>
            <w:pPr>
              <w:jc w:val="center"/>
              <w:rPr>
                <w:rFonts w:hint="eastAsia" w:ascii="宋体" w:hAnsi="宋体" w:eastAsia="宋体" w:cs="宋体"/>
                <w:sz w:val="24"/>
                <w:szCs w:val="24"/>
                <w:lang w:val="en-US" w:eastAsia="zh-CN"/>
              </w:rPr>
            </w:pPr>
            <w:r>
              <w:rPr>
                <w:rFonts w:hAnsi="宋体" w:cs="宋体"/>
                <w:szCs w:val="24"/>
              </w:rPr>
              <w:t>内网处理单元</w:t>
            </w:r>
            <w:r>
              <w:rPr>
                <w:rFonts w:hint="eastAsia" w:ascii="宋体" w:hAnsi="宋体" w:eastAsia="宋体" w:cs="宋体"/>
                <w:szCs w:val="24"/>
              </w:rPr>
              <w:t>与</w:t>
            </w:r>
            <w:r>
              <w:rPr>
                <w:rFonts w:hAnsi="宋体" w:cs="宋体"/>
                <w:szCs w:val="24"/>
              </w:rPr>
              <w:t>外网处理单元</w:t>
            </w:r>
          </w:p>
        </w:tc>
        <w:tc>
          <w:tcPr>
            <w:tcW w:w="821" w:type="dxa"/>
            <w:vAlign w:val="center"/>
          </w:tcPr>
          <w:p>
            <w:pPr>
              <w:jc w:val="center"/>
              <w:rPr>
                <w:rFonts w:hint="eastAsia" w:ascii="宋体" w:hAnsi="宋体" w:cs="宋体"/>
                <w:sz w:val="24"/>
                <w:szCs w:val="24"/>
                <w:lang w:val="en-US" w:eastAsia="zh-CN"/>
              </w:rPr>
            </w:pPr>
            <w:r>
              <w:rPr>
                <w:rFonts w:hint="eastAsia" w:ascii="Arial" w:eastAsia="等线"/>
                <w:sz w:val="22"/>
                <w:lang w:val="en-US" w:eastAsia="zh-CN"/>
              </w:rPr>
              <w:t>台</w:t>
            </w:r>
          </w:p>
        </w:tc>
        <w:tc>
          <w:tcPr>
            <w:tcW w:w="758" w:type="dxa"/>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2511" w:type="dxa"/>
            <w:vAlign w:val="center"/>
          </w:tcPr>
          <w:p>
            <w:pPr>
              <w:rPr>
                <w:rFonts w:hint="eastAsia" w:ascii="宋体" w:hAnsi="宋体" w:eastAsia="宋体" w:cs="宋体"/>
                <w:sz w:val="24"/>
                <w:szCs w:val="24"/>
              </w:rPr>
            </w:pPr>
          </w:p>
        </w:tc>
        <w:tc>
          <w:tcPr>
            <w:tcW w:w="1634" w:type="dxa"/>
            <w:vAlign w:val="center"/>
          </w:tcPr>
          <w:p>
            <w:pPr>
              <w:rPr>
                <w:rFonts w:hint="eastAsia" w:ascii="宋体" w:hAnsi="宋体" w:eastAsia="宋体" w:cs="宋体"/>
                <w:sz w:val="24"/>
                <w:szCs w:val="24"/>
              </w:rPr>
            </w:pPr>
          </w:p>
        </w:tc>
        <w:tc>
          <w:tcPr>
            <w:tcW w:w="1628"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4" w:hRule="atLeast"/>
          <w:jc w:val="center"/>
        </w:trPr>
        <w:tc>
          <w:tcPr>
            <w:tcW w:w="2311" w:type="dxa"/>
            <w:vAlign w:val="center"/>
          </w:tcPr>
          <w:p>
            <w:pPr>
              <w:jc w:val="center"/>
              <w:rPr>
                <w:rFonts w:hint="eastAsia" w:ascii="宋体" w:hAnsi="宋体" w:eastAsia="宋体" w:cs="宋体"/>
                <w:sz w:val="24"/>
                <w:szCs w:val="24"/>
                <w:lang w:val="en-US" w:eastAsia="zh-CN"/>
              </w:rPr>
            </w:pPr>
            <w:r>
              <w:rPr>
                <w:rFonts w:hint="eastAsia" w:hAnsi="宋体" w:cs="宋体"/>
                <w:color w:val="auto"/>
                <w:szCs w:val="24"/>
              </w:rPr>
              <w:t>交换机</w:t>
            </w:r>
          </w:p>
        </w:tc>
        <w:tc>
          <w:tcPr>
            <w:tcW w:w="821" w:type="dxa"/>
            <w:vAlign w:val="center"/>
          </w:tcPr>
          <w:p>
            <w:pPr>
              <w:jc w:val="center"/>
              <w:rPr>
                <w:rFonts w:hint="eastAsia" w:ascii="宋体" w:hAnsi="宋体" w:cs="宋体"/>
                <w:sz w:val="24"/>
                <w:szCs w:val="24"/>
                <w:lang w:val="en-US" w:eastAsia="zh-CN"/>
              </w:rPr>
            </w:pPr>
            <w:r>
              <w:rPr>
                <w:rFonts w:hint="eastAsia" w:ascii="Arial" w:eastAsia="等线"/>
                <w:sz w:val="22"/>
                <w:lang w:val="en-US" w:eastAsia="zh-CN"/>
              </w:rPr>
              <w:t>台</w:t>
            </w:r>
          </w:p>
        </w:tc>
        <w:tc>
          <w:tcPr>
            <w:tcW w:w="758" w:type="dxa"/>
            <w:vAlign w:val="center"/>
          </w:tcPr>
          <w:p>
            <w:pPr>
              <w:jc w:val="center"/>
              <w:rPr>
                <w:rFonts w:hint="default" w:ascii="宋体" w:hAnsi="宋体" w:cs="宋体"/>
                <w:sz w:val="24"/>
                <w:szCs w:val="24"/>
                <w:lang w:val="en-US" w:eastAsia="zh-CN"/>
              </w:rPr>
            </w:pPr>
            <w:r>
              <w:rPr>
                <w:rFonts w:hint="eastAsia" w:ascii="宋体" w:hAnsi="宋体" w:cs="宋体"/>
                <w:sz w:val="24"/>
                <w:szCs w:val="24"/>
                <w:lang w:val="en-US" w:eastAsia="zh-CN"/>
              </w:rPr>
              <w:t>1</w:t>
            </w:r>
          </w:p>
        </w:tc>
        <w:tc>
          <w:tcPr>
            <w:tcW w:w="2511" w:type="dxa"/>
            <w:vAlign w:val="center"/>
          </w:tcPr>
          <w:p>
            <w:pPr>
              <w:rPr>
                <w:rFonts w:hint="eastAsia" w:ascii="宋体" w:hAnsi="宋体" w:eastAsia="宋体" w:cs="宋体"/>
                <w:sz w:val="24"/>
                <w:szCs w:val="24"/>
              </w:rPr>
            </w:pPr>
          </w:p>
        </w:tc>
        <w:tc>
          <w:tcPr>
            <w:tcW w:w="1634" w:type="dxa"/>
            <w:vAlign w:val="center"/>
          </w:tcPr>
          <w:p>
            <w:pPr>
              <w:rPr>
                <w:rFonts w:hint="eastAsia" w:ascii="宋体" w:hAnsi="宋体" w:eastAsia="宋体" w:cs="宋体"/>
                <w:sz w:val="24"/>
                <w:szCs w:val="24"/>
              </w:rPr>
            </w:pPr>
          </w:p>
        </w:tc>
        <w:tc>
          <w:tcPr>
            <w:tcW w:w="1628" w:type="dxa"/>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3890" w:type="dxa"/>
            <w:gridSpan w:val="3"/>
            <w:vAlign w:val="center"/>
          </w:tcPr>
          <w:p>
            <w:pPr>
              <w:jc w:val="center"/>
              <w:rPr>
                <w:rFonts w:hint="eastAsia" w:ascii="宋体" w:hAnsi="宋体" w:cs="宋体"/>
                <w:sz w:val="24"/>
                <w:szCs w:val="24"/>
                <w:lang w:val="en-US" w:eastAsia="zh-CN"/>
              </w:rPr>
            </w:pPr>
            <w:bookmarkStart w:id="17" w:name="_GoBack" w:colFirst="3" w:colLast="5"/>
            <w:r>
              <w:rPr>
                <w:rFonts w:hint="eastAsia" w:ascii="宋体" w:hAnsi="宋体" w:cs="宋体"/>
                <w:sz w:val="24"/>
                <w:szCs w:val="24"/>
                <w:lang w:val="en-US" w:eastAsia="zh-CN"/>
              </w:rPr>
              <w:t>合计（元）</w:t>
            </w:r>
          </w:p>
        </w:tc>
        <w:tc>
          <w:tcPr>
            <w:tcW w:w="5773" w:type="dxa"/>
            <w:gridSpan w:val="3"/>
            <w:vAlign w:val="center"/>
          </w:tcPr>
          <w:p>
            <w:pPr>
              <w:rPr>
                <w:rFonts w:hint="eastAsia" w:ascii="宋体" w:hAnsi="宋体" w:eastAsia="宋体" w:cs="宋体"/>
                <w:sz w:val="24"/>
                <w:szCs w:val="24"/>
              </w:rPr>
            </w:pPr>
            <w:r>
              <w:rPr>
                <w:rFonts w:hint="eastAsia" w:ascii="宋体" w:hAnsi="宋体" w:eastAsia="宋体" w:cs="宋体"/>
                <w:sz w:val="24"/>
                <w:szCs w:val="24"/>
              </w:rPr>
              <w:t>大写：</w:t>
            </w:r>
          </w:p>
          <w:p>
            <w:pPr>
              <w:pStyle w:val="24"/>
              <w:rPr>
                <w:rFonts w:hint="eastAsia"/>
              </w:rPr>
            </w:pPr>
          </w:p>
          <w:p>
            <w:pPr>
              <w:rPr>
                <w:rFonts w:hint="eastAsia" w:ascii="宋体" w:hAnsi="宋体" w:eastAsia="宋体" w:cs="宋体"/>
                <w:sz w:val="24"/>
                <w:szCs w:val="24"/>
              </w:rPr>
            </w:pPr>
            <w:r>
              <w:rPr>
                <w:rFonts w:hint="eastAsia" w:ascii="宋体" w:hAnsi="宋体" w:eastAsia="宋体" w:cs="宋体"/>
                <w:sz w:val="24"/>
                <w:szCs w:val="24"/>
              </w:rPr>
              <w:t>小写：</w:t>
            </w:r>
          </w:p>
        </w:tc>
      </w:tr>
      <w:bookmarkEnd w:id="17"/>
    </w:tbl>
    <w:p>
      <w:pPr>
        <w:ind w:right="1430"/>
        <w:jc w:val="left"/>
        <w:rPr>
          <w:rFonts w:eastAsia="宋体" w:cs="Tahoma"/>
          <w:color w:val="auto"/>
          <w:kern w:val="28"/>
          <w:szCs w:val="24"/>
          <w:highlight w:val="none"/>
        </w:rPr>
      </w:pPr>
    </w:p>
    <w:p>
      <w:pPr>
        <w:spacing w:line="360" w:lineRule="auto"/>
        <w:ind w:firstLine="0" w:firstLineChars="0"/>
        <w:rPr>
          <w:rFonts w:hint="eastAsia" w:ascii="宋体" w:hAnsi="宋体" w:eastAsia="宋体" w:cs="宋体"/>
          <w:b/>
          <w:bCs/>
          <w:color w:val="auto"/>
          <w:sz w:val="21"/>
          <w:szCs w:val="21"/>
          <w:highlight w:val="none"/>
          <w:lang w:eastAsia="zh-CN"/>
        </w:rPr>
      </w:pPr>
      <w:r>
        <w:rPr>
          <w:rFonts w:hint="eastAsia"/>
          <w:b/>
          <w:color w:val="auto"/>
          <w:szCs w:val="21"/>
          <w:highlight w:val="none"/>
        </w:rPr>
        <w:t>备注：</w:t>
      </w:r>
      <w:r>
        <w:rPr>
          <w:rFonts w:hint="eastAsia"/>
          <w:b/>
          <w:color w:val="auto"/>
          <w:szCs w:val="21"/>
          <w:highlight w:val="none"/>
          <w:lang w:val="en-US" w:eastAsia="zh-CN"/>
        </w:rPr>
        <w:t>1.本项目报价为全包价，包含但不限于建设期及维护期内涉及的所有第三方技术相关费用、知识产权、税费、专利、货物成本、运输、安装、调试、人工、培训、验收等。所有完成合同内容所需的含税费用，项目实施及合同履行期间采购人不再额外支付其他任何费用。供应商漏报或不报，采购人将视为该漏报或不报部分的费用已包括在已报的报价中而不予支付。</w:t>
      </w:r>
    </w:p>
    <w:p>
      <w:pPr>
        <w:spacing w:line="360" w:lineRule="auto"/>
        <w:ind w:firstLine="632" w:firstLineChars="300"/>
        <w:rPr>
          <w:b/>
          <w:color w:val="auto"/>
          <w:szCs w:val="21"/>
          <w:highlight w:val="none"/>
        </w:rPr>
      </w:pPr>
      <w:r>
        <w:rPr>
          <w:rFonts w:hint="eastAsia"/>
          <w:b/>
          <w:color w:val="auto"/>
          <w:szCs w:val="21"/>
          <w:highlight w:val="none"/>
          <w:lang w:val="en-US" w:eastAsia="zh-CN"/>
        </w:rPr>
        <w:t>2.</w:t>
      </w:r>
      <w:r>
        <w:rPr>
          <w:rFonts w:hint="eastAsia"/>
          <w:b/>
          <w:color w:val="auto"/>
          <w:szCs w:val="21"/>
          <w:highlight w:val="none"/>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3.</w:t>
      </w:r>
      <w:r>
        <w:rPr>
          <w:rFonts w:hint="eastAsia"/>
          <w:b/>
          <w:color w:val="auto"/>
          <w:szCs w:val="21"/>
          <w:highlight w:val="none"/>
        </w:rPr>
        <w:t>货币单位为人民币。</w:t>
      </w:r>
    </w:p>
    <w:p>
      <w:pPr>
        <w:spacing w:line="300" w:lineRule="auto"/>
        <w:ind w:firstLine="420" w:firstLineChars="200"/>
        <w:rPr>
          <w:rFonts w:hint="eastAsia" w:ascii="宋体" w:hAnsi="宋体"/>
          <w:color w:val="auto"/>
          <w:szCs w:val="21"/>
          <w:highlight w:val="none"/>
          <w:lang w:bidi="en-US"/>
        </w:rPr>
      </w:pPr>
    </w:p>
    <w:p>
      <w:pPr>
        <w:autoSpaceDE w:val="0"/>
        <w:autoSpaceDN w:val="0"/>
        <w:adjustRightInd w:val="0"/>
        <w:spacing w:line="360" w:lineRule="auto"/>
        <w:ind w:left="420"/>
        <w:rPr>
          <w:rFonts w:hint="eastAsia" w:ascii="宋体" w:hAnsi="宋体" w:eastAsia="宋体"/>
          <w:color w:val="auto"/>
          <w:sz w:val="22"/>
          <w:szCs w:val="21"/>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p>
      <w:pPr>
        <w:pStyle w:val="7"/>
        <w:rPr>
          <w:rFonts w:hint="eastAsia" w:ascii="宋体" w:hAnsi="宋体"/>
          <w:color w:val="auto"/>
          <w:sz w:val="22"/>
          <w:szCs w:val="21"/>
          <w:highlight w:val="none"/>
        </w:rPr>
      </w:pPr>
    </w:p>
    <w:p>
      <w:pPr>
        <w:pStyle w:val="8"/>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Fonts w:hint="eastAsia"/>
        </w:rPr>
        <w:br w:type="page"/>
      </w:r>
    </w:p>
    <w:p>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480"/>
        <w:outlineLvl w:val="0"/>
        <w:rPr>
          <w:rFonts w:hint="eastAsia" w:eastAsia="宋体" w:cs="宋体"/>
          <w:color w:val="auto"/>
          <w:sz w:val="24"/>
          <w:szCs w:val="24"/>
        </w:rPr>
      </w:pPr>
    </w:p>
    <w:p>
      <w:pPr>
        <w:pStyle w:val="3"/>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895AA0"/>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D24B78"/>
    <w:rsid w:val="164A70B9"/>
    <w:rsid w:val="17103D25"/>
    <w:rsid w:val="17773DA4"/>
    <w:rsid w:val="17B943BD"/>
    <w:rsid w:val="17F84EE5"/>
    <w:rsid w:val="1855368E"/>
    <w:rsid w:val="18915552"/>
    <w:rsid w:val="18B52DD6"/>
    <w:rsid w:val="192D5062"/>
    <w:rsid w:val="1938191E"/>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5F883A5E"/>
    <w:rsid w:val="6013383A"/>
    <w:rsid w:val="60474C82"/>
    <w:rsid w:val="6063044C"/>
    <w:rsid w:val="607466A0"/>
    <w:rsid w:val="60F4333C"/>
    <w:rsid w:val="610012C3"/>
    <w:rsid w:val="61420D00"/>
    <w:rsid w:val="616E1341"/>
    <w:rsid w:val="61801B97"/>
    <w:rsid w:val="625E2CFC"/>
    <w:rsid w:val="62CC631F"/>
    <w:rsid w:val="62E5580F"/>
    <w:rsid w:val="62E96ED1"/>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D710B6"/>
    <w:rsid w:val="6ADF6E0B"/>
    <w:rsid w:val="6AEB4356"/>
    <w:rsid w:val="6B142A1A"/>
    <w:rsid w:val="6B3B2294"/>
    <w:rsid w:val="6B421874"/>
    <w:rsid w:val="6B80239C"/>
    <w:rsid w:val="6BBB0D50"/>
    <w:rsid w:val="6C223454"/>
    <w:rsid w:val="6C4038DA"/>
    <w:rsid w:val="6C9A748E"/>
    <w:rsid w:val="6D2643FD"/>
    <w:rsid w:val="6E2F7B2D"/>
    <w:rsid w:val="6E8057CA"/>
    <w:rsid w:val="6EA6036C"/>
    <w:rsid w:val="6EB51B6F"/>
    <w:rsid w:val="6F582819"/>
    <w:rsid w:val="6F6E2693"/>
    <w:rsid w:val="6FAD572A"/>
    <w:rsid w:val="6FCF7733"/>
    <w:rsid w:val="70A13662"/>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4">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7">
    <w:name w:val="Body Text First Indent"/>
    <w:basedOn w:val="2"/>
    <w:next w:val="8"/>
    <w:qFormat/>
    <w:uiPriority w:val="0"/>
    <w:pPr>
      <w:widowControl w:val="0"/>
      <w:ind w:firstLine="420" w:firstLineChars="100"/>
      <w:jc w:val="both"/>
    </w:pPr>
    <w:rPr>
      <w:kern w:val="2"/>
      <w:szCs w:val="24"/>
    </w:rPr>
  </w:style>
  <w:style w:type="paragraph" w:styleId="8">
    <w:name w:val="Body Text First Indent 2"/>
    <w:basedOn w:val="9"/>
    <w:next w:val="1"/>
    <w:qFormat/>
    <w:uiPriority w:val="0"/>
    <w:pPr>
      <w:widowControl w:val="0"/>
      <w:ind w:firstLine="420" w:firstLineChars="200"/>
      <w:jc w:val="both"/>
    </w:pPr>
    <w:rPr>
      <w:kern w:val="2"/>
      <w:szCs w:val="24"/>
    </w:rPr>
  </w:style>
  <w:style w:type="paragraph" w:styleId="9">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character" w:styleId="21">
    <w:name w:val="Strong"/>
    <w:basedOn w:val="20"/>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character" w:customStyle="1" w:styleId="29">
    <w:name w:val="标题 2 字符"/>
    <w:link w:val="4"/>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4"/>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2026-06-10T07:54:23Z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