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D71354">
      <w:pPr>
        <w:spacing w:line="360" w:lineRule="auto"/>
        <w:rPr>
          <w:rFonts w:hint="eastAsia"/>
          <w:b/>
          <w:color w:val="auto"/>
          <w:sz w:val="36"/>
          <w:szCs w:val="36"/>
        </w:rPr>
      </w:pPr>
      <w:r>
        <w:rPr>
          <w:rFonts w:hint="eastAsia"/>
          <w:bCs/>
          <w:color w:val="auto"/>
          <w:sz w:val="28"/>
          <w:szCs w:val="28"/>
        </w:rPr>
        <w:t xml:space="preserve">附件1： </w:t>
      </w:r>
      <w:r>
        <w:rPr>
          <w:rFonts w:hint="eastAsia"/>
          <w:b/>
          <w:color w:val="auto"/>
          <w:sz w:val="32"/>
          <w:szCs w:val="32"/>
        </w:rPr>
        <w:t xml:space="preserve">             </w:t>
      </w:r>
      <w:r>
        <w:rPr>
          <w:rFonts w:hint="eastAsia"/>
          <w:b/>
          <w:color w:val="auto"/>
          <w:sz w:val="36"/>
          <w:szCs w:val="36"/>
        </w:rPr>
        <w:t xml:space="preserve"> </w:t>
      </w:r>
    </w:p>
    <w:p w14:paraId="6FFDA343">
      <w:pPr>
        <w:jc w:val="center"/>
        <w:rPr>
          <w:rFonts w:hint="eastAsia"/>
          <w:b/>
          <w:color w:val="000000"/>
          <w:highlight w:val="none"/>
        </w:rPr>
      </w:pPr>
      <w:r>
        <w:rPr>
          <w:b/>
          <w:color w:val="auto"/>
          <w:sz w:val="36"/>
          <w:szCs w:val="36"/>
        </w:rPr>
        <w:t>用户需求书</w:t>
      </w:r>
    </w:p>
    <w:p w14:paraId="5E15BCCB">
      <w:pPr>
        <w:rPr>
          <w:rFonts w:hint="eastAsia"/>
          <w:lang w:eastAsia="zh-CN"/>
        </w:rPr>
      </w:pPr>
    </w:p>
    <w:p w14:paraId="1CCB9486">
      <w:pPr>
        <w:pStyle w:val="3"/>
        <w:pageBreakBefore w:val="0"/>
        <w:numPr>
          <w:ilvl w:val="0"/>
          <w:numId w:val="0"/>
        </w:numPr>
        <w:kinsoku/>
        <w:overflowPunct/>
        <w:bidi w:val="0"/>
        <w:spacing w:before="0" w:beforeLines="0" w:after="0" w:afterLines="0" w:line="360" w:lineRule="auto"/>
        <w:rPr>
          <w:rFonts w:hint="eastAsia" w:ascii="Times New Roman" w:hAnsi="Times New Roman" w:eastAsia="宋体" w:cs="Times New Roman"/>
          <w:b/>
          <w:color w:val="000000"/>
          <w:sz w:val="28"/>
          <w:szCs w:val="22"/>
          <w:highlight w:val="none"/>
          <w:lang w:val="en-US" w:eastAsia="zh-CN"/>
        </w:rPr>
      </w:pPr>
      <w:r>
        <w:rPr>
          <w:rFonts w:hint="eastAsia" w:ascii="Times New Roman" w:hAnsi="Times New Roman" w:eastAsia="宋体" w:cs="Times New Roman"/>
          <w:b/>
          <w:color w:val="000000"/>
          <w:kern w:val="2"/>
          <w:sz w:val="28"/>
          <w:szCs w:val="22"/>
          <w:highlight w:val="none"/>
          <w:lang w:val="en-US" w:eastAsia="zh-CN" w:bidi="ar-SA"/>
        </w:rPr>
        <w:t>一、</w:t>
      </w:r>
      <w:r>
        <w:rPr>
          <w:rFonts w:hint="eastAsia" w:ascii="Times New Roman" w:hAnsi="Times New Roman" w:eastAsia="宋体" w:cs="Times New Roman"/>
          <w:b/>
          <w:color w:val="000000"/>
          <w:sz w:val="28"/>
          <w:szCs w:val="22"/>
          <w:highlight w:val="none"/>
          <w:lang w:eastAsia="zh-CN"/>
        </w:rPr>
        <w:t>项目名称</w:t>
      </w:r>
      <w:r>
        <w:rPr>
          <w:rFonts w:hint="eastAsia" w:ascii="Times New Roman" w:hAnsi="Times New Roman" w:eastAsia="宋体" w:cs="Times New Roman"/>
          <w:b/>
          <w:color w:val="000000"/>
          <w:sz w:val="28"/>
          <w:szCs w:val="22"/>
          <w:highlight w:val="none"/>
          <w:lang w:val="en-US" w:eastAsia="zh-CN"/>
        </w:rPr>
        <w:t>：</w:t>
      </w:r>
      <w:bookmarkStart w:id="0" w:name="OLE_LINK1"/>
      <w:r>
        <w:rPr>
          <w:rFonts w:hint="eastAsia" w:ascii="Times New Roman" w:hAnsi="Times New Roman" w:eastAsia="宋体" w:cs="Times New Roman"/>
          <w:b/>
          <w:color w:val="000000"/>
          <w:sz w:val="28"/>
          <w:szCs w:val="22"/>
          <w:highlight w:val="none"/>
          <w:lang w:val="en-US" w:eastAsia="zh-CN"/>
        </w:rPr>
        <w:t>中山市黄圃人民医院</w:t>
      </w:r>
      <w:bookmarkEnd w:id="0"/>
      <w:r>
        <w:rPr>
          <w:rFonts w:hint="eastAsia" w:ascii="Times New Roman" w:hAnsi="Times New Roman" w:eastAsia="宋体" w:cs="Times New Roman"/>
          <w:b/>
          <w:color w:val="000000"/>
          <w:sz w:val="28"/>
          <w:szCs w:val="22"/>
          <w:highlight w:val="none"/>
          <w:lang w:val="en-US" w:eastAsia="zh-CN"/>
        </w:rPr>
        <w:t>真菌培养鉴定系统采购项目</w:t>
      </w:r>
    </w:p>
    <w:p w14:paraId="18A10859">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eastAsia" w:cs="Times New Roman"/>
          <w:b/>
          <w:color w:val="auto"/>
          <w:sz w:val="28"/>
          <w:szCs w:val="22"/>
          <w:highlight w:val="none"/>
          <w:lang w:val="en-US" w:eastAsia="zh-CN"/>
        </w:rPr>
      </w:pPr>
      <w:r>
        <w:rPr>
          <w:rFonts w:hint="eastAsia" w:cs="Times New Roman"/>
          <w:b/>
          <w:color w:val="auto"/>
          <w:sz w:val="28"/>
          <w:szCs w:val="22"/>
          <w:highlight w:val="none"/>
          <w:lang w:val="en-US" w:eastAsia="zh-CN"/>
        </w:rPr>
        <w:t>二、采购内容</w:t>
      </w:r>
      <w:bookmarkStart w:id="3" w:name="_GoBack"/>
      <w:bookmarkEnd w:id="3"/>
    </w:p>
    <w:p w14:paraId="468E197D">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1.采购清单</w:t>
      </w:r>
    </w:p>
    <w:tbl>
      <w:tblPr>
        <w:tblStyle w:val="15"/>
        <w:tblpPr w:leftFromText="180" w:rightFromText="180" w:vertAnchor="text" w:horzAnchor="page" w:tblpX="1058" w:tblpY="177"/>
        <w:tblOverlap w:val="never"/>
        <w:tblW w:w="6101"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861"/>
        <w:gridCol w:w="1739"/>
        <w:gridCol w:w="1447"/>
        <w:gridCol w:w="1034"/>
        <w:gridCol w:w="3155"/>
        <w:gridCol w:w="1919"/>
      </w:tblGrid>
      <w:tr w14:paraId="13EF81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3" w:hRule="atLeast"/>
        </w:trPr>
        <w:tc>
          <w:tcPr>
            <w:tcW w:w="424" w:type="pct"/>
            <w:shd w:val="clear" w:color="auto" w:fill="F4F4F4"/>
            <w:noWrap w:val="0"/>
            <w:vAlign w:val="center"/>
          </w:tcPr>
          <w:p w14:paraId="04BBC1E7">
            <w:pPr>
              <w:pStyle w:val="19"/>
              <w:spacing w:line="360" w:lineRule="auto"/>
              <w:jc w:val="center"/>
              <w:rPr>
                <w:rFonts w:hint="eastAsia" w:ascii="宋体" w:hAnsi="Times New Roman" w:eastAsia="宋体" w:cs="Tahoma"/>
                <w:b/>
                <w:bCs/>
                <w:color w:val="000000"/>
                <w:kern w:val="28"/>
                <w:sz w:val="21"/>
                <w:szCs w:val="21"/>
                <w:highlight w:val="none"/>
                <w:lang w:val="en-US" w:eastAsia="zh-CN"/>
              </w:rPr>
            </w:pPr>
            <w:bookmarkStart w:id="1" w:name="OLE_LINK3"/>
            <w:r>
              <w:rPr>
                <w:rFonts w:hint="eastAsia" w:cs="Tahoma"/>
                <w:b/>
                <w:bCs/>
                <w:color w:val="000000"/>
                <w:kern w:val="28"/>
                <w:sz w:val="21"/>
                <w:szCs w:val="21"/>
                <w:highlight w:val="none"/>
                <w:lang w:val="en-US" w:eastAsia="zh-CN"/>
              </w:rPr>
              <w:t>序号</w:t>
            </w:r>
          </w:p>
        </w:tc>
        <w:tc>
          <w:tcPr>
            <w:tcW w:w="856" w:type="pct"/>
            <w:shd w:val="clear" w:color="auto" w:fill="F4F4F4"/>
            <w:noWrap w:val="0"/>
            <w:vAlign w:val="center"/>
          </w:tcPr>
          <w:p w14:paraId="62D1853A">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val="en-US" w:eastAsia="zh-CN"/>
              </w:rPr>
              <w:t>采购</w:t>
            </w:r>
            <w:r>
              <w:rPr>
                <w:rFonts w:hint="eastAsia" w:ascii="宋体" w:hAnsi="Times New Roman" w:eastAsia="宋体" w:cs="Tahoma"/>
                <w:b/>
                <w:bCs/>
                <w:color w:val="000000"/>
                <w:kern w:val="28"/>
                <w:sz w:val="21"/>
                <w:szCs w:val="21"/>
                <w:highlight w:val="none"/>
                <w:lang w:eastAsia="zh-CN"/>
              </w:rPr>
              <w:t>标的名称</w:t>
            </w:r>
          </w:p>
        </w:tc>
        <w:tc>
          <w:tcPr>
            <w:tcW w:w="712" w:type="pct"/>
            <w:shd w:val="clear" w:color="auto" w:fill="F4F4F4"/>
            <w:noWrap w:val="0"/>
            <w:vAlign w:val="center"/>
          </w:tcPr>
          <w:p w14:paraId="1932B51C">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val="en-US" w:eastAsia="zh-CN"/>
              </w:rPr>
              <w:t>数量</w:t>
            </w:r>
          </w:p>
        </w:tc>
        <w:tc>
          <w:tcPr>
            <w:tcW w:w="509" w:type="pct"/>
            <w:shd w:val="clear" w:color="auto" w:fill="F4F4F4"/>
            <w:noWrap w:val="0"/>
            <w:vAlign w:val="center"/>
          </w:tcPr>
          <w:p w14:paraId="026A34D0">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val="en-US" w:eastAsia="zh-CN"/>
              </w:rPr>
              <w:t>单位</w:t>
            </w:r>
          </w:p>
        </w:tc>
        <w:tc>
          <w:tcPr>
            <w:tcW w:w="1553" w:type="pct"/>
            <w:shd w:val="clear" w:color="auto" w:fill="F4F4F4"/>
            <w:noWrap w:val="0"/>
            <w:vAlign w:val="center"/>
          </w:tcPr>
          <w:p w14:paraId="012DA096">
            <w:pPr>
              <w:pStyle w:val="19"/>
              <w:spacing w:line="360" w:lineRule="auto"/>
              <w:ind w:firstLine="211" w:firstLineChars="100"/>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eastAsia="zh-CN"/>
              </w:rPr>
              <w:t>技术要求</w:t>
            </w:r>
          </w:p>
        </w:tc>
        <w:tc>
          <w:tcPr>
            <w:tcW w:w="944" w:type="pct"/>
            <w:shd w:val="clear" w:color="auto" w:fill="F4F4F4"/>
            <w:noWrap w:val="0"/>
            <w:vAlign w:val="center"/>
          </w:tcPr>
          <w:p w14:paraId="14E4B67A">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cs="Tahoma"/>
                <w:b/>
                <w:bCs/>
                <w:color w:val="000000"/>
                <w:kern w:val="28"/>
                <w:sz w:val="21"/>
                <w:szCs w:val="21"/>
                <w:highlight w:val="none"/>
                <w:lang w:eastAsia="zh-CN"/>
              </w:rPr>
              <w:t>耗材年使用量</w:t>
            </w:r>
          </w:p>
        </w:tc>
      </w:tr>
      <w:tr w14:paraId="6D8B51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30" w:hRule="atLeast"/>
        </w:trPr>
        <w:tc>
          <w:tcPr>
            <w:tcW w:w="424" w:type="pct"/>
            <w:noWrap w:val="0"/>
            <w:vAlign w:val="center"/>
          </w:tcPr>
          <w:p w14:paraId="38C0748A">
            <w:pPr>
              <w:pStyle w:val="19"/>
              <w:spacing w:line="360" w:lineRule="auto"/>
              <w:jc w:val="center"/>
              <w:rPr>
                <w:rFonts w:hint="default" w:ascii="宋体" w:hAnsi="Times New Roman" w:eastAsia="宋体" w:cs="Tahoma"/>
                <w:color w:val="000000"/>
                <w:kern w:val="28"/>
                <w:sz w:val="21"/>
                <w:szCs w:val="21"/>
                <w:highlight w:val="none"/>
                <w:lang w:val="en-US" w:eastAsia="zh-CN"/>
              </w:rPr>
            </w:pPr>
            <w:r>
              <w:rPr>
                <w:rFonts w:hint="eastAsia" w:cs="Tahoma"/>
                <w:color w:val="000000"/>
                <w:kern w:val="28"/>
                <w:sz w:val="21"/>
                <w:szCs w:val="21"/>
                <w:highlight w:val="none"/>
                <w:lang w:val="en-US" w:eastAsia="zh-CN"/>
              </w:rPr>
              <w:t>1</w:t>
            </w:r>
          </w:p>
        </w:tc>
        <w:tc>
          <w:tcPr>
            <w:tcW w:w="856" w:type="pct"/>
            <w:noWrap w:val="0"/>
            <w:vAlign w:val="center"/>
          </w:tcPr>
          <w:p w14:paraId="350436F8">
            <w:pPr>
              <w:pStyle w:val="19"/>
              <w:spacing w:line="360" w:lineRule="auto"/>
              <w:jc w:val="center"/>
              <w:rPr>
                <w:rFonts w:hint="eastAsia" w:ascii="宋体" w:hAnsi="Times New Roman" w:eastAsia="宋体" w:cs="Tahoma"/>
                <w:color w:val="000000"/>
                <w:kern w:val="28"/>
                <w:sz w:val="21"/>
                <w:szCs w:val="21"/>
                <w:highlight w:val="none"/>
                <w:lang w:eastAsia="zh-CN"/>
              </w:rPr>
            </w:pPr>
            <w:r>
              <w:rPr>
                <w:rFonts w:hint="eastAsia" w:cs="Tahoma"/>
                <w:color w:val="000000"/>
                <w:kern w:val="28"/>
                <w:sz w:val="21"/>
                <w:szCs w:val="21"/>
                <w:highlight w:val="none"/>
                <w:lang w:eastAsia="zh-CN"/>
              </w:rPr>
              <w:t>真菌培养鉴定系统</w:t>
            </w:r>
          </w:p>
        </w:tc>
        <w:tc>
          <w:tcPr>
            <w:tcW w:w="712" w:type="pct"/>
            <w:noWrap w:val="0"/>
            <w:vAlign w:val="center"/>
          </w:tcPr>
          <w:p w14:paraId="57C1A6DC">
            <w:pPr>
              <w:pStyle w:val="19"/>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baseline"/>
              <w:rPr>
                <w:rFonts w:hint="default" w:ascii="宋体" w:hAnsi="Times New Roman" w:eastAsia="宋体" w:cs="Tahoma"/>
                <w:color w:val="000000"/>
                <w:kern w:val="28"/>
                <w:sz w:val="21"/>
                <w:szCs w:val="21"/>
                <w:highlight w:val="none"/>
                <w:lang w:val="en-US" w:eastAsia="zh-CN"/>
              </w:rPr>
            </w:pPr>
            <w:r>
              <w:rPr>
                <w:rFonts w:hint="eastAsia" w:cs="Tahoma"/>
                <w:color w:val="000000"/>
                <w:kern w:val="28"/>
                <w:sz w:val="21"/>
                <w:szCs w:val="21"/>
                <w:highlight w:val="none"/>
                <w:lang w:val="en-US" w:eastAsia="zh-CN"/>
              </w:rPr>
              <w:t>1</w:t>
            </w:r>
          </w:p>
        </w:tc>
        <w:tc>
          <w:tcPr>
            <w:tcW w:w="509" w:type="pct"/>
            <w:noWrap w:val="0"/>
            <w:vAlign w:val="center"/>
          </w:tcPr>
          <w:p w14:paraId="325FDE88">
            <w:pPr>
              <w:pStyle w:val="19"/>
              <w:spacing w:line="360" w:lineRule="auto"/>
              <w:jc w:val="center"/>
              <w:rPr>
                <w:rFonts w:hint="eastAsia" w:ascii="宋体" w:hAnsi="Times New Roman" w:eastAsia="宋体" w:cs="Tahoma"/>
                <w:color w:val="000000"/>
                <w:kern w:val="28"/>
                <w:sz w:val="21"/>
                <w:szCs w:val="21"/>
                <w:highlight w:val="none"/>
                <w:lang w:val="en-US" w:eastAsia="zh-CN"/>
              </w:rPr>
            </w:pPr>
            <w:r>
              <w:rPr>
                <w:rFonts w:hint="eastAsia" w:cs="Tahoma"/>
                <w:color w:val="000000"/>
                <w:kern w:val="28"/>
                <w:sz w:val="21"/>
                <w:szCs w:val="21"/>
                <w:highlight w:val="none"/>
                <w:lang w:val="en-US" w:eastAsia="zh-CN"/>
              </w:rPr>
              <w:t>套</w:t>
            </w:r>
          </w:p>
        </w:tc>
        <w:tc>
          <w:tcPr>
            <w:tcW w:w="1553" w:type="pct"/>
            <w:noWrap w:val="0"/>
            <w:vAlign w:val="center"/>
          </w:tcPr>
          <w:p w14:paraId="0630BC2E">
            <w:pPr>
              <w:keepNext w:val="0"/>
              <w:keepLines w:val="0"/>
              <w:widowControl/>
              <w:suppressLineNumbers w:val="0"/>
              <w:jc w:val="left"/>
              <w:rPr>
                <w:rFonts w:hint="default" w:ascii="宋体" w:hAnsi="Times New Roman" w:eastAsia="宋体" w:cs="Tahoma"/>
                <w:color w:val="000000"/>
                <w:kern w:val="28"/>
                <w:sz w:val="21"/>
                <w:szCs w:val="21"/>
                <w:highlight w:val="none"/>
                <w:lang w:val="en-US" w:eastAsia="zh-CN" w:bidi="ar-SA"/>
              </w:rPr>
            </w:pPr>
            <w:r>
              <w:rPr>
                <w:rFonts w:hint="eastAsia" w:ascii="宋体" w:hAnsi="Times New Roman" w:eastAsia="宋体" w:cs="Tahoma"/>
                <w:color w:val="000000"/>
                <w:kern w:val="28"/>
                <w:sz w:val="21"/>
                <w:szCs w:val="21"/>
                <w:highlight w:val="none"/>
                <w:lang w:val="en-US" w:eastAsia="zh-CN" w:bidi="ar-SA"/>
              </w:rPr>
              <w:t>覆盖</w:t>
            </w:r>
            <w:r>
              <w:rPr>
                <w:rFonts w:hint="eastAsia" w:ascii="宋体" w:cs="Tahoma"/>
                <w:color w:val="000000"/>
                <w:kern w:val="28"/>
                <w:sz w:val="21"/>
                <w:szCs w:val="21"/>
                <w:highlight w:val="none"/>
                <w:lang w:val="en-US" w:eastAsia="zh-CN" w:bidi="ar-SA"/>
              </w:rPr>
              <w:t>全部</w:t>
            </w:r>
            <w:r>
              <w:rPr>
                <w:rFonts w:hint="eastAsia" w:ascii="宋体" w:hAnsi="Times New Roman" w:eastAsia="宋体" w:cs="Tahoma"/>
                <w:color w:val="000000"/>
                <w:kern w:val="28"/>
                <w:sz w:val="21"/>
                <w:szCs w:val="21"/>
                <w:highlight w:val="none"/>
                <w:lang w:val="en-US" w:eastAsia="zh-CN" w:bidi="ar-SA"/>
              </w:rPr>
              <w:t>卫生部室间质评菌名</w:t>
            </w:r>
            <w:r>
              <w:rPr>
                <w:rFonts w:hint="eastAsia" w:ascii="宋体" w:cs="Tahoma"/>
                <w:color w:val="000000"/>
                <w:kern w:val="28"/>
                <w:sz w:val="21"/>
                <w:szCs w:val="21"/>
                <w:highlight w:val="none"/>
                <w:lang w:val="en-US" w:eastAsia="zh-CN" w:bidi="ar-SA"/>
              </w:rPr>
              <w:t>，大于等于120孔。包括真菌培养箱和荧光显微镜。</w:t>
            </w:r>
          </w:p>
          <w:p w14:paraId="5418F41C">
            <w:pPr>
              <w:pStyle w:val="19"/>
              <w:spacing w:line="360" w:lineRule="auto"/>
              <w:jc w:val="center"/>
              <w:rPr>
                <w:rFonts w:hint="default" w:ascii="宋体" w:hAnsi="Times New Roman" w:eastAsia="宋体" w:cs="Tahoma"/>
                <w:color w:val="000000"/>
                <w:kern w:val="28"/>
                <w:sz w:val="21"/>
                <w:szCs w:val="21"/>
                <w:highlight w:val="none"/>
                <w:lang w:val="en-US" w:eastAsia="zh-CN"/>
              </w:rPr>
            </w:pPr>
          </w:p>
        </w:tc>
        <w:tc>
          <w:tcPr>
            <w:tcW w:w="944" w:type="pct"/>
            <w:noWrap w:val="0"/>
            <w:vAlign w:val="center"/>
          </w:tcPr>
          <w:p w14:paraId="65D76CE2">
            <w:pPr>
              <w:pStyle w:val="19"/>
              <w:spacing w:line="360" w:lineRule="auto"/>
              <w:jc w:val="center"/>
              <w:rPr>
                <w:rFonts w:hint="default" w:eastAsia="宋体" w:cs="Tahoma"/>
                <w:color w:val="000000"/>
                <w:kern w:val="28"/>
                <w:sz w:val="21"/>
                <w:szCs w:val="21"/>
                <w:highlight w:val="none"/>
                <w:lang w:val="en-US" w:eastAsia="zh-CN"/>
              </w:rPr>
            </w:pPr>
            <w:r>
              <w:rPr>
                <w:rFonts w:hint="eastAsia" w:cs="Tahoma"/>
                <w:color w:val="000000"/>
                <w:kern w:val="28"/>
                <w:sz w:val="21"/>
                <w:szCs w:val="21"/>
                <w:highlight w:val="none"/>
                <w:lang w:val="en-US" w:eastAsia="zh-CN"/>
              </w:rPr>
              <w:t>2770例</w:t>
            </w:r>
          </w:p>
        </w:tc>
      </w:tr>
      <w:bookmarkEnd w:id="1"/>
    </w:tbl>
    <w:p w14:paraId="42BAF2C7">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eastAsia" w:cs="Times New Roman"/>
          <w:b/>
          <w:color w:val="000000"/>
          <w:sz w:val="28"/>
          <w:szCs w:val="22"/>
          <w:highlight w:val="none"/>
          <w:lang w:val="en-US" w:eastAsia="zh-CN"/>
        </w:rPr>
      </w:pPr>
    </w:p>
    <w:p w14:paraId="38B5001F">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eastAsia" w:ascii="宋体" w:hAnsi="Times New Roman" w:eastAsia="宋体" w:cs="Tahoma"/>
          <w:color w:val="auto"/>
          <w:kern w:val="28"/>
          <w:sz w:val="21"/>
          <w:szCs w:val="21"/>
          <w:highlight w:val="none"/>
          <w:lang w:val="en-US" w:eastAsia="zh-CN" w:bidi="ar-SA"/>
        </w:rPr>
      </w:pPr>
      <w:r>
        <w:rPr>
          <w:rFonts w:hint="eastAsia" w:ascii="宋体" w:hAnsi="宋体" w:cs="宋体"/>
          <w:bCs/>
          <w:color w:val="auto"/>
          <w:sz w:val="21"/>
          <w:szCs w:val="21"/>
          <w:highlight w:val="none"/>
          <w:lang w:val="en-US" w:eastAsia="zh-CN"/>
        </w:rPr>
        <w:t>2.</w:t>
      </w:r>
      <w:r>
        <w:rPr>
          <w:rFonts w:hint="eastAsia" w:ascii="宋体" w:hAnsi="宋体" w:eastAsia="宋体" w:cs="宋体"/>
          <w:bCs/>
          <w:color w:val="auto"/>
          <w:sz w:val="21"/>
          <w:szCs w:val="21"/>
          <w:highlight w:val="none"/>
          <w:lang w:val="en-US"/>
        </w:rPr>
        <w:t>本项目采购本国生产产品，如</w:t>
      </w:r>
      <w:r>
        <w:rPr>
          <w:rFonts w:hint="eastAsia" w:ascii="宋体" w:hAnsi="宋体" w:eastAsia="宋体" w:cs="宋体"/>
          <w:bCs/>
          <w:color w:val="auto"/>
          <w:sz w:val="21"/>
          <w:szCs w:val="21"/>
          <w:highlight w:val="none"/>
          <w:lang w:val="en-US" w:eastAsia="zh-CN"/>
        </w:rPr>
        <w:t>供应商</w:t>
      </w:r>
      <w:r>
        <w:rPr>
          <w:rFonts w:hint="eastAsia" w:ascii="宋体" w:hAnsi="宋体" w:eastAsia="宋体" w:cs="宋体"/>
          <w:bCs/>
          <w:color w:val="auto"/>
          <w:sz w:val="21"/>
          <w:szCs w:val="21"/>
          <w:highlight w:val="none"/>
          <w:lang w:val="en-US"/>
        </w:rPr>
        <w:t>所投产品为进口产品，视为无效</w:t>
      </w:r>
      <w:r>
        <w:rPr>
          <w:rFonts w:hint="eastAsia" w:ascii="宋体" w:hAnsi="宋体" w:eastAsia="宋体" w:cs="宋体"/>
          <w:bCs/>
          <w:color w:val="auto"/>
          <w:sz w:val="21"/>
          <w:szCs w:val="21"/>
          <w:highlight w:val="none"/>
          <w:lang w:val="en-US" w:eastAsia="zh-CN"/>
        </w:rPr>
        <w:t>响应</w:t>
      </w:r>
      <w:r>
        <w:rPr>
          <w:rFonts w:hint="eastAsia" w:ascii="宋体" w:hAnsi="宋体" w:eastAsia="宋体" w:cs="宋体"/>
          <w:bCs/>
          <w:color w:val="auto"/>
          <w:sz w:val="21"/>
          <w:szCs w:val="21"/>
          <w:highlight w:val="none"/>
          <w:lang w:val="en-US"/>
        </w:rPr>
        <w:t>处理</w:t>
      </w:r>
      <w:r>
        <w:rPr>
          <w:rFonts w:hint="eastAsia" w:ascii="宋体" w:hAnsi="宋体" w:eastAsia="宋体" w:cs="宋体"/>
          <w:bCs/>
          <w:color w:val="auto"/>
          <w:sz w:val="21"/>
          <w:szCs w:val="21"/>
          <w:highlight w:val="none"/>
          <w:lang w:val="en-US" w:eastAsia="zh-CN"/>
        </w:rPr>
        <w:t>。</w:t>
      </w:r>
    </w:p>
    <w:p w14:paraId="68CAFE18">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default"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3.</w:t>
      </w:r>
      <w:r>
        <w:rPr>
          <w:rFonts w:hint="eastAsia" w:ascii="宋体" w:hAnsi="宋体" w:eastAsia="宋体" w:cs="宋体"/>
          <w:bCs/>
          <w:color w:val="auto"/>
          <w:sz w:val="21"/>
          <w:szCs w:val="21"/>
          <w:highlight w:val="none"/>
          <w:lang w:val="en-US" w:eastAsia="zh-CN"/>
        </w:rPr>
        <w:t xml:space="preserve">本项目拟采购的医疗器械必须是在医疗器械注册证或备案证明有效期内生产的产品，供应商需提供医疗器械注册证或备案证明。                                                                                                                                </w:t>
      </w:r>
    </w:p>
    <w:p w14:paraId="47493087">
      <w:pPr>
        <w:rPr>
          <w:rFonts w:hint="eastAsia"/>
          <w:lang w:val="en-US" w:eastAsia="zh-CN"/>
        </w:rPr>
      </w:pPr>
    </w:p>
    <w:p w14:paraId="24006CCF">
      <w:pPr>
        <w:rPr>
          <w:rFonts w:hint="eastAsia" w:ascii="Times New Roman" w:hAnsi="Times New Roman" w:eastAsia="宋体" w:cs="Times New Roman"/>
          <w:b/>
          <w:color w:val="000000"/>
          <w:sz w:val="28"/>
          <w:szCs w:val="36"/>
          <w:highlight w:val="none"/>
          <w:lang w:val="en-US" w:eastAsia="zh-CN"/>
        </w:rPr>
      </w:pPr>
      <w:r>
        <w:rPr>
          <w:rFonts w:hint="eastAsia" w:cs="Times New Roman"/>
          <w:b/>
          <w:color w:val="000000"/>
          <w:sz w:val="28"/>
          <w:szCs w:val="36"/>
          <w:highlight w:val="none"/>
          <w:lang w:val="en-US" w:eastAsia="zh-CN"/>
        </w:rPr>
        <w:t>三、</w:t>
      </w:r>
      <w:r>
        <w:rPr>
          <w:rFonts w:hint="eastAsia" w:ascii="Times New Roman" w:hAnsi="Times New Roman" w:eastAsia="宋体" w:cs="Times New Roman"/>
          <w:b/>
          <w:color w:val="000000"/>
          <w:sz w:val="28"/>
          <w:szCs w:val="36"/>
          <w:highlight w:val="none"/>
          <w:lang w:val="en-US" w:eastAsia="zh-CN"/>
        </w:rPr>
        <w:t>商务要求</w:t>
      </w:r>
    </w:p>
    <w:p w14:paraId="0E753091">
      <w:pPr>
        <w:rPr>
          <w:rFonts w:hint="eastAsia" w:ascii="Times New Roman" w:hAnsi="Times New Roman" w:eastAsia="宋体" w:cs="Times New Roman"/>
          <w:b/>
          <w:bCs/>
          <w:sz w:val="22"/>
          <w:szCs w:val="22"/>
          <w:lang w:val="en-US" w:eastAsia="zh-CN"/>
        </w:rPr>
      </w:pPr>
      <w:r>
        <w:rPr>
          <w:rFonts w:hint="eastAsia" w:cs="Times New Roman"/>
          <w:b/>
          <w:bCs/>
          <w:sz w:val="22"/>
          <w:szCs w:val="22"/>
          <w:lang w:val="en-US" w:eastAsia="zh-CN"/>
        </w:rPr>
        <w:t>1.</w:t>
      </w:r>
      <w:r>
        <w:rPr>
          <w:rFonts w:hint="eastAsia" w:ascii="Times New Roman" w:hAnsi="Times New Roman" w:eastAsia="宋体" w:cs="Times New Roman"/>
          <w:b/>
          <w:bCs/>
          <w:sz w:val="22"/>
          <w:szCs w:val="22"/>
          <w:lang w:val="en-US" w:eastAsia="zh-CN"/>
        </w:rPr>
        <w:t>主要商务要求</w:t>
      </w:r>
    </w:p>
    <w:tbl>
      <w:tblPr>
        <w:tblStyle w:val="15"/>
        <w:tblW w:w="5044"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1661"/>
        <w:gridCol w:w="6734"/>
      </w:tblGrid>
      <w:tr w14:paraId="696890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9" w:hRule="atLeast"/>
        </w:trPr>
        <w:tc>
          <w:tcPr>
            <w:tcW w:w="989" w:type="pct"/>
            <w:noWrap w:val="0"/>
            <w:vAlign w:val="center"/>
          </w:tcPr>
          <w:p w14:paraId="736F0381">
            <w:pPr>
              <w:pStyle w:val="19"/>
              <w:spacing w:line="360" w:lineRule="auto"/>
              <w:jc w:val="center"/>
              <w:rPr>
                <w:rFonts w:hint="eastAsia" w:eastAsia="宋体" w:cs="Tahoma"/>
                <w:b/>
                <w:bCs/>
                <w:color w:val="000000"/>
                <w:kern w:val="28"/>
                <w:sz w:val="21"/>
                <w:szCs w:val="21"/>
                <w:highlight w:val="none"/>
                <w:lang w:eastAsia="zh-CN"/>
              </w:rPr>
            </w:pPr>
            <w:r>
              <w:rPr>
                <w:rFonts w:hint="eastAsia" w:cs="Tahoma"/>
                <w:b/>
                <w:bCs/>
                <w:color w:val="000000"/>
                <w:kern w:val="28"/>
                <w:sz w:val="21"/>
                <w:szCs w:val="21"/>
                <w:highlight w:val="none"/>
                <w:lang w:val="en-US" w:eastAsia="zh-CN"/>
              </w:rPr>
              <w:t>交货期</w:t>
            </w:r>
          </w:p>
        </w:tc>
        <w:tc>
          <w:tcPr>
            <w:tcW w:w="4010" w:type="pct"/>
            <w:noWrap w:val="0"/>
            <w:vAlign w:val="top"/>
          </w:tcPr>
          <w:p w14:paraId="194C5B47">
            <w:pPr>
              <w:pStyle w:val="19"/>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自合同生效之日起30日内</w:t>
            </w:r>
            <w:r>
              <w:rPr>
                <w:rFonts w:hint="eastAsia" w:cs="Tahoma"/>
                <w:color w:val="000000"/>
                <w:kern w:val="28"/>
                <w:sz w:val="21"/>
                <w:szCs w:val="21"/>
                <w:highlight w:val="none"/>
                <w:lang w:val="en-US" w:eastAsia="zh-CN"/>
              </w:rPr>
              <w:t>完成安装调试</w:t>
            </w:r>
            <w:r>
              <w:rPr>
                <w:rFonts w:hint="eastAsia" w:cs="Tahoma"/>
                <w:color w:val="000000"/>
                <w:kern w:val="28"/>
                <w:sz w:val="21"/>
                <w:szCs w:val="21"/>
                <w:highlight w:val="none"/>
                <w:lang w:eastAsia="zh-CN"/>
              </w:rPr>
              <w:t>。</w:t>
            </w:r>
          </w:p>
        </w:tc>
      </w:tr>
      <w:tr w14:paraId="52CF35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89" w:type="pct"/>
            <w:noWrap w:val="0"/>
            <w:vAlign w:val="center"/>
          </w:tcPr>
          <w:p w14:paraId="0C3D842B">
            <w:pPr>
              <w:pStyle w:val="19"/>
              <w:spacing w:line="360" w:lineRule="auto"/>
              <w:jc w:val="center"/>
              <w:rPr>
                <w:rFonts w:hint="default" w:eastAsia="宋体" w:cs="Tahoma"/>
                <w:b/>
                <w:bCs/>
                <w:color w:val="000000"/>
                <w:kern w:val="28"/>
                <w:sz w:val="21"/>
                <w:szCs w:val="21"/>
                <w:highlight w:val="none"/>
                <w:lang w:val="en-US" w:eastAsia="zh-CN"/>
              </w:rPr>
            </w:pPr>
            <w:r>
              <w:rPr>
                <w:rFonts w:hint="eastAsia" w:cs="Tahoma"/>
                <w:b/>
                <w:bCs/>
                <w:color w:val="000000"/>
                <w:kern w:val="28"/>
                <w:sz w:val="21"/>
                <w:szCs w:val="21"/>
                <w:highlight w:val="none"/>
                <w:lang w:val="en-US" w:eastAsia="zh-CN"/>
              </w:rPr>
              <w:t>交货地点</w:t>
            </w:r>
          </w:p>
        </w:tc>
        <w:tc>
          <w:tcPr>
            <w:tcW w:w="4010" w:type="pct"/>
            <w:noWrap w:val="0"/>
            <w:vAlign w:val="top"/>
          </w:tcPr>
          <w:p w14:paraId="672504E2">
            <w:pPr>
              <w:pStyle w:val="19"/>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采购人指定地点。</w:t>
            </w:r>
          </w:p>
        </w:tc>
      </w:tr>
      <w:tr w14:paraId="5A6B8D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89" w:type="pct"/>
            <w:noWrap w:val="0"/>
            <w:vAlign w:val="center"/>
          </w:tcPr>
          <w:p w14:paraId="6055E4D2">
            <w:pPr>
              <w:pStyle w:val="19"/>
              <w:spacing w:line="360" w:lineRule="auto"/>
              <w:jc w:val="center"/>
              <w:rPr>
                <w:rFonts w:hint="eastAsia" w:cs="Tahoma"/>
                <w:b/>
                <w:bCs/>
                <w:color w:val="000000"/>
                <w:kern w:val="28"/>
                <w:sz w:val="21"/>
                <w:szCs w:val="21"/>
                <w:highlight w:val="none"/>
              </w:rPr>
            </w:pPr>
            <w:r>
              <w:rPr>
                <w:rFonts w:hint="eastAsia" w:cs="Tahoma"/>
                <w:b/>
                <w:bCs/>
                <w:color w:val="000000"/>
                <w:kern w:val="28"/>
                <w:sz w:val="21"/>
                <w:szCs w:val="21"/>
                <w:highlight w:val="none"/>
                <w:lang w:val="en-US" w:eastAsia="zh-CN"/>
              </w:rPr>
              <w:t>响应</w:t>
            </w:r>
            <w:r>
              <w:rPr>
                <w:rFonts w:hint="eastAsia" w:cs="Tahoma"/>
                <w:b/>
                <w:bCs/>
                <w:color w:val="000000"/>
                <w:kern w:val="28"/>
                <w:sz w:val="21"/>
                <w:szCs w:val="21"/>
                <w:highlight w:val="none"/>
              </w:rPr>
              <w:t>有效期</w:t>
            </w:r>
          </w:p>
        </w:tc>
        <w:tc>
          <w:tcPr>
            <w:tcW w:w="4010" w:type="pct"/>
            <w:noWrap w:val="0"/>
            <w:vAlign w:val="top"/>
          </w:tcPr>
          <w:p w14:paraId="77CC69E9">
            <w:pPr>
              <w:pStyle w:val="19"/>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从提交响应文件的截止之日起90日历天。</w:t>
            </w:r>
          </w:p>
        </w:tc>
      </w:tr>
      <w:tr w14:paraId="71D4CA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31" w:hRule="atLeast"/>
        </w:trPr>
        <w:tc>
          <w:tcPr>
            <w:tcW w:w="989" w:type="pct"/>
            <w:noWrap w:val="0"/>
            <w:vAlign w:val="center"/>
          </w:tcPr>
          <w:p w14:paraId="23189258">
            <w:pPr>
              <w:pStyle w:val="19"/>
              <w:spacing w:line="360" w:lineRule="auto"/>
              <w:jc w:val="center"/>
              <w:rPr>
                <w:rFonts w:hint="eastAsia" w:cs="Tahoma"/>
                <w:b/>
                <w:bCs/>
                <w:color w:val="000000"/>
                <w:kern w:val="28"/>
                <w:sz w:val="21"/>
                <w:szCs w:val="21"/>
                <w:highlight w:val="none"/>
              </w:rPr>
            </w:pPr>
            <w:r>
              <w:rPr>
                <w:rFonts w:hint="eastAsia" w:cs="Tahoma"/>
                <w:b/>
                <w:bCs/>
                <w:color w:val="000000"/>
                <w:kern w:val="28"/>
                <w:sz w:val="21"/>
                <w:szCs w:val="21"/>
                <w:highlight w:val="none"/>
              </w:rPr>
              <w:t>付款方式</w:t>
            </w:r>
          </w:p>
        </w:tc>
        <w:tc>
          <w:tcPr>
            <w:tcW w:w="4010" w:type="pct"/>
            <w:noWrap w:val="0"/>
            <w:vAlign w:val="top"/>
          </w:tcPr>
          <w:p w14:paraId="624C8DC7">
            <w:pPr>
              <w:pStyle w:val="26"/>
              <w:numPr>
                <w:ilvl w:val="255"/>
                <w:numId w:val="0"/>
              </w:numPr>
              <w:spacing w:line="360" w:lineRule="auto"/>
              <w:jc w:val="both"/>
              <w:rPr>
                <w:rFonts w:hint="eastAsia" w:ascii="Calibri" w:hAnsi="Calibri" w:eastAsia="宋体" w:cs="Tahoma"/>
                <w:color w:val="auto"/>
                <w:kern w:val="28"/>
                <w:sz w:val="21"/>
                <w:szCs w:val="21"/>
                <w:highlight w:val="none"/>
                <w:lang w:val="en-US" w:eastAsia="zh-CN" w:bidi="ar-SA"/>
              </w:rPr>
            </w:pPr>
            <w:r>
              <w:rPr>
                <w:rFonts w:hint="eastAsia" w:ascii="Calibri" w:hAnsi="Calibri" w:eastAsia="宋体" w:cs="Tahoma"/>
                <w:color w:val="auto"/>
                <w:kern w:val="28"/>
                <w:sz w:val="21"/>
                <w:szCs w:val="21"/>
                <w:highlight w:val="none"/>
                <w:lang w:val="en-US" w:eastAsia="zh-CN" w:bidi="ar-SA"/>
              </w:rPr>
              <w:t>（1）采购人的款项以银行转账方式支付。签订合同后，合同医疗器械到采购人指定地点交付并完成安装、验收合格后，成交供应商凭以下资料支付：</w:t>
            </w:r>
          </w:p>
          <w:p w14:paraId="29CB37D7">
            <w:pPr>
              <w:pStyle w:val="26"/>
              <w:numPr>
                <w:ilvl w:val="255"/>
                <w:numId w:val="0"/>
              </w:numPr>
              <w:spacing w:line="360" w:lineRule="auto"/>
              <w:jc w:val="both"/>
              <w:rPr>
                <w:rFonts w:hint="eastAsia" w:ascii="Calibri" w:hAnsi="Calibri" w:eastAsia="宋体" w:cs="Tahoma"/>
                <w:color w:val="auto"/>
                <w:kern w:val="28"/>
                <w:sz w:val="21"/>
                <w:szCs w:val="21"/>
                <w:highlight w:val="none"/>
                <w:lang w:val="en-US" w:eastAsia="zh-CN" w:bidi="ar-SA"/>
              </w:rPr>
            </w:pPr>
            <w:r>
              <w:rPr>
                <w:rFonts w:hint="eastAsia" w:ascii="Calibri" w:hAnsi="Calibri" w:eastAsia="宋体" w:cs="Tahoma"/>
                <w:color w:val="auto"/>
                <w:kern w:val="28"/>
                <w:sz w:val="21"/>
                <w:szCs w:val="21"/>
                <w:highlight w:val="none"/>
                <w:lang w:val="en-US" w:eastAsia="zh-CN" w:bidi="ar-SA"/>
              </w:rPr>
              <w:t>①合同；②成交通知书；③验收表；④成交供应商开具的正式发票。</w:t>
            </w:r>
          </w:p>
          <w:p w14:paraId="63493EF8">
            <w:pPr>
              <w:pStyle w:val="26"/>
              <w:numPr>
                <w:ilvl w:val="255"/>
                <w:numId w:val="0"/>
              </w:numPr>
              <w:spacing w:line="360" w:lineRule="auto"/>
              <w:jc w:val="both"/>
              <w:rPr>
                <w:rFonts w:hint="eastAsia" w:ascii="Calibri" w:hAnsi="Calibri" w:eastAsia="宋体" w:cs="Tahoma"/>
                <w:color w:val="auto"/>
                <w:kern w:val="28"/>
                <w:sz w:val="21"/>
                <w:szCs w:val="21"/>
                <w:highlight w:val="none"/>
                <w:lang w:val="en-US" w:eastAsia="zh-CN" w:bidi="ar-SA"/>
              </w:rPr>
            </w:pPr>
            <w:r>
              <w:rPr>
                <w:rFonts w:hint="eastAsia" w:ascii="Calibri" w:hAnsi="Calibri" w:eastAsia="宋体" w:cs="Tahoma"/>
                <w:color w:val="auto"/>
                <w:kern w:val="28"/>
                <w:sz w:val="21"/>
                <w:szCs w:val="21"/>
                <w:highlight w:val="none"/>
                <w:lang w:val="en-US" w:eastAsia="zh-CN" w:bidi="ar-SA"/>
              </w:rPr>
              <w:t>（2）成交供应商全部安装完毕经采购人验收合格且收到全额发票后60日内采购人支付合同款的100%给成交供应商。因采购人使用的是财政资金，采购人申请汇款审批之日视为付款之日，若审批延迟则相应货款到账延迟，且不视为采购人违约。</w:t>
            </w:r>
          </w:p>
          <w:p w14:paraId="6D92629F">
            <w:pPr>
              <w:spacing w:line="360" w:lineRule="auto"/>
              <w:rPr>
                <w:rFonts w:hint="eastAsia" w:cs="Tahoma"/>
                <w:color w:val="000000"/>
                <w:kern w:val="28"/>
                <w:sz w:val="21"/>
                <w:szCs w:val="21"/>
                <w:highlight w:val="none"/>
                <w:lang w:eastAsia="zh-CN"/>
              </w:rPr>
            </w:pPr>
            <w:r>
              <w:rPr>
                <w:rFonts w:hint="eastAsia" w:ascii="Calibri" w:hAnsi="Calibri" w:cs="Tahoma"/>
                <w:color w:val="auto"/>
                <w:kern w:val="28"/>
                <w:sz w:val="21"/>
                <w:szCs w:val="21"/>
                <w:highlight w:val="none"/>
                <w:lang w:val="en-US" w:eastAsia="zh-CN" w:bidi="ar-SA"/>
              </w:rPr>
              <w:t>（</w:t>
            </w:r>
            <w:r>
              <w:rPr>
                <w:rFonts w:hint="eastAsia" w:ascii="Calibri" w:hAnsi="Calibri" w:eastAsia="宋体" w:cs="Tahoma"/>
                <w:color w:val="auto"/>
                <w:kern w:val="28"/>
                <w:sz w:val="21"/>
                <w:szCs w:val="21"/>
                <w:highlight w:val="none"/>
                <w:lang w:val="en-US" w:eastAsia="zh-CN" w:bidi="ar-SA"/>
              </w:rPr>
              <w:t>3</w:t>
            </w:r>
            <w:r>
              <w:rPr>
                <w:rFonts w:hint="eastAsia" w:ascii="Calibri" w:hAnsi="Calibri" w:cs="Tahoma"/>
                <w:color w:val="auto"/>
                <w:kern w:val="28"/>
                <w:sz w:val="21"/>
                <w:szCs w:val="21"/>
                <w:highlight w:val="none"/>
                <w:lang w:val="en-US" w:eastAsia="zh-CN" w:bidi="ar-SA"/>
              </w:rPr>
              <w:t>）</w:t>
            </w:r>
            <w:r>
              <w:rPr>
                <w:rFonts w:hint="eastAsia" w:ascii="Calibri" w:hAnsi="Calibri" w:eastAsia="宋体" w:cs="Tahoma"/>
                <w:color w:val="auto"/>
                <w:kern w:val="28"/>
                <w:sz w:val="21"/>
                <w:szCs w:val="21"/>
                <w:highlight w:val="none"/>
                <w:lang w:val="en-US" w:eastAsia="zh-CN" w:bidi="ar-SA"/>
              </w:rPr>
              <w:t>如成交供应商收款信息有变更，应提前十日通知采购人。否则采购人按照未变更的付款信息进行付款的，视为采购人已完成付款，产生的损失由成交供应商自行承担。</w:t>
            </w:r>
          </w:p>
        </w:tc>
      </w:tr>
      <w:tr w14:paraId="2EC678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89" w:type="pct"/>
            <w:noWrap w:val="0"/>
            <w:vAlign w:val="center"/>
          </w:tcPr>
          <w:p w14:paraId="6BAB9E9E">
            <w:pPr>
              <w:pStyle w:val="19"/>
              <w:spacing w:line="360" w:lineRule="auto"/>
              <w:jc w:val="center"/>
              <w:rPr>
                <w:rFonts w:hint="eastAsia" w:cs="Tahoma"/>
                <w:b/>
                <w:bCs/>
                <w:color w:val="000000"/>
                <w:kern w:val="28"/>
                <w:sz w:val="21"/>
                <w:szCs w:val="21"/>
                <w:highlight w:val="none"/>
              </w:rPr>
            </w:pPr>
            <w:r>
              <w:rPr>
                <w:rFonts w:hint="eastAsia" w:cs="Tahoma"/>
                <w:b/>
                <w:bCs/>
                <w:color w:val="000000"/>
                <w:kern w:val="28"/>
                <w:sz w:val="21"/>
                <w:szCs w:val="21"/>
                <w:highlight w:val="none"/>
              </w:rPr>
              <w:t>履约保证金</w:t>
            </w:r>
          </w:p>
        </w:tc>
        <w:tc>
          <w:tcPr>
            <w:tcW w:w="4010" w:type="pct"/>
            <w:noWrap w:val="0"/>
            <w:vAlign w:val="top"/>
          </w:tcPr>
          <w:p w14:paraId="58DEB54B">
            <w:pPr>
              <w:pStyle w:val="19"/>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不收取。</w:t>
            </w:r>
          </w:p>
        </w:tc>
      </w:tr>
      <w:tr w14:paraId="1D9259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989" w:type="pct"/>
            <w:noWrap w:val="0"/>
            <w:vAlign w:val="center"/>
          </w:tcPr>
          <w:p w14:paraId="70BD928F">
            <w:pPr>
              <w:widowControl/>
              <w:tabs>
                <w:tab w:val="left" w:pos="636"/>
              </w:tabs>
              <w:autoSpaceDE w:val="0"/>
              <w:autoSpaceDN w:val="0"/>
              <w:spacing w:line="360" w:lineRule="auto"/>
              <w:jc w:val="center"/>
              <w:textAlignment w:val="bottom"/>
              <w:rPr>
                <w:rFonts w:hint="eastAsia" w:cs="Tahoma"/>
                <w:b/>
                <w:bCs/>
                <w:color w:val="000000"/>
                <w:kern w:val="28"/>
                <w:sz w:val="21"/>
                <w:szCs w:val="21"/>
                <w:highlight w:val="none"/>
              </w:rPr>
            </w:pPr>
            <w:r>
              <w:rPr>
                <w:rFonts w:hint="eastAsia" w:ascii="宋体" w:hAnsi="宋体" w:eastAsia="宋体" w:cs="宋体"/>
                <w:b/>
                <w:bCs/>
                <w:color w:val="auto"/>
                <w:sz w:val="21"/>
                <w:szCs w:val="21"/>
                <w:lang w:val="en-US" w:eastAsia="zh-CN"/>
              </w:rPr>
              <w:t>报价说明</w:t>
            </w:r>
          </w:p>
        </w:tc>
        <w:tc>
          <w:tcPr>
            <w:tcW w:w="4010" w:type="pct"/>
            <w:noWrap w:val="0"/>
            <w:vAlign w:val="top"/>
          </w:tcPr>
          <w:p w14:paraId="49D533B8">
            <w:pPr>
              <w:widowControl/>
              <w:tabs>
                <w:tab w:val="left" w:pos="636"/>
              </w:tabs>
              <w:autoSpaceDE w:val="0"/>
              <w:autoSpaceDN w:val="0"/>
              <w:spacing w:line="360" w:lineRule="auto"/>
              <w:jc w:val="left"/>
              <w:textAlignment w:val="bottom"/>
              <w:rPr>
                <w:rFonts w:hint="eastAsia"/>
                <w:lang w:eastAsia="zh-CN"/>
              </w:rPr>
            </w:pPr>
            <w:bookmarkStart w:id="2" w:name="OLE_LINK2"/>
            <w:r>
              <w:rPr>
                <w:rFonts w:hint="eastAsia" w:ascii="宋体" w:hAnsi="宋体" w:eastAsia="宋体" w:cs="宋体"/>
                <w:color w:val="auto"/>
                <w:sz w:val="21"/>
                <w:szCs w:val="21"/>
                <w:lang w:val="en-US" w:eastAsia="zh-CN"/>
              </w:rPr>
              <w:t>供应商</w:t>
            </w:r>
            <w:r>
              <w:rPr>
                <w:rFonts w:hint="eastAsia" w:ascii="宋体" w:hAnsi="宋体" w:eastAsia="宋体" w:cs="宋体"/>
                <w:color w:val="auto"/>
                <w:sz w:val="21"/>
                <w:szCs w:val="21"/>
                <w:lang w:eastAsia="zh-CN"/>
              </w:rPr>
              <w:t>的报价包括但不限于设计、</w:t>
            </w:r>
            <w:r>
              <w:rPr>
                <w:rFonts w:hint="eastAsia" w:ascii="宋体" w:hAnsi="宋体" w:cs="宋体"/>
                <w:color w:val="auto"/>
                <w:sz w:val="21"/>
                <w:szCs w:val="21"/>
                <w:lang w:eastAsia="zh-CN"/>
              </w:rPr>
              <w:t>医疗器械</w:t>
            </w:r>
            <w:r>
              <w:rPr>
                <w:rFonts w:hint="eastAsia" w:ascii="宋体" w:hAnsi="宋体" w:eastAsia="宋体" w:cs="宋体"/>
                <w:color w:val="auto"/>
                <w:sz w:val="21"/>
                <w:szCs w:val="21"/>
                <w:lang w:eastAsia="zh-CN"/>
              </w:rPr>
              <w:t>制造、包装、仓储、运输、装卸、安装及验收合格之前及保修期与备品备件发生的所有含税费用</w:t>
            </w:r>
            <w:r>
              <w:rPr>
                <w:rFonts w:hint="eastAsia" w:ascii="Calibri" w:hAnsi="Calibri" w:eastAsia="宋体" w:cs="Tahoma"/>
                <w:color w:val="000000"/>
                <w:kern w:val="28"/>
                <w:sz w:val="21"/>
                <w:szCs w:val="21"/>
                <w:lang w:val="en-US" w:eastAsia="zh-CN" w:bidi="ar-SA"/>
              </w:rPr>
              <w:t>及合同实施过程中可预见和不可预见的一切费用，采购人不再额外支付任何费用</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并</w:t>
            </w:r>
            <w:r>
              <w:rPr>
                <w:rFonts w:hint="eastAsia" w:ascii="宋体" w:hAnsi="宋体" w:eastAsia="宋体" w:cs="宋体"/>
                <w:color w:val="auto"/>
                <w:sz w:val="21"/>
                <w:szCs w:val="21"/>
                <w:lang w:eastAsia="zh-CN"/>
              </w:rPr>
              <w:t>对所有内容进行</w:t>
            </w:r>
            <w:r>
              <w:rPr>
                <w:rFonts w:hint="eastAsia" w:ascii="宋体" w:hAnsi="宋体" w:eastAsia="宋体" w:cs="宋体"/>
                <w:b/>
                <w:bCs/>
                <w:color w:val="auto"/>
                <w:sz w:val="21"/>
                <w:szCs w:val="21"/>
                <w:lang w:val="en-US" w:eastAsia="zh-CN"/>
              </w:rPr>
              <w:t>一次性</w:t>
            </w:r>
            <w:r>
              <w:rPr>
                <w:rFonts w:hint="eastAsia" w:ascii="宋体" w:hAnsi="宋体" w:eastAsia="宋体" w:cs="宋体"/>
                <w:b/>
                <w:bCs/>
                <w:color w:val="auto"/>
                <w:sz w:val="21"/>
                <w:szCs w:val="21"/>
                <w:lang w:eastAsia="zh-CN"/>
              </w:rPr>
              <w:t>报价</w:t>
            </w:r>
            <w:r>
              <w:rPr>
                <w:rFonts w:hint="eastAsia" w:ascii="宋体" w:hAnsi="宋体" w:eastAsia="宋体" w:cs="宋体"/>
                <w:color w:val="auto"/>
                <w:sz w:val="21"/>
                <w:szCs w:val="21"/>
                <w:lang w:eastAsia="zh-CN"/>
              </w:rPr>
              <w:t>。报价不能超出</w:t>
            </w:r>
            <w:r>
              <w:rPr>
                <w:rFonts w:hint="eastAsia" w:ascii="宋体" w:hAnsi="宋体" w:cs="宋体"/>
                <w:color w:val="auto"/>
                <w:sz w:val="21"/>
                <w:szCs w:val="21"/>
                <w:lang w:eastAsia="zh-CN"/>
              </w:rPr>
              <w:t>本采购包</w:t>
            </w:r>
            <w:r>
              <w:rPr>
                <w:rFonts w:hint="eastAsia" w:ascii="宋体" w:hAnsi="宋体" w:eastAsia="宋体" w:cs="宋体"/>
                <w:color w:val="auto"/>
                <w:sz w:val="21"/>
                <w:szCs w:val="21"/>
                <w:lang w:eastAsia="zh-CN"/>
              </w:rPr>
              <w:t>预算单价及总价，超出</w:t>
            </w:r>
            <w:r>
              <w:rPr>
                <w:rFonts w:hint="eastAsia" w:ascii="宋体" w:hAnsi="宋体" w:cs="宋体"/>
                <w:color w:val="auto"/>
                <w:sz w:val="21"/>
                <w:szCs w:val="21"/>
                <w:lang w:eastAsia="zh-CN"/>
              </w:rPr>
              <w:t>本采购包</w:t>
            </w:r>
            <w:r>
              <w:rPr>
                <w:rFonts w:hint="eastAsia" w:ascii="宋体" w:hAnsi="宋体" w:eastAsia="宋体" w:cs="宋体"/>
                <w:color w:val="auto"/>
                <w:sz w:val="21"/>
                <w:szCs w:val="21"/>
                <w:lang w:eastAsia="zh-CN"/>
              </w:rPr>
              <w:t>预算单价及总价的为无效响应。</w:t>
            </w:r>
            <w:bookmarkEnd w:id="2"/>
          </w:p>
        </w:tc>
      </w:tr>
    </w:tbl>
    <w:p w14:paraId="16F8C24E">
      <w:pPr>
        <w:rPr>
          <w:highlight w:val="none"/>
          <w:lang w:eastAsia="zh-CN"/>
        </w:rPr>
      </w:pPr>
    </w:p>
    <w:p w14:paraId="4230C7E5">
      <w:pPr>
        <w:rPr>
          <w:rFonts w:hint="eastAsia" w:ascii="Times New Roman" w:hAnsi="Times New Roman" w:eastAsia="宋体" w:cs="Times New Roman"/>
          <w:b/>
          <w:bCs/>
          <w:sz w:val="22"/>
          <w:szCs w:val="22"/>
          <w:lang w:val="en-US" w:eastAsia="zh-CN"/>
        </w:rPr>
      </w:pPr>
      <w:r>
        <w:rPr>
          <w:rFonts w:hint="eastAsia" w:cs="Times New Roman"/>
          <w:b/>
          <w:bCs/>
          <w:sz w:val="22"/>
          <w:szCs w:val="22"/>
          <w:lang w:val="en-US" w:eastAsia="zh-CN"/>
        </w:rPr>
        <w:t>2.</w:t>
      </w:r>
      <w:r>
        <w:rPr>
          <w:rFonts w:hint="eastAsia" w:ascii="Times New Roman" w:hAnsi="Times New Roman" w:eastAsia="宋体" w:cs="Times New Roman"/>
          <w:b/>
          <w:bCs/>
          <w:sz w:val="22"/>
          <w:szCs w:val="22"/>
          <w:lang w:val="en-US" w:eastAsia="zh-CN"/>
        </w:rPr>
        <w:t>其他商务要求</w:t>
      </w:r>
    </w:p>
    <w:tbl>
      <w:tblPr>
        <w:tblStyle w:val="16"/>
        <w:tblW w:w="493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4"/>
        <w:gridCol w:w="6736"/>
      </w:tblGrid>
      <w:tr w14:paraId="41447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95" w:type="pct"/>
            <w:noWrap w:val="0"/>
            <w:vAlign w:val="center"/>
          </w:tcPr>
          <w:p w14:paraId="4ED1FBFC">
            <w:pPr>
              <w:widowControl/>
              <w:tabs>
                <w:tab w:val="left" w:pos="636"/>
              </w:tabs>
              <w:autoSpaceDE w:val="0"/>
              <w:autoSpaceDN w:val="0"/>
              <w:spacing w:line="360" w:lineRule="auto"/>
              <w:jc w:val="center"/>
              <w:textAlignment w:val="bottom"/>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内容明细</w:t>
            </w:r>
          </w:p>
        </w:tc>
        <w:tc>
          <w:tcPr>
            <w:tcW w:w="4004" w:type="pct"/>
            <w:noWrap w:val="0"/>
            <w:vAlign w:val="center"/>
          </w:tcPr>
          <w:p w14:paraId="0D84E131">
            <w:pPr>
              <w:widowControl/>
              <w:tabs>
                <w:tab w:val="left" w:pos="636"/>
              </w:tabs>
              <w:autoSpaceDE w:val="0"/>
              <w:autoSpaceDN w:val="0"/>
              <w:spacing w:line="360" w:lineRule="auto"/>
              <w:jc w:val="center"/>
              <w:textAlignment w:val="bottom"/>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内容说明</w:t>
            </w:r>
          </w:p>
        </w:tc>
      </w:tr>
      <w:tr w14:paraId="73904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6C734B44">
            <w:pPr>
              <w:tabs>
                <w:tab w:val="decimal" w:pos="315"/>
                <w:tab w:val="left" w:pos="630"/>
              </w:tabs>
              <w:spacing w:line="360" w:lineRule="auto"/>
              <w:jc w:val="center"/>
              <w:rPr>
                <w:rFonts w:hint="eastAsia" w:ascii="宋体" w:hAnsi="宋体" w:eastAsia="宋体" w:cs="宋体"/>
                <w:b/>
                <w:bCs/>
                <w:sz w:val="21"/>
                <w:szCs w:val="21"/>
              </w:rPr>
            </w:pPr>
          </w:p>
          <w:p w14:paraId="7868691D">
            <w:pPr>
              <w:tabs>
                <w:tab w:val="decimal" w:pos="315"/>
                <w:tab w:val="left" w:pos="630"/>
              </w:tabs>
              <w:spacing w:line="360" w:lineRule="auto"/>
              <w:jc w:val="center"/>
              <w:rPr>
                <w:rFonts w:hint="eastAsia" w:ascii="宋体" w:hAnsi="宋体" w:eastAsia="宋体" w:cs="宋体"/>
                <w:b/>
                <w:bCs/>
                <w:sz w:val="21"/>
                <w:szCs w:val="21"/>
              </w:rPr>
            </w:pPr>
          </w:p>
          <w:p w14:paraId="3A4B8DE5">
            <w:pPr>
              <w:tabs>
                <w:tab w:val="decimal" w:pos="315"/>
                <w:tab w:val="left" w:pos="630"/>
              </w:tabs>
              <w:spacing w:line="360" w:lineRule="auto"/>
              <w:jc w:val="center"/>
              <w:rPr>
                <w:rFonts w:hint="eastAsia" w:ascii="宋体" w:hAnsi="宋体" w:eastAsia="宋体" w:cs="宋体"/>
                <w:b/>
                <w:bCs/>
                <w:sz w:val="21"/>
                <w:szCs w:val="21"/>
              </w:rPr>
            </w:pPr>
          </w:p>
          <w:p w14:paraId="739822A6">
            <w:pPr>
              <w:tabs>
                <w:tab w:val="decimal" w:pos="315"/>
                <w:tab w:val="left" w:pos="630"/>
              </w:tabs>
              <w:spacing w:line="360" w:lineRule="auto"/>
              <w:jc w:val="center"/>
              <w:rPr>
                <w:rFonts w:hint="eastAsia" w:ascii="宋体" w:hAnsi="宋体" w:eastAsia="宋体" w:cs="宋体"/>
                <w:b/>
                <w:bCs/>
                <w:sz w:val="21"/>
                <w:szCs w:val="21"/>
              </w:rPr>
            </w:pPr>
          </w:p>
          <w:p w14:paraId="46B2B707">
            <w:pPr>
              <w:tabs>
                <w:tab w:val="decimal" w:pos="315"/>
                <w:tab w:val="left" w:pos="630"/>
              </w:tabs>
              <w:spacing w:line="360" w:lineRule="auto"/>
              <w:jc w:val="center"/>
              <w:rPr>
                <w:rFonts w:hint="eastAsia" w:ascii="宋体" w:hAnsi="宋体" w:eastAsia="宋体" w:cs="宋体"/>
                <w:b/>
                <w:bCs/>
                <w:sz w:val="21"/>
                <w:szCs w:val="21"/>
              </w:rPr>
            </w:pPr>
          </w:p>
          <w:p w14:paraId="45A5A8B6">
            <w:pPr>
              <w:tabs>
                <w:tab w:val="decimal" w:pos="315"/>
                <w:tab w:val="left" w:pos="630"/>
              </w:tabs>
              <w:spacing w:line="360" w:lineRule="auto"/>
              <w:jc w:val="center"/>
              <w:rPr>
                <w:rFonts w:hint="eastAsia" w:ascii="宋体" w:hAnsi="宋体" w:eastAsia="宋体" w:cs="宋体"/>
                <w:b/>
                <w:bCs/>
                <w:sz w:val="21"/>
                <w:szCs w:val="21"/>
              </w:rPr>
            </w:pPr>
          </w:p>
          <w:p w14:paraId="69ED9C79">
            <w:pPr>
              <w:tabs>
                <w:tab w:val="decimal" w:pos="315"/>
                <w:tab w:val="left" w:pos="630"/>
              </w:tabs>
              <w:spacing w:line="360" w:lineRule="auto"/>
              <w:jc w:val="center"/>
              <w:rPr>
                <w:rFonts w:hint="eastAsia" w:ascii="宋体" w:hAnsi="宋体" w:eastAsia="宋体" w:cs="宋体"/>
                <w:b/>
                <w:bCs/>
                <w:sz w:val="21"/>
                <w:szCs w:val="21"/>
              </w:rPr>
            </w:pPr>
          </w:p>
          <w:p w14:paraId="3E09E589">
            <w:pPr>
              <w:tabs>
                <w:tab w:val="decimal" w:pos="315"/>
                <w:tab w:val="left" w:pos="630"/>
              </w:tabs>
              <w:spacing w:line="360" w:lineRule="auto"/>
              <w:jc w:val="center"/>
              <w:rPr>
                <w:rFonts w:hint="eastAsia" w:ascii="宋体" w:hAnsi="宋体" w:eastAsia="宋体" w:cs="宋体"/>
                <w:b/>
                <w:bCs/>
                <w:sz w:val="21"/>
                <w:szCs w:val="21"/>
              </w:rPr>
            </w:pPr>
          </w:p>
          <w:p w14:paraId="389AE5E9">
            <w:pPr>
              <w:tabs>
                <w:tab w:val="decimal" w:pos="315"/>
                <w:tab w:val="left" w:pos="630"/>
              </w:tabs>
              <w:spacing w:line="360" w:lineRule="auto"/>
              <w:jc w:val="center"/>
              <w:rPr>
                <w:rFonts w:hint="eastAsia" w:ascii="宋体" w:hAnsi="宋体" w:eastAsia="宋体" w:cs="宋体"/>
                <w:color w:val="000000"/>
                <w:sz w:val="21"/>
                <w:szCs w:val="21"/>
              </w:rPr>
            </w:pPr>
            <w:r>
              <w:rPr>
                <w:rFonts w:hint="eastAsia" w:ascii="宋体" w:hAnsi="宋体" w:cs="宋体"/>
                <w:b/>
                <w:bCs/>
                <w:sz w:val="21"/>
                <w:szCs w:val="21"/>
                <w:lang w:eastAsia="zh-CN"/>
              </w:rPr>
              <w:t>医疗器械</w:t>
            </w:r>
            <w:r>
              <w:rPr>
                <w:rFonts w:hint="eastAsia" w:ascii="宋体" w:hAnsi="宋体" w:eastAsia="宋体" w:cs="宋体"/>
                <w:b/>
                <w:bCs/>
                <w:sz w:val="21"/>
                <w:szCs w:val="21"/>
              </w:rPr>
              <w:t>包装、安装、调试及验收</w:t>
            </w:r>
          </w:p>
        </w:tc>
        <w:tc>
          <w:tcPr>
            <w:tcW w:w="4004" w:type="pct"/>
            <w:noWrap w:val="0"/>
            <w:vAlign w:val="top"/>
          </w:tcPr>
          <w:p w14:paraId="549CE91A">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1</w:t>
            </w:r>
            <w:r>
              <w:rPr>
                <w:rFonts w:hint="eastAsia" w:ascii="宋体" w:hAnsi="宋体" w:cs="宋体"/>
                <w:sz w:val="21"/>
                <w:szCs w:val="21"/>
                <w:lang w:eastAsia="zh-CN"/>
              </w:rPr>
              <w:t>）</w:t>
            </w:r>
            <w:r>
              <w:rPr>
                <w:rFonts w:hint="eastAsia" w:ascii="宋体" w:hAnsi="宋体" w:eastAsia="宋体" w:cs="宋体"/>
                <w:sz w:val="21"/>
                <w:szCs w:val="21"/>
              </w:rPr>
              <w:t>包装要求：</w:t>
            </w:r>
            <w:r>
              <w:rPr>
                <w:rFonts w:hint="eastAsia" w:ascii="宋体" w:hAnsi="宋体" w:cs="宋体"/>
                <w:sz w:val="21"/>
                <w:szCs w:val="21"/>
                <w:lang w:eastAsia="zh-CN"/>
              </w:rPr>
              <w:t>医疗器械</w:t>
            </w:r>
            <w:r>
              <w:rPr>
                <w:rFonts w:hint="eastAsia" w:ascii="宋体" w:hAnsi="宋体" w:eastAsia="宋体" w:cs="宋体"/>
                <w:sz w:val="21"/>
                <w:szCs w:val="21"/>
              </w:rPr>
              <w:t>的包装均应有良好的防湿、防锈、防潮、防雨、防腐及防碰撞的等保证</w:t>
            </w:r>
            <w:r>
              <w:rPr>
                <w:rFonts w:hint="eastAsia" w:ascii="宋体" w:hAnsi="宋体" w:cs="宋体"/>
                <w:sz w:val="21"/>
                <w:szCs w:val="21"/>
                <w:lang w:eastAsia="zh-CN"/>
              </w:rPr>
              <w:t>医疗器械</w:t>
            </w:r>
            <w:r>
              <w:rPr>
                <w:rFonts w:hint="eastAsia" w:ascii="宋体" w:hAnsi="宋体" w:eastAsia="宋体" w:cs="宋体"/>
                <w:sz w:val="21"/>
                <w:szCs w:val="21"/>
              </w:rPr>
              <w:t>外观完整及功能正常等措施。凡由于包装不良造成的损失和由此产生的费用均由</w:t>
            </w:r>
            <w:r>
              <w:rPr>
                <w:rFonts w:hint="eastAsia" w:ascii="宋体" w:hAnsi="宋体" w:cs="宋体"/>
                <w:sz w:val="21"/>
                <w:szCs w:val="21"/>
                <w:lang w:eastAsia="zh-CN"/>
              </w:rPr>
              <w:t>成交供应商</w:t>
            </w:r>
            <w:r>
              <w:rPr>
                <w:rFonts w:hint="eastAsia" w:ascii="宋体" w:hAnsi="宋体" w:eastAsia="宋体" w:cs="宋体"/>
                <w:sz w:val="21"/>
                <w:szCs w:val="21"/>
              </w:rPr>
              <w:t>承担。</w:t>
            </w:r>
          </w:p>
          <w:p w14:paraId="7D642074">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2</w:t>
            </w:r>
            <w:r>
              <w:rPr>
                <w:rFonts w:hint="eastAsia" w:ascii="宋体" w:hAnsi="宋体" w:cs="宋体"/>
                <w:sz w:val="21"/>
                <w:szCs w:val="21"/>
                <w:lang w:eastAsia="zh-CN"/>
              </w:rPr>
              <w:t>）</w:t>
            </w:r>
            <w:r>
              <w:rPr>
                <w:rFonts w:hint="eastAsia" w:ascii="宋体" w:hAnsi="宋体" w:eastAsia="宋体" w:cs="宋体"/>
                <w:sz w:val="21"/>
                <w:szCs w:val="21"/>
              </w:rPr>
              <w:t>安装调试：</w:t>
            </w:r>
          </w:p>
          <w:p w14:paraId="1009B637">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①成交供应商</w:t>
            </w:r>
            <w:r>
              <w:rPr>
                <w:rFonts w:hint="eastAsia" w:ascii="宋体" w:hAnsi="宋体" w:eastAsia="宋体" w:cs="宋体"/>
                <w:sz w:val="21"/>
                <w:szCs w:val="21"/>
              </w:rPr>
              <w:t>负责合同项下的安装调试，一切费用由</w:t>
            </w:r>
            <w:r>
              <w:rPr>
                <w:rFonts w:hint="eastAsia" w:ascii="宋体" w:hAnsi="宋体" w:cs="宋体"/>
                <w:sz w:val="21"/>
                <w:szCs w:val="21"/>
                <w:lang w:eastAsia="zh-CN"/>
              </w:rPr>
              <w:t>成交供应商</w:t>
            </w:r>
            <w:r>
              <w:rPr>
                <w:rFonts w:hint="eastAsia" w:ascii="宋体" w:hAnsi="宋体" w:eastAsia="宋体" w:cs="宋体"/>
                <w:sz w:val="21"/>
                <w:szCs w:val="21"/>
              </w:rPr>
              <w:t>负责；</w:t>
            </w:r>
          </w:p>
          <w:p w14:paraId="37FF3046">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②医疗器械</w:t>
            </w:r>
            <w:r>
              <w:rPr>
                <w:rFonts w:hint="eastAsia" w:ascii="宋体" w:hAnsi="宋体" w:eastAsia="宋体" w:cs="宋体"/>
                <w:sz w:val="21"/>
                <w:szCs w:val="21"/>
              </w:rPr>
              <w:t>安装时须对各安装场地内的其它</w:t>
            </w:r>
            <w:r>
              <w:rPr>
                <w:rFonts w:hint="eastAsia" w:ascii="宋体" w:hAnsi="宋体" w:cs="宋体"/>
                <w:sz w:val="21"/>
                <w:szCs w:val="21"/>
                <w:lang w:eastAsia="zh-CN"/>
              </w:rPr>
              <w:t>设备</w:t>
            </w:r>
            <w:r>
              <w:rPr>
                <w:rFonts w:hint="eastAsia" w:ascii="宋体" w:hAnsi="宋体" w:eastAsia="宋体" w:cs="宋体"/>
                <w:sz w:val="21"/>
                <w:szCs w:val="21"/>
              </w:rPr>
              <w:t>、设施有良好保护措施；</w:t>
            </w:r>
          </w:p>
          <w:p w14:paraId="6B971BC7">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③成交供应商</w:t>
            </w:r>
            <w:r>
              <w:rPr>
                <w:rFonts w:hint="eastAsia" w:ascii="宋体" w:hAnsi="宋体" w:eastAsia="宋体" w:cs="宋体"/>
                <w:sz w:val="21"/>
                <w:szCs w:val="21"/>
              </w:rPr>
              <w:t>对安装现场承担安全管理责任，安装过程中由于</w:t>
            </w:r>
            <w:r>
              <w:rPr>
                <w:rFonts w:hint="eastAsia" w:ascii="宋体" w:hAnsi="宋体" w:cs="宋体"/>
                <w:sz w:val="21"/>
                <w:szCs w:val="21"/>
                <w:lang w:eastAsia="zh-CN"/>
              </w:rPr>
              <w:t>成交供应商</w:t>
            </w:r>
            <w:r>
              <w:rPr>
                <w:rFonts w:hint="eastAsia" w:ascii="宋体" w:hAnsi="宋体" w:eastAsia="宋体" w:cs="宋体"/>
                <w:sz w:val="21"/>
                <w:szCs w:val="21"/>
              </w:rPr>
              <w:t>原因所造成的一切安全责任事故由</w:t>
            </w:r>
            <w:r>
              <w:rPr>
                <w:rFonts w:hint="eastAsia" w:ascii="宋体" w:hAnsi="宋体" w:cs="宋体"/>
                <w:sz w:val="21"/>
                <w:szCs w:val="21"/>
                <w:lang w:eastAsia="zh-CN"/>
              </w:rPr>
              <w:t>成交供应商</w:t>
            </w:r>
            <w:r>
              <w:rPr>
                <w:rFonts w:hint="eastAsia" w:ascii="宋体" w:hAnsi="宋体" w:eastAsia="宋体" w:cs="宋体"/>
                <w:sz w:val="21"/>
                <w:szCs w:val="21"/>
              </w:rPr>
              <w:t>承担。</w:t>
            </w:r>
            <w:r>
              <w:rPr>
                <w:rFonts w:hint="eastAsia" w:ascii="宋体" w:hAnsi="宋体" w:cs="宋体"/>
                <w:sz w:val="21"/>
                <w:szCs w:val="21"/>
                <w:lang w:eastAsia="zh-CN"/>
              </w:rPr>
              <w:t>成交供应商</w:t>
            </w:r>
            <w:r>
              <w:rPr>
                <w:rFonts w:hint="eastAsia" w:ascii="宋体" w:hAnsi="宋体" w:eastAsia="宋体" w:cs="宋体"/>
                <w:sz w:val="21"/>
                <w:szCs w:val="21"/>
              </w:rPr>
              <w:t>因安装造成采购人人员等他人人身、财产损害的，</w:t>
            </w:r>
            <w:r>
              <w:rPr>
                <w:rFonts w:hint="eastAsia" w:ascii="宋体" w:hAnsi="宋体" w:cs="宋体"/>
                <w:sz w:val="21"/>
                <w:szCs w:val="21"/>
                <w:lang w:eastAsia="zh-CN"/>
              </w:rPr>
              <w:t>成交供应商</w:t>
            </w:r>
            <w:r>
              <w:rPr>
                <w:rFonts w:hint="eastAsia" w:ascii="宋体" w:hAnsi="宋体" w:eastAsia="宋体" w:cs="宋体"/>
                <w:sz w:val="21"/>
                <w:szCs w:val="21"/>
              </w:rPr>
              <w:t>承担全部赔偿责任。因此造成采购人被相关权利人索赔的，采购人有权全额向</w:t>
            </w:r>
            <w:r>
              <w:rPr>
                <w:rFonts w:hint="eastAsia" w:ascii="宋体" w:hAnsi="宋体" w:cs="宋体"/>
                <w:sz w:val="21"/>
                <w:szCs w:val="21"/>
                <w:lang w:eastAsia="zh-CN"/>
              </w:rPr>
              <w:t>成交供应商</w:t>
            </w:r>
            <w:r>
              <w:rPr>
                <w:rFonts w:hint="eastAsia" w:ascii="宋体" w:hAnsi="宋体" w:eastAsia="宋体" w:cs="宋体"/>
                <w:sz w:val="21"/>
                <w:szCs w:val="21"/>
              </w:rPr>
              <w:t>追偿；</w:t>
            </w:r>
          </w:p>
          <w:p w14:paraId="634BBC01">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④</w:t>
            </w:r>
            <w:r>
              <w:rPr>
                <w:rFonts w:hint="eastAsia" w:ascii="宋体" w:hAnsi="宋体" w:eastAsia="宋体" w:cs="宋体"/>
                <w:sz w:val="21"/>
                <w:szCs w:val="21"/>
              </w:rPr>
              <w:t>安装完毕后</w:t>
            </w:r>
            <w:r>
              <w:rPr>
                <w:rFonts w:hint="eastAsia" w:ascii="宋体" w:hAnsi="宋体" w:cs="宋体"/>
                <w:sz w:val="21"/>
                <w:szCs w:val="21"/>
                <w:lang w:eastAsia="zh-CN"/>
              </w:rPr>
              <w:t>成交供应商</w:t>
            </w:r>
            <w:r>
              <w:rPr>
                <w:rFonts w:hint="eastAsia" w:ascii="宋体" w:hAnsi="宋体" w:eastAsia="宋体" w:cs="宋体"/>
                <w:sz w:val="21"/>
                <w:szCs w:val="21"/>
              </w:rPr>
              <w:t>应负责对场所进行清场，否则采购人有权自主采取措施并要求</w:t>
            </w:r>
            <w:r>
              <w:rPr>
                <w:rFonts w:hint="eastAsia" w:ascii="宋体" w:hAnsi="宋体" w:cs="宋体"/>
                <w:sz w:val="21"/>
                <w:szCs w:val="21"/>
                <w:lang w:eastAsia="zh-CN"/>
              </w:rPr>
              <w:t>成交供应商</w:t>
            </w:r>
            <w:r>
              <w:rPr>
                <w:rFonts w:hint="eastAsia" w:ascii="宋体" w:hAnsi="宋体" w:eastAsia="宋体" w:cs="宋体"/>
                <w:sz w:val="21"/>
                <w:szCs w:val="21"/>
              </w:rPr>
              <w:t>承担相应费用；</w:t>
            </w:r>
          </w:p>
          <w:p w14:paraId="0E96937D">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⑤成交供应商</w:t>
            </w:r>
            <w:r>
              <w:rPr>
                <w:rFonts w:hint="eastAsia" w:ascii="宋体" w:hAnsi="宋体" w:eastAsia="宋体" w:cs="宋体"/>
                <w:sz w:val="21"/>
                <w:szCs w:val="21"/>
              </w:rPr>
              <w:t>现场安装施工人员的安全由</w:t>
            </w:r>
            <w:r>
              <w:rPr>
                <w:rFonts w:hint="eastAsia" w:ascii="宋体" w:hAnsi="宋体" w:cs="宋体"/>
                <w:sz w:val="21"/>
                <w:szCs w:val="21"/>
                <w:lang w:eastAsia="zh-CN"/>
              </w:rPr>
              <w:t>成交供应商</w:t>
            </w:r>
            <w:r>
              <w:rPr>
                <w:rFonts w:hint="eastAsia" w:ascii="宋体" w:hAnsi="宋体" w:eastAsia="宋体" w:cs="宋体"/>
                <w:sz w:val="21"/>
                <w:szCs w:val="21"/>
              </w:rPr>
              <w:t>自行负责，安装期间所发生的安全事故及财产损失、人身伤亡由</w:t>
            </w:r>
            <w:r>
              <w:rPr>
                <w:rFonts w:hint="eastAsia" w:ascii="宋体" w:hAnsi="宋体" w:cs="宋体"/>
                <w:sz w:val="21"/>
                <w:szCs w:val="21"/>
                <w:lang w:eastAsia="zh-CN"/>
              </w:rPr>
              <w:t>成交供应商</w:t>
            </w:r>
            <w:r>
              <w:rPr>
                <w:rFonts w:hint="eastAsia" w:ascii="宋体" w:hAnsi="宋体" w:eastAsia="宋体" w:cs="宋体"/>
                <w:sz w:val="21"/>
                <w:szCs w:val="21"/>
              </w:rPr>
              <w:t>负责，采购人无需承担任何赔偿责任。</w:t>
            </w:r>
          </w:p>
          <w:p w14:paraId="2AABDF38">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3</w:t>
            </w:r>
            <w:r>
              <w:rPr>
                <w:rFonts w:hint="eastAsia" w:ascii="宋体" w:hAnsi="宋体" w:cs="宋体"/>
                <w:sz w:val="21"/>
                <w:szCs w:val="21"/>
                <w:lang w:eastAsia="zh-CN"/>
              </w:rPr>
              <w:t>）</w:t>
            </w:r>
            <w:r>
              <w:rPr>
                <w:rFonts w:hint="eastAsia" w:ascii="宋体" w:hAnsi="宋体" w:eastAsia="宋体" w:cs="宋体"/>
                <w:sz w:val="21"/>
                <w:szCs w:val="21"/>
              </w:rPr>
              <w:t>验收方式：</w:t>
            </w:r>
          </w:p>
          <w:p w14:paraId="37B9D864">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①</w:t>
            </w:r>
            <w:r>
              <w:rPr>
                <w:rFonts w:hint="eastAsia" w:ascii="宋体" w:hAnsi="宋体" w:eastAsia="宋体" w:cs="宋体"/>
                <w:sz w:val="21"/>
                <w:szCs w:val="21"/>
              </w:rPr>
              <w:t>合同</w:t>
            </w:r>
            <w:r>
              <w:rPr>
                <w:rFonts w:hint="eastAsia" w:ascii="宋体" w:hAnsi="宋体" w:cs="宋体"/>
                <w:sz w:val="21"/>
                <w:szCs w:val="21"/>
                <w:lang w:eastAsia="zh-CN"/>
              </w:rPr>
              <w:t>医疗器械</w:t>
            </w:r>
            <w:r>
              <w:rPr>
                <w:rFonts w:hint="eastAsia" w:ascii="宋体" w:hAnsi="宋体" w:eastAsia="宋体" w:cs="宋体"/>
                <w:sz w:val="21"/>
                <w:szCs w:val="21"/>
              </w:rPr>
              <w:t>安装调试完成并移交所有资料文档后5个工作日内验收，验收应在采购人、</w:t>
            </w:r>
            <w:r>
              <w:rPr>
                <w:rFonts w:hint="eastAsia" w:ascii="宋体" w:hAnsi="宋体" w:cs="宋体"/>
                <w:sz w:val="21"/>
                <w:szCs w:val="21"/>
                <w:lang w:eastAsia="zh-CN"/>
              </w:rPr>
              <w:t>成交供应商</w:t>
            </w:r>
            <w:r>
              <w:rPr>
                <w:rFonts w:hint="eastAsia" w:ascii="宋体" w:hAnsi="宋体" w:eastAsia="宋体" w:cs="宋体"/>
                <w:sz w:val="21"/>
                <w:szCs w:val="21"/>
              </w:rPr>
              <w:t>双方共同参加下进行，验收标准按照国家有关标准；</w:t>
            </w:r>
          </w:p>
          <w:p w14:paraId="3335F613">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②</w:t>
            </w:r>
            <w:r>
              <w:rPr>
                <w:rFonts w:hint="eastAsia" w:ascii="宋体" w:hAnsi="宋体" w:eastAsia="宋体" w:cs="宋体"/>
                <w:sz w:val="21"/>
                <w:szCs w:val="21"/>
              </w:rPr>
              <w:t>验收按国家有关的规定、规范进行。验收时如发现所交付的</w:t>
            </w:r>
            <w:r>
              <w:rPr>
                <w:rFonts w:hint="eastAsia" w:ascii="宋体" w:hAnsi="宋体" w:cs="宋体"/>
                <w:sz w:val="21"/>
                <w:szCs w:val="21"/>
                <w:lang w:eastAsia="zh-CN"/>
              </w:rPr>
              <w:t>医疗器械</w:t>
            </w:r>
            <w:r>
              <w:rPr>
                <w:rFonts w:hint="eastAsia" w:ascii="宋体" w:hAnsi="宋体" w:eastAsia="宋体" w:cs="宋体"/>
                <w:sz w:val="21"/>
                <w:szCs w:val="21"/>
              </w:rPr>
              <w:t>有短装、次品、损坏或其它不符合合同规定之情形者，采购人应做出详尽的现场记录，或由采购人、</w:t>
            </w:r>
            <w:r>
              <w:rPr>
                <w:rFonts w:hint="eastAsia" w:ascii="宋体" w:hAnsi="宋体" w:cs="宋体"/>
                <w:sz w:val="21"/>
                <w:szCs w:val="21"/>
                <w:lang w:eastAsia="zh-CN"/>
              </w:rPr>
              <w:t>成交供应商</w:t>
            </w:r>
            <w:r>
              <w:rPr>
                <w:rFonts w:hint="eastAsia" w:ascii="宋体" w:hAnsi="宋体" w:eastAsia="宋体" w:cs="宋体"/>
                <w:sz w:val="21"/>
                <w:szCs w:val="21"/>
              </w:rPr>
              <w:t>双方签署备忘录。现场记录或备忘录可用作补充、缺失和更换损坏部件的有效证据。若发生上述情形，采购人有权要求退货或换货，由此产生的有关费用由</w:t>
            </w:r>
            <w:r>
              <w:rPr>
                <w:rFonts w:hint="eastAsia" w:ascii="宋体" w:hAnsi="宋体" w:cs="宋体"/>
                <w:sz w:val="21"/>
                <w:szCs w:val="21"/>
                <w:lang w:eastAsia="zh-CN"/>
              </w:rPr>
              <w:t>成交供应商</w:t>
            </w:r>
            <w:r>
              <w:rPr>
                <w:rFonts w:hint="eastAsia" w:ascii="宋体" w:hAnsi="宋体" w:eastAsia="宋体" w:cs="宋体"/>
                <w:sz w:val="21"/>
                <w:szCs w:val="21"/>
              </w:rPr>
              <w:t>承担，验收期限相应后延；</w:t>
            </w:r>
          </w:p>
          <w:p w14:paraId="679909CD">
            <w:pPr>
              <w:tabs>
                <w:tab w:val="decimal" w:pos="315"/>
                <w:tab w:val="left" w:pos="630"/>
              </w:tabs>
              <w:spacing w:line="360" w:lineRule="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 xml:space="preserve"> </w:t>
            </w:r>
            <w:r>
              <w:rPr>
                <w:rFonts w:hint="eastAsia" w:ascii="宋体" w:hAnsi="宋体" w:cs="宋体"/>
                <w:sz w:val="21"/>
                <w:szCs w:val="21"/>
                <w:lang w:val="en-US" w:eastAsia="zh-CN"/>
              </w:rPr>
              <w:t xml:space="preserve"> ③</w:t>
            </w:r>
            <w:r>
              <w:rPr>
                <w:rFonts w:hint="eastAsia" w:ascii="宋体" w:hAnsi="宋体" w:eastAsia="宋体" w:cs="宋体"/>
                <w:sz w:val="21"/>
                <w:szCs w:val="21"/>
              </w:rPr>
              <w:t>如果</w:t>
            </w:r>
            <w:r>
              <w:rPr>
                <w:rFonts w:hint="eastAsia" w:ascii="宋体" w:hAnsi="宋体" w:cs="宋体"/>
                <w:sz w:val="21"/>
                <w:szCs w:val="21"/>
                <w:lang w:eastAsia="zh-CN"/>
              </w:rPr>
              <w:t>医疗器械</w:t>
            </w:r>
            <w:r>
              <w:rPr>
                <w:rFonts w:hint="eastAsia" w:ascii="宋体" w:hAnsi="宋体" w:eastAsia="宋体" w:cs="宋体"/>
                <w:sz w:val="21"/>
                <w:szCs w:val="21"/>
              </w:rPr>
              <w:t>运输和安装调试过程中因事故造成货物短缺、损坏，</w:t>
            </w:r>
            <w:r>
              <w:rPr>
                <w:rFonts w:hint="eastAsia" w:ascii="宋体" w:hAnsi="宋体" w:cs="宋体"/>
                <w:sz w:val="21"/>
                <w:szCs w:val="21"/>
                <w:lang w:eastAsia="zh-CN"/>
              </w:rPr>
              <w:t>成交供应商</w:t>
            </w:r>
            <w:r>
              <w:rPr>
                <w:rFonts w:hint="eastAsia" w:ascii="宋体" w:hAnsi="宋体" w:eastAsia="宋体" w:cs="宋体"/>
                <w:sz w:val="21"/>
                <w:szCs w:val="21"/>
              </w:rPr>
              <w:t>应及时安排换装，以保证</w:t>
            </w:r>
            <w:r>
              <w:rPr>
                <w:rFonts w:hint="eastAsia" w:ascii="宋体" w:hAnsi="宋体" w:cs="宋体"/>
                <w:sz w:val="21"/>
                <w:szCs w:val="21"/>
                <w:lang w:eastAsia="zh-CN"/>
              </w:rPr>
              <w:t>医疗器械</w:t>
            </w:r>
            <w:r>
              <w:rPr>
                <w:rFonts w:hint="eastAsia" w:ascii="宋体" w:hAnsi="宋体" w:eastAsia="宋体" w:cs="宋体"/>
                <w:sz w:val="21"/>
                <w:szCs w:val="21"/>
              </w:rPr>
              <w:t>安装调试的成功完成。换货的相关费用由</w:t>
            </w:r>
            <w:r>
              <w:rPr>
                <w:rFonts w:hint="eastAsia" w:ascii="宋体" w:hAnsi="宋体" w:cs="宋体"/>
                <w:sz w:val="21"/>
                <w:szCs w:val="21"/>
                <w:lang w:eastAsia="zh-CN"/>
              </w:rPr>
              <w:t>成交供应商</w:t>
            </w:r>
            <w:r>
              <w:rPr>
                <w:rFonts w:hint="eastAsia" w:ascii="宋体" w:hAnsi="宋体" w:eastAsia="宋体" w:cs="宋体"/>
                <w:sz w:val="21"/>
                <w:szCs w:val="21"/>
              </w:rPr>
              <w:t>承担</w:t>
            </w:r>
            <w:r>
              <w:rPr>
                <w:rFonts w:hint="eastAsia" w:ascii="宋体" w:hAnsi="宋体" w:eastAsia="宋体" w:cs="宋体"/>
                <w:sz w:val="21"/>
                <w:szCs w:val="21"/>
                <w:lang w:eastAsia="zh-CN"/>
              </w:rPr>
              <w:t>；</w:t>
            </w:r>
          </w:p>
          <w:p w14:paraId="6CCB5629">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④</w:t>
            </w:r>
            <w:r>
              <w:rPr>
                <w:rFonts w:hint="eastAsia" w:ascii="宋体" w:hAnsi="宋体" w:eastAsia="宋体" w:cs="宋体"/>
                <w:sz w:val="21"/>
                <w:szCs w:val="21"/>
              </w:rPr>
              <w:t>国内产品或合资厂的产品必须具备出厂合格证；</w:t>
            </w:r>
          </w:p>
          <w:p w14:paraId="63C74C24">
            <w:pPr>
              <w:tabs>
                <w:tab w:val="decimal" w:pos="315"/>
                <w:tab w:val="left" w:pos="630"/>
              </w:tabs>
              <w:spacing w:line="360" w:lineRule="auto"/>
              <w:rPr>
                <w:rFonts w:hint="eastAsia" w:ascii="宋体" w:hAnsi="宋体" w:eastAsia="宋体" w:cs="宋体"/>
                <w:color w:val="auto"/>
                <w:sz w:val="21"/>
                <w:szCs w:val="21"/>
                <w:highlight w:val="none"/>
                <w:lang w:val="en-US" w:eastAsia="zh-CN"/>
              </w:rPr>
            </w:pPr>
            <w:r>
              <w:rPr>
                <w:rFonts w:hint="eastAsia" w:ascii="宋体" w:hAnsi="宋体" w:cs="宋体"/>
                <w:sz w:val="21"/>
                <w:szCs w:val="21"/>
                <w:lang w:val="en-US" w:eastAsia="zh-CN"/>
              </w:rPr>
              <w:t>（</w:t>
            </w:r>
            <w:r>
              <w:rPr>
                <w:rFonts w:hint="eastAsia" w:ascii="宋体" w:hAnsi="宋体" w:eastAsia="宋体" w:cs="宋体"/>
                <w:sz w:val="21"/>
                <w:szCs w:val="21"/>
                <w:lang w:val="en-US" w:eastAsia="zh-CN"/>
              </w:rPr>
              <w:t>4</w:t>
            </w:r>
            <w:r>
              <w:rPr>
                <w:rFonts w:hint="eastAsia" w:ascii="宋体" w:hAnsi="宋体" w:cs="宋体"/>
                <w:sz w:val="21"/>
                <w:szCs w:val="21"/>
                <w:lang w:val="en-US" w:eastAsia="zh-CN"/>
              </w:rPr>
              <w:t>）</w:t>
            </w:r>
            <w:r>
              <w:rPr>
                <w:rFonts w:hint="eastAsia" w:ascii="宋体" w:hAnsi="宋体" w:cs="宋体"/>
                <w:sz w:val="21"/>
                <w:szCs w:val="21"/>
                <w:lang w:eastAsia="zh-CN"/>
              </w:rPr>
              <w:t>成交供应商</w:t>
            </w:r>
            <w:r>
              <w:rPr>
                <w:rFonts w:hint="eastAsia" w:ascii="宋体" w:hAnsi="宋体" w:eastAsia="宋体" w:cs="宋体"/>
                <w:sz w:val="21"/>
                <w:szCs w:val="21"/>
              </w:rPr>
              <w:t>保证所提供的</w:t>
            </w:r>
            <w:r>
              <w:rPr>
                <w:rFonts w:hint="eastAsia" w:ascii="宋体" w:hAnsi="宋体" w:cs="宋体"/>
                <w:sz w:val="21"/>
                <w:szCs w:val="21"/>
                <w:lang w:eastAsia="zh-CN"/>
              </w:rPr>
              <w:t>医疗器械</w:t>
            </w:r>
            <w:r>
              <w:rPr>
                <w:rFonts w:hint="eastAsia" w:ascii="宋体" w:hAnsi="宋体" w:eastAsia="宋体" w:cs="宋体"/>
                <w:sz w:val="21"/>
                <w:szCs w:val="21"/>
              </w:rPr>
              <w:t>不侵犯任何第三方的专利、商标或版权。否则，</w:t>
            </w:r>
            <w:r>
              <w:rPr>
                <w:rFonts w:hint="eastAsia" w:ascii="宋体" w:hAnsi="宋体" w:cs="宋体"/>
                <w:sz w:val="21"/>
                <w:szCs w:val="21"/>
                <w:lang w:eastAsia="zh-CN"/>
              </w:rPr>
              <w:t>成交供应商</w:t>
            </w:r>
            <w:r>
              <w:rPr>
                <w:rFonts w:hint="eastAsia" w:ascii="宋体" w:hAnsi="宋体" w:eastAsia="宋体" w:cs="宋体"/>
                <w:sz w:val="21"/>
                <w:szCs w:val="21"/>
              </w:rPr>
              <w:t>须承担对第三方的专利或版权的侵权责任并承担因此而发生的所有费用。</w:t>
            </w:r>
          </w:p>
        </w:tc>
      </w:tr>
      <w:tr w14:paraId="22866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6B180EE5">
            <w:pPr>
              <w:tabs>
                <w:tab w:val="decimal" w:pos="315"/>
                <w:tab w:val="left" w:pos="630"/>
              </w:tabs>
              <w:spacing w:line="360" w:lineRule="auto"/>
              <w:rPr>
                <w:rFonts w:hint="eastAsia" w:ascii="宋体" w:hAnsi="宋体" w:eastAsia="宋体" w:cs="宋体"/>
                <w:b/>
                <w:bCs/>
                <w:sz w:val="21"/>
                <w:szCs w:val="21"/>
              </w:rPr>
            </w:pPr>
            <w:r>
              <w:rPr>
                <w:rFonts w:hint="eastAsia" w:ascii="宋体" w:hAnsi="宋体" w:eastAsia="宋体" w:cs="宋体"/>
                <w:b/>
                <w:bCs/>
                <w:sz w:val="21"/>
                <w:szCs w:val="21"/>
              </w:rPr>
              <w:t>质量保证及售后服务（1）</w:t>
            </w:r>
          </w:p>
        </w:tc>
        <w:tc>
          <w:tcPr>
            <w:tcW w:w="4004" w:type="pct"/>
            <w:noWrap w:val="0"/>
            <w:vAlign w:val="top"/>
          </w:tcPr>
          <w:p w14:paraId="14ECD4C7">
            <w:pPr>
              <w:tabs>
                <w:tab w:val="decimal" w:pos="315"/>
                <w:tab w:val="left" w:pos="630"/>
              </w:tabs>
              <w:spacing w:line="360" w:lineRule="auto"/>
              <w:rPr>
                <w:rFonts w:hint="eastAsia" w:ascii="宋体" w:hAnsi="宋体" w:eastAsia="宋体" w:cs="宋体"/>
                <w:sz w:val="21"/>
                <w:szCs w:val="21"/>
                <w:lang w:val="en-US" w:eastAsia="zh-CN"/>
              </w:rPr>
            </w:pPr>
            <w:r>
              <w:rPr>
                <w:rFonts w:hint="eastAsia" w:ascii="宋体" w:hAnsi="宋体" w:cs="宋体"/>
                <w:sz w:val="21"/>
                <w:szCs w:val="21"/>
                <w:lang w:eastAsia="zh-CN"/>
              </w:rPr>
              <w:t>供应商</w:t>
            </w:r>
            <w:r>
              <w:rPr>
                <w:rFonts w:hint="eastAsia" w:ascii="宋体" w:hAnsi="宋体" w:eastAsia="宋体" w:cs="宋体"/>
                <w:sz w:val="21"/>
                <w:szCs w:val="21"/>
              </w:rPr>
              <w:t>需保证</w:t>
            </w:r>
            <w:r>
              <w:rPr>
                <w:rFonts w:hint="eastAsia" w:ascii="宋体" w:hAnsi="宋体" w:cs="宋体"/>
                <w:sz w:val="21"/>
                <w:szCs w:val="21"/>
                <w:lang w:eastAsia="zh-CN"/>
              </w:rPr>
              <w:t>医疗器械</w:t>
            </w:r>
            <w:r>
              <w:rPr>
                <w:rFonts w:hint="eastAsia" w:ascii="宋体" w:hAnsi="宋体" w:eastAsia="宋体" w:cs="宋体"/>
                <w:sz w:val="21"/>
                <w:szCs w:val="21"/>
              </w:rPr>
              <w:t>是全新、未曾使用过的，</w:t>
            </w:r>
            <w:r>
              <w:rPr>
                <w:rFonts w:hint="eastAsia" w:ascii="宋体" w:hAnsi="宋体" w:cs="宋体"/>
                <w:sz w:val="21"/>
                <w:szCs w:val="21"/>
                <w:lang w:eastAsia="zh-CN"/>
              </w:rPr>
              <w:t>医疗器械</w:t>
            </w:r>
            <w:r>
              <w:rPr>
                <w:rFonts w:hint="eastAsia" w:ascii="宋体" w:hAnsi="宋体" w:eastAsia="宋体" w:cs="宋体"/>
                <w:sz w:val="21"/>
                <w:szCs w:val="21"/>
              </w:rPr>
              <w:t>的质量、规格及技术特征符合国家相关标准、行业标准，且与</w:t>
            </w:r>
            <w:r>
              <w:rPr>
                <w:rFonts w:hint="eastAsia" w:ascii="宋体" w:hAnsi="宋体" w:eastAsia="宋体" w:cs="宋体"/>
                <w:sz w:val="21"/>
                <w:szCs w:val="21"/>
                <w:lang w:eastAsia="zh-CN"/>
              </w:rPr>
              <w:t>响应文件</w:t>
            </w:r>
            <w:r>
              <w:rPr>
                <w:rFonts w:hint="eastAsia" w:ascii="宋体" w:hAnsi="宋体" w:eastAsia="宋体" w:cs="宋体"/>
                <w:sz w:val="21"/>
                <w:szCs w:val="21"/>
              </w:rPr>
              <w:t>所提供的参数内容一致。</w:t>
            </w:r>
          </w:p>
        </w:tc>
      </w:tr>
      <w:tr w14:paraId="645AF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214DEBC6">
            <w:pPr>
              <w:tabs>
                <w:tab w:val="decimal" w:pos="315"/>
                <w:tab w:val="left" w:pos="630"/>
              </w:tabs>
              <w:spacing w:line="360" w:lineRule="auto"/>
              <w:rPr>
                <w:rFonts w:hint="eastAsia" w:ascii="宋体" w:hAnsi="宋体" w:eastAsia="宋体" w:cs="宋体"/>
                <w:b/>
                <w:bCs/>
                <w:sz w:val="21"/>
                <w:szCs w:val="21"/>
              </w:rPr>
            </w:pPr>
            <w:r>
              <w:rPr>
                <w:rFonts w:hint="eastAsia" w:ascii="宋体" w:hAnsi="宋体" w:eastAsia="宋体" w:cs="宋体"/>
                <w:b/>
                <w:bCs/>
                <w:sz w:val="21"/>
                <w:szCs w:val="21"/>
              </w:rPr>
              <w:t>质量保证及售后服务（2）</w:t>
            </w:r>
          </w:p>
        </w:tc>
        <w:tc>
          <w:tcPr>
            <w:tcW w:w="4004" w:type="pct"/>
            <w:noWrap w:val="0"/>
            <w:vAlign w:val="top"/>
          </w:tcPr>
          <w:p w14:paraId="6E5B089D">
            <w:pPr>
              <w:tabs>
                <w:tab w:val="decimal" w:pos="315"/>
                <w:tab w:val="left" w:pos="630"/>
              </w:tabs>
              <w:spacing w:line="360" w:lineRule="auto"/>
              <w:rPr>
                <w:rFonts w:hint="eastAsia" w:ascii="宋体" w:hAnsi="宋体" w:eastAsia="宋体" w:cs="宋体"/>
                <w:sz w:val="21"/>
                <w:szCs w:val="21"/>
                <w:lang w:val="en-US" w:eastAsia="zh-CN"/>
              </w:rPr>
            </w:pPr>
            <w:r>
              <w:rPr>
                <w:rFonts w:hint="eastAsia" w:ascii="宋体" w:hAnsi="宋体" w:cs="宋体"/>
                <w:sz w:val="21"/>
                <w:szCs w:val="21"/>
                <w:highlight w:val="none"/>
                <w:lang w:eastAsia="zh-CN"/>
              </w:rPr>
              <w:t>医疗器械</w:t>
            </w:r>
            <w:r>
              <w:rPr>
                <w:rFonts w:hint="eastAsia" w:ascii="宋体" w:hAnsi="宋体" w:eastAsia="宋体" w:cs="宋体"/>
                <w:sz w:val="21"/>
                <w:szCs w:val="21"/>
              </w:rPr>
              <w:t>保修期</w:t>
            </w:r>
            <w:r>
              <w:rPr>
                <w:rFonts w:hint="eastAsia" w:ascii="宋体" w:hAnsi="宋体" w:cs="宋体"/>
                <w:sz w:val="21"/>
                <w:szCs w:val="21"/>
                <w:lang w:eastAsia="zh-CN"/>
              </w:rPr>
              <w:t>不少于</w:t>
            </w:r>
            <w:r>
              <w:rPr>
                <w:rFonts w:hint="eastAsia" w:ascii="宋体" w:hAnsi="宋体" w:cs="宋体"/>
                <w:sz w:val="21"/>
                <w:szCs w:val="21"/>
                <w:highlight w:val="none"/>
                <w:lang w:val="en-US" w:eastAsia="zh-CN"/>
              </w:rPr>
              <w:t>1</w:t>
            </w:r>
            <w:r>
              <w:rPr>
                <w:rFonts w:hint="eastAsia" w:ascii="宋体" w:hAnsi="宋体" w:eastAsia="宋体" w:cs="宋体"/>
                <w:sz w:val="21"/>
                <w:szCs w:val="21"/>
              </w:rPr>
              <w:t>年（</w:t>
            </w:r>
            <w:r>
              <w:rPr>
                <w:rFonts w:hint="eastAsia" w:ascii="宋体" w:hAnsi="宋体" w:eastAsia="宋体" w:cs="宋体"/>
                <w:sz w:val="21"/>
                <w:szCs w:val="21"/>
                <w:lang w:val="en-US" w:eastAsia="zh-CN"/>
              </w:rPr>
              <w:t>采购人</w:t>
            </w:r>
            <w:r>
              <w:rPr>
                <w:rFonts w:hint="eastAsia" w:ascii="宋体" w:hAnsi="宋体" w:eastAsia="宋体" w:cs="宋体"/>
                <w:sz w:val="21"/>
                <w:szCs w:val="21"/>
              </w:rPr>
              <w:t>验收合格之日起计算）。保质保用期内非采购人的人为原因而出现产品质量及问题，由</w:t>
            </w:r>
            <w:r>
              <w:rPr>
                <w:rFonts w:hint="eastAsia" w:ascii="宋体" w:hAnsi="宋体" w:eastAsia="宋体" w:cs="宋体"/>
                <w:sz w:val="21"/>
                <w:szCs w:val="21"/>
                <w:lang w:eastAsia="zh-CN"/>
              </w:rPr>
              <w:t>成交供应商</w:t>
            </w:r>
            <w:r>
              <w:rPr>
                <w:rFonts w:hint="eastAsia" w:ascii="宋体" w:hAnsi="宋体" w:eastAsia="宋体" w:cs="宋体"/>
                <w:sz w:val="21"/>
                <w:szCs w:val="21"/>
              </w:rPr>
              <w:t>负责包修、包换或包退，并承担因此而产生的一切费用。</w:t>
            </w:r>
          </w:p>
        </w:tc>
      </w:tr>
      <w:tr w14:paraId="50D4A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4890916E">
            <w:pPr>
              <w:tabs>
                <w:tab w:val="decimal" w:pos="315"/>
                <w:tab w:val="left" w:pos="630"/>
              </w:tabs>
              <w:spacing w:line="360" w:lineRule="auto"/>
              <w:jc w:val="left"/>
              <w:rPr>
                <w:rFonts w:hint="eastAsia" w:ascii="宋体" w:hAnsi="宋体" w:eastAsia="宋体" w:cs="宋体"/>
                <w:b/>
                <w:bCs/>
                <w:color w:val="000000"/>
                <w:sz w:val="21"/>
                <w:szCs w:val="21"/>
              </w:rPr>
            </w:pPr>
            <w:r>
              <w:rPr>
                <w:rFonts w:hint="eastAsia" w:ascii="宋体" w:hAnsi="宋体" w:eastAsia="宋体" w:cs="宋体"/>
                <w:b/>
                <w:bCs/>
                <w:sz w:val="21"/>
                <w:szCs w:val="21"/>
              </w:rPr>
              <w:t>质量保证及售后服务（3）</w:t>
            </w:r>
          </w:p>
        </w:tc>
        <w:tc>
          <w:tcPr>
            <w:tcW w:w="4004" w:type="pct"/>
            <w:noWrap w:val="0"/>
            <w:vAlign w:val="top"/>
          </w:tcPr>
          <w:p w14:paraId="70F28C85">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1</w:t>
            </w:r>
            <w:r>
              <w:rPr>
                <w:rFonts w:hint="eastAsia" w:ascii="宋体" w:hAnsi="宋体" w:cs="宋体"/>
                <w:sz w:val="21"/>
                <w:szCs w:val="21"/>
                <w:lang w:eastAsia="zh-CN"/>
              </w:rPr>
              <w:t>）</w:t>
            </w:r>
            <w:r>
              <w:rPr>
                <w:rFonts w:hint="eastAsia" w:ascii="宋体" w:hAnsi="宋体" w:eastAsia="宋体" w:cs="宋体"/>
                <w:sz w:val="21"/>
                <w:szCs w:val="21"/>
              </w:rPr>
              <w:t>保修期内厂家每年免费回访</w:t>
            </w:r>
            <w:r>
              <w:rPr>
                <w:rFonts w:hint="eastAsia" w:ascii="宋体" w:hAnsi="宋体" w:cs="宋体"/>
                <w:sz w:val="21"/>
                <w:szCs w:val="21"/>
                <w:lang w:eastAsia="zh-CN"/>
              </w:rPr>
              <w:t>医疗器械</w:t>
            </w:r>
            <w:r>
              <w:rPr>
                <w:rFonts w:hint="eastAsia" w:ascii="宋体" w:hAnsi="宋体" w:eastAsia="宋体" w:cs="宋体"/>
                <w:sz w:val="21"/>
                <w:szCs w:val="21"/>
              </w:rPr>
              <w:t>至少</w:t>
            </w:r>
            <w:r>
              <w:rPr>
                <w:rFonts w:hint="eastAsia" w:ascii="宋体" w:hAnsi="宋体" w:eastAsia="宋体" w:cs="宋体"/>
                <w:sz w:val="21"/>
                <w:szCs w:val="21"/>
                <w:lang w:eastAsia="zh-CN"/>
              </w:rPr>
              <w:t>四</w:t>
            </w:r>
            <w:r>
              <w:rPr>
                <w:rFonts w:hint="eastAsia" w:ascii="宋体" w:hAnsi="宋体" w:eastAsia="宋体" w:cs="宋体"/>
                <w:sz w:val="21"/>
                <w:szCs w:val="21"/>
              </w:rPr>
              <w:t>次。</w:t>
            </w:r>
          </w:p>
          <w:p w14:paraId="1AA6FF38">
            <w:pPr>
              <w:tabs>
                <w:tab w:val="decimal" w:pos="315"/>
                <w:tab w:val="left" w:pos="630"/>
              </w:tabs>
              <w:spacing w:line="360" w:lineRule="auto"/>
              <w:rPr>
                <w:rFonts w:hint="eastAsia" w:ascii="宋体" w:hAnsi="宋体" w:eastAsia="宋体" w:cs="宋体"/>
                <w:strike/>
                <w:sz w:val="21"/>
                <w:szCs w:val="21"/>
              </w:rPr>
            </w:pPr>
            <w:r>
              <w:rPr>
                <w:rFonts w:hint="eastAsia" w:ascii="宋体" w:hAnsi="宋体" w:cs="宋体"/>
                <w:sz w:val="21"/>
                <w:szCs w:val="21"/>
                <w:lang w:eastAsia="zh-CN"/>
              </w:rPr>
              <w:t>（</w:t>
            </w:r>
            <w:r>
              <w:rPr>
                <w:rFonts w:hint="eastAsia" w:ascii="宋体" w:hAnsi="宋体" w:eastAsia="宋体" w:cs="宋体"/>
                <w:sz w:val="21"/>
                <w:szCs w:val="21"/>
              </w:rPr>
              <w:t>2</w:t>
            </w:r>
            <w:r>
              <w:rPr>
                <w:rFonts w:hint="eastAsia" w:ascii="宋体" w:hAnsi="宋体" w:cs="宋体"/>
                <w:sz w:val="21"/>
                <w:szCs w:val="21"/>
                <w:lang w:eastAsia="zh-CN"/>
              </w:rPr>
              <w:t>）成交供应商</w:t>
            </w:r>
            <w:r>
              <w:rPr>
                <w:rFonts w:hint="eastAsia" w:ascii="宋体" w:hAnsi="宋体" w:eastAsia="宋体" w:cs="宋体"/>
                <w:sz w:val="21"/>
                <w:szCs w:val="21"/>
              </w:rPr>
              <w:t>接到报修电话后，厂家工程师</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2</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小时内响应，</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24</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小时到达现场，</w:t>
            </w:r>
            <w:r>
              <w:rPr>
                <w:rFonts w:hint="eastAsia" w:ascii="宋体" w:hAnsi="宋体" w:eastAsia="宋体" w:cs="宋体"/>
                <w:sz w:val="21"/>
                <w:szCs w:val="21"/>
                <w:u w:val="single"/>
              </w:rPr>
              <w:t>72</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小时内解决问题。如不能在规定时间内维修好，</w:t>
            </w:r>
            <w:r>
              <w:rPr>
                <w:rFonts w:hint="eastAsia" w:ascii="宋体" w:hAnsi="宋体" w:cs="宋体"/>
                <w:sz w:val="21"/>
                <w:szCs w:val="21"/>
                <w:lang w:eastAsia="zh-CN"/>
              </w:rPr>
              <w:t>成交供应商</w:t>
            </w:r>
            <w:r>
              <w:rPr>
                <w:rFonts w:hint="eastAsia" w:ascii="宋体" w:hAnsi="宋体" w:eastAsia="宋体" w:cs="宋体"/>
                <w:sz w:val="21"/>
                <w:szCs w:val="21"/>
              </w:rPr>
              <w:t>须在</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72</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小时内无偿提供配置参数相同的原</w:t>
            </w:r>
            <w:r>
              <w:rPr>
                <w:rFonts w:hint="eastAsia" w:ascii="宋体" w:hAnsi="宋体" w:cs="宋体"/>
                <w:sz w:val="21"/>
                <w:szCs w:val="21"/>
                <w:lang w:eastAsia="zh-CN"/>
              </w:rPr>
              <w:t>医疗器械</w:t>
            </w:r>
            <w:r>
              <w:rPr>
                <w:rFonts w:hint="eastAsia" w:ascii="宋体" w:hAnsi="宋体" w:eastAsia="宋体" w:cs="宋体"/>
                <w:sz w:val="21"/>
                <w:szCs w:val="21"/>
              </w:rPr>
              <w:t>代用</w:t>
            </w:r>
            <w:r>
              <w:rPr>
                <w:rFonts w:hint="eastAsia" w:ascii="宋体" w:hAnsi="宋体" w:cs="宋体"/>
                <w:sz w:val="21"/>
                <w:szCs w:val="21"/>
                <w:lang w:eastAsia="zh-CN"/>
              </w:rPr>
              <w:t>医疗器械</w:t>
            </w:r>
            <w:r>
              <w:rPr>
                <w:rFonts w:hint="eastAsia" w:ascii="宋体" w:hAnsi="宋体" w:eastAsia="宋体" w:cs="宋体"/>
                <w:sz w:val="21"/>
                <w:szCs w:val="21"/>
              </w:rPr>
              <w:t>给采购人使用直至故障修复。</w:t>
            </w:r>
          </w:p>
          <w:p w14:paraId="11A6D6A3">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3</w:t>
            </w:r>
            <w:r>
              <w:rPr>
                <w:rFonts w:hint="eastAsia" w:ascii="宋体" w:hAnsi="宋体" w:cs="宋体"/>
                <w:sz w:val="21"/>
                <w:szCs w:val="21"/>
                <w:lang w:eastAsia="zh-CN"/>
              </w:rPr>
              <w:t>）</w:t>
            </w:r>
            <w:r>
              <w:rPr>
                <w:rFonts w:hint="eastAsia" w:ascii="宋体" w:hAnsi="宋体" w:eastAsia="宋体" w:cs="宋体"/>
                <w:sz w:val="21"/>
                <w:szCs w:val="21"/>
              </w:rPr>
              <w:t>货物交付使用后以书面形式承诺维修服务，实行终身维护。</w:t>
            </w:r>
          </w:p>
          <w:p w14:paraId="78485533">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4</w:t>
            </w:r>
            <w:r>
              <w:rPr>
                <w:rFonts w:hint="eastAsia" w:ascii="宋体" w:hAnsi="宋体" w:cs="宋体"/>
                <w:sz w:val="21"/>
                <w:szCs w:val="21"/>
                <w:lang w:eastAsia="zh-CN"/>
              </w:rPr>
              <w:t>）</w:t>
            </w:r>
            <w:r>
              <w:rPr>
                <w:rFonts w:hint="eastAsia" w:ascii="宋体" w:hAnsi="宋体" w:eastAsia="宋体" w:cs="宋体"/>
                <w:sz w:val="21"/>
                <w:szCs w:val="21"/>
              </w:rPr>
              <w:t>所有保修服务方式均为</w:t>
            </w:r>
            <w:r>
              <w:rPr>
                <w:rFonts w:hint="eastAsia" w:ascii="宋体" w:hAnsi="宋体" w:cs="宋体"/>
                <w:sz w:val="21"/>
                <w:szCs w:val="21"/>
                <w:lang w:eastAsia="zh-CN"/>
              </w:rPr>
              <w:t>成交供应商</w:t>
            </w:r>
            <w:r>
              <w:rPr>
                <w:rFonts w:hint="eastAsia" w:ascii="宋体" w:hAnsi="宋体" w:eastAsia="宋体" w:cs="宋体"/>
                <w:sz w:val="21"/>
                <w:szCs w:val="21"/>
              </w:rPr>
              <w:t>上门保修或免费更换，即由</w:t>
            </w:r>
            <w:r>
              <w:rPr>
                <w:rFonts w:hint="eastAsia" w:ascii="宋体" w:hAnsi="宋体" w:cs="宋体"/>
                <w:sz w:val="21"/>
                <w:szCs w:val="21"/>
                <w:lang w:eastAsia="zh-CN"/>
              </w:rPr>
              <w:t>成交供应商</w:t>
            </w:r>
            <w:r>
              <w:rPr>
                <w:rFonts w:hint="eastAsia" w:ascii="宋体" w:hAnsi="宋体" w:eastAsia="宋体" w:cs="宋体"/>
                <w:sz w:val="21"/>
                <w:szCs w:val="21"/>
              </w:rPr>
              <w:t>派员到采购人</w:t>
            </w:r>
            <w:r>
              <w:rPr>
                <w:rFonts w:hint="eastAsia" w:ascii="宋体" w:hAnsi="宋体" w:cs="宋体"/>
                <w:sz w:val="21"/>
                <w:szCs w:val="21"/>
                <w:lang w:eastAsia="zh-CN"/>
              </w:rPr>
              <w:t>医疗器械</w:t>
            </w:r>
            <w:r>
              <w:rPr>
                <w:rFonts w:hint="eastAsia" w:ascii="宋体" w:hAnsi="宋体" w:eastAsia="宋体" w:cs="宋体"/>
                <w:sz w:val="21"/>
                <w:szCs w:val="21"/>
              </w:rPr>
              <w:t>使用现场维修更换，由此产生的一切费用均由</w:t>
            </w:r>
            <w:r>
              <w:rPr>
                <w:rFonts w:hint="eastAsia" w:ascii="宋体" w:hAnsi="宋体" w:cs="宋体"/>
                <w:sz w:val="21"/>
                <w:szCs w:val="21"/>
                <w:lang w:eastAsia="zh-CN"/>
              </w:rPr>
              <w:t>成交供应商</w:t>
            </w:r>
            <w:r>
              <w:rPr>
                <w:rFonts w:hint="eastAsia" w:ascii="宋体" w:hAnsi="宋体" w:eastAsia="宋体" w:cs="宋体"/>
                <w:sz w:val="21"/>
                <w:szCs w:val="21"/>
              </w:rPr>
              <w:t>承担。</w:t>
            </w:r>
          </w:p>
          <w:p w14:paraId="7A615E9F">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5</w:t>
            </w:r>
            <w:r>
              <w:rPr>
                <w:rFonts w:hint="eastAsia" w:ascii="宋体" w:hAnsi="宋体" w:cs="宋体"/>
                <w:sz w:val="21"/>
                <w:szCs w:val="21"/>
                <w:lang w:eastAsia="zh-CN"/>
              </w:rPr>
              <w:t>）</w:t>
            </w:r>
            <w:r>
              <w:rPr>
                <w:rFonts w:hint="eastAsia" w:ascii="宋体" w:hAnsi="宋体" w:eastAsia="宋体" w:cs="宋体"/>
                <w:sz w:val="21"/>
                <w:szCs w:val="21"/>
              </w:rPr>
              <w:t>因</w:t>
            </w:r>
            <w:r>
              <w:rPr>
                <w:rFonts w:hint="eastAsia" w:ascii="宋体" w:hAnsi="宋体" w:cs="宋体"/>
                <w:sz w:val="21"/>
                <w:szCs w:val="21"/>
                <w:lang w:eastAsia="zh-CN"/>
              </w:rPr>
              <w:t>医疗器械</w:t>
            </w:r>
            <w:r>
              <w:rPr>
                <w:rFonts w:hint="eastAsia" w:ascii="宋体" w:hAnsi="宋体" w:eastAsia="宋体" w:cs="宋体"/>
                <w:sz w:val="21"/>
                <w:szCs w:val="21"/>
              </w:rPr>
              <w:t>的质量问题而发生争议，由广东省或中山市质检部门进行质量鉴定。</w:t>
            </w:r>
            <w:r>
              <w:rPr>
                <w:rFonts w:hint="eastAsia" w:ascii="宋体" w:hAnsi="宋体" w:cs="宋体"/>
                <w:sz w:val="21"/>
                <w:szCs w:val="21"/>
                <w:lang w:eastAsia="zh-CN"/>
              </w:rPr>
              <w:t>医疗器械</w:t>
            </w:r>
            <w:r>
              <w:rPr>
                <w:rFonts w:hint="eastAsia" w:ascii="宋体" w:hAnsi="宋体" w:eastAsia="宋体" w:cs="宋体"/>
                <w:sz w:val="21"/>
                <w:szCs w:val="21"/>
              </w:rPr>
              <w:t>符合质量标准的，鉴定费用由采购人承担；</w:t>
            </w:r>
            <w:r>
              <w:rPr>
                <w:rFonts w:hint="eastAsia" w:ascii="宋体" w:hAnsi="宋体" w:cs="宋体"/>
                <w:sz w:val="21"/>
                <w:szCs w:val="21"/>
                <w:lang w:eastAsia="zh-CN"/>
              </w:rPr>
              <w:t>医疗器械</w:t>
            </w:r>
            <w:r>
              <w:rPr>
                <w:rFonts w:hint="eastAsia" w:ascii="宋体" w:hAnsi="宋体" w:eastAsia="宋体" w:cs="宋体"/>
                <w:sz w:val="21"/>
                <w:szCs w:val="21"/>
              </w:rPr>
              <w:t>不符合质量标准的，鉴定费用由</w:t>
            </w:r>
            <w:r>
              <w:rPr>
                <w:rFonts w:hint="eastAsia" w:ascii="宋体" w:hAnsi="宋体" w:cs="宋体"/>
                <w:sz w:val="21"/>
                <w:szCs w:val="21"/>
                <w:lang w:eastAsia="zh-CN"/>
              </w:rPr>
              <w:t>成交供应商</w:t>
            </w:r>
            <w:r>
              <w:rPr>
                <w:rFonts w:hint="eastAsia" w:ascii="宋体" w:hAnsi="宋体" w:eastAsia="宋体" w:cs="宋体"/>
                <w:sz w:val="21"/>
                <w:szCs w:val="21"/>
              </w:rPr>
              <w:t>承担。</w:t>
            </w:r>
          </w:p>
          <w:p w14:paraId="6DF135FE">
            <w:pPr>
              <w:tabs>
                <w:tab w:val="decimal" w:pos="315"/>
                <w:tab w:val="left" w:pos="630"/>
              </w:tabs>
              <w:spacing w:line="360" w:lineRule="auto"/>
              <w:rPr>
                <w:rFonts w:hint="eastAsia" w:ascii="宋体" w:hAnsi="宋体" w:eastAsia="宋体" w:cs="宋体"/>
                <w:color w:val="auto"/>
                <w:sz w:val="21"/>
                <w:szCs w:val="21"/>
                <w:highlight w:val="none"/>
                <w:lang w:val="en-US" w:eastAsia="zh-CN"/>
              </w:rPr>
            </w:pPr>
            <w:r>
              <w:rPr>
                <w:rFonts w:hint="eastAsia" w:ascii="宋体" w:hAnsi="宋体" w:cs="宋体"/>
                <w:sz w:val="21"/>
                <w:szCs w:val="21"/>
                <w:lang w:eastAsia="zh-CN"/>
              </w:rPr>
              <w:t>（</w:t>
            </w:r>
            <w:r>
              <w:rPr>
                <w:rFonts w:hint="eastAsia" w:ascii="宋体" w:hAnsi="宋体" w:eastAsia="宋体" w:cs="宋体"/>
                <w:sz w:val="21"/>
                <w:szCs w:val="21"/>
              </w:rPr>
              <w:t>6</w:t>
            </w:r>
            <w:r>
              <w:rPr>
                <w:rFonts w:hint="eastAsia" w:ascii="宋体" w:hAnsi="宋体" w:cs="宋体"/>
                <w:sz w:val="21"/>
                <w:szCs w:val="21"/>
                <w:lang w:eastAsia="zh-CN"/>
              </w:rPr>
              <w:t>）成交供应商</w:t>
            </w:r>
            <w:r>
              <w:rPr>
                <w:rFonts w:hint="eastAsia" w:ascii="宋体" w:hAnsi="宋体" w:eastAsia="宋体" w:cs="宋体"/>
                <w:sz w:val="21"/>
                <w:szCs w:val="21"/>
              </w:rPr>
              <w:t>为采购人提供操作及维护培训，主要内容为</w:t>
            </w:r>
            <w:r>
              <w:rPr>
                <w:rFonts w:hint="eastAsia" w:ascii="宋体" w:hAnsi="宋体" w:cs="宋体"/>
                <w:sz w:val="21"/>
                <w:szCs w:val="21"/>
                <w:lang w:eastAsia="zh-CN"/>
              </w:rPr>
              <w:t>医疗器械</w:t>
            </w:r>
            <w:r>
              <w:rPr>
                <w:rFonts w:hint="eastAsia" w:ascii="宋体" w:hAnsi="宋体" w:eastAsia="宋体" w:cs="宋体"/>
                <w:sz w:val="21"/>
                <w:szCs w:val="21"/>
              </w:rPr>
              <w:t>的基本结构、性能、主要部件的构造及原理，日常使用操作、保养与管理，常见故障的排除，紧急情况的处理等，</w:t>
            </w:r>
            <w:r>
              <w:rPr>
                <w:rFonts w:hint="eastAsia" w:ascii="宋体" w:hAnsi="宋体" w:eastAsia="宋体" w:cs="宋体"/>
                <w:sz w:val="21"/>
                <w:szCs w:val="21"/>
                <w:lang w:val="en-US" w:eastAsia="zh-CN"/>
              </w:rPr>
              <w:t>至少</w:t>
            </w:r>
            <w:r>
              <w:rPr>
                <w:rFonts w:hint="eastAsia" w:ascii="宋体" w:hAnsi="宋体" w:eastAsia="宋体" w:cs="宋体"/>
                <w:sz w:val="21"/>
                <w:szCs w:val="21"/>
                <w:u w:val="single"/>
                <w:lang w:val="en-US" w:eastAsia="zh-CN"/>
              </w:rPr>
              <w:t xml:space="preserve"> 3 </w:t>
            </w:r>
            <w:r>
              <w:rPr>
                <w:rFonts w:hint="eastAsia" w:ascii="宋体" w:hAnsi="宋体" w:eastAsia="宋体" w:cs="宋体"/>
                <w:sz w:val="21"/>
                <w:szCs w:val="21"/>
                <w:lang w:val="en-US" w:eastAsia="zh-CN"/>
              </w:rPr>
              <w:t>名以上医护人员熟练掌握使用</w:t>
            </w:r>
            <w:r>
              <w:rPr>
                <w:rFonts w:hint="eastAsia" w:ascii="宋体" w:hAnsi="宋体" w:cs="宋体"/>
                <w:sz w:val="21"/>
                <w:szCs w:val="21"/>
                <w:lang w:val="en-US" w:eastAsia="zh-CN"/>
              </w:rPr>
              <w:t>医疗器械</w:t>
            </w:r>
            <w:r>
              <w:rPr>
                <w:rFonts w:hint="eastAsia" w:ascii="宋体" w:hAnsi="宋体" w:eastAsia="宋体" w:cs="宋体"/>
                <w:sz w:val="21"/>
                <w:szCs w:val="21"/>
                <w:lang w:val="en-US" w:eastAsia="zh-CN"/>
              </w:rPr>
              <w:t>为止，</w:t>
            </w:r>
            <w:r>
              <w:rPr>
                <w:rFonts w:hint="eastAsia" w:ascii="宋体" w:hAnsi="宋体" w:eastAsia="宋体" w:cs="宋体"/>
                <w:sz w:val="21"/>
                <w:szCs w:val="21"/>
              </w:rPr>
              <w:t>培训地点主要在</w:t>
            </w:r>
            <w:r>
              <w:rPr>
                <w:rFonts w:hint="eastAsia" w:ascii="宋体" w:hAnsi="宋体" w:cs="宋体"/>
                <w:sz w:val="21"/>
                <w:szCs w:val="21"/>
                <w:lang w:eastAsia="zh-CN"/>
              </w:rPr>
              <w:t>医疗器械</w:t>
            </w:r>
            <w:r>
              <w:rPr>
                <w:rFonts w:hint="eastAsia" w:ascii="宋体" w:hAnsi="宋体" w:eastAsia="宋体" w:cs="宋体"/>
                <w:sz w:val="21"/>
                <w:szCs w:val="21"/>
              </w:rPr>
              <w:t>安装现场或按双方协商安排。</w:t>
            </w:r>
          </w:p>
        </w:tc>
      </w:tr>
      <w:tr w14:paraId="3449A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47D2AA28">
            <w:pPr>
              <w:tabs>
                <w:tab w:val="decimal" w:pos="315"/>
                <w:tab w:val="left" w:pos="630"/>
              </w:tabs>
              <w:spacing w:line="360" w:lineRule="auto"/>
              <w:jc w:val="left"/>
              <w:rPr>
                <w:rFonts w:hint="eastAsia" w:ascii="宋体" w:hAnsi="宋体" w:eastAsia="宋体" w:cs="宋体"/>
                <w:b/>
                <w:bCs/>
                <w:color w:val="000000"/>
                <w:sz w:val="21"/>
                <w:szCs w:val="21"/>
              </w:rPr>
            </w:pPr>
            <w:r>
              <w:rPr>
                <w:rFonts w:hint="eastAsia" w:ascii="宋体" w:hAnsi="宋体" w:eastAsia="宋体" w:cs="宋体"/>
                <w:b/>
                <w:bCs/>
                <w:sz w:val="21"/>
                <w:szCs w:val="21"/>
              </w:rPr>
              <w:t>违约与处罚</w:t>
            </w:r>
          </w:p>
        </w:tc>
        <w:tc>
          <w:tcPr>
            <w:tcW w:w="4004" w:type="pct"/>
            <w:noWrap w:val="0"/>
            <w:vAlign w:val="top"/>
          </w:tcPr>
          <w:p w14:paraId="0B11905B">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1</w:t>
            </w:r>
            <w:r>
              <w:rPr>
                <w:rFonts w:hint="eastAsia" w:ascii="宋体" w:hAnsi="宋体" w:cs="宋体"/>
                <w:sz w:val="21"/>
                <w:szCs w:val="21"/>
                <w:lang w:eastAsia="zh-CN"/>
              </w:rPr>
              <w:t>）成交供应商</w:t>
            </w:r>
            <w:r>
              <w:rPr>
                <w:rFonts w:hint="eastAsia" w:ascii="宋体" w:hAnsi="宋体" w:eastAsia="宋体" w:cs="宋体"/>
                <w:sz w:val="21"/>
                <w:szCs w:val="21"/>
              </w:rPr>
              <w:t>未能按时交货，每拖延一天，须向采购人支付合同金额的5‰的违约金，违约金总金额不超过合同总价20%。</w:t>
            </w:r>
          </w:p>
          <w:p w14:paraId="7C4A15D0">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2</w:t>
            </w:r>
            <w:r>
              <w:rPr>
                <w:rFonts w:hint="eastAsia" w:ascii="宋体" w:hAnsi="宋体" w:cs="宋体"/>
                <w:sz w:val="21"/>
                <w:szCs w:val="21"/>
                <w:lang w:eastAsia="zh-CN"/>
              </w:rPr>
              <w:t>）成交供应商</w:t>
            </w:r>
            <w:r>
              <w:rPr>
                <w:rFonts w:hint="eastAsia" w:ascii="宋体" w:hAnsi="宋体" w:eastAsia="宋体" w:cs="宋体"/>
                <w:sz w:val="21"/>
                <w:szCs w:val="21"/>
              </w:rPr>
              <w:t>交付的货物不符合项目规定的，采购人有权拒收，</w:t>
            </w:r>
            <w:r>
              <w:rPr>
                <w:rFonts w:hint="eastAsia" w:ascii="宋体" w:hAnsi="宋体" w:cs="宋体"/>
                <w:sz w:val="21"/>
                <w:szCs w:val="21"/>
                <w:lang w:eastAsia="zh-CN"/>
              </w:rPr>
              <w:t>成交供应商</w:t>
            </w:r>
            <w:r>
              <w:rPr>
                <w:rFonts w:hint="eastAsia" w:ascii="宋体" w:hAnsi="宋体" w:eastAsia="宋体" w:cs="宋体"/>
                <w:sz w:val="21"/>
                <w:szCs w:val="21"/>
              </w:rPr>
              <w:t>向采购人支付合同金额20%的违约金。因此导致采购人遭受损失（包括但不限于实际损失，预期利益损失，为维护其合法权益而支付的鉴定费、审计费、律师费、差旅费等费用）的，</w:t>
            </w:r>
            <w:r>
              <w:rPr>
                <w:rFonts w:hint="eastAsia" w:ascii="宋体" w:hAnsi="宋体" w:cs="宋体"/>
                <w:sz w:val="21"/>
                <w:szCs w:val="21"/>
                <w:lang w:eastAsia="zh-CN"/>
              </w:rPr>
              <w:t>成交供应商</w:t>
            </w:r>
            <w:r>
              <w:rPr>
                <w:rFonts w:hint="eastAsia" w:ascii="宋体" w:hAnsi="宋体" w:eastAsia="宋体" w:cs="宋体"/>
                <w:sz w:val="21"/>
                <w:szCs w:val="21"/>
              </w:rPr>
              <w:t>应对采购人承担赔偿责任。</w:t>
            </w:r>
          </w:p>
          <w:p w14:paraId="70B27B97">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3</w:t>
            </w:r>
            <w:r>
              <w:rPr>
                <w:rFonts w:hint="eastAsia" w:ascii="宋体" w:hAnsi="宋体" w:cs="宋体"/>
                <w:sz w:val="21"/>
                <w:szCs w:val="21"/>
                <w:lang w:eastAsia="zh-CN"/>
              </w:rPr>
              <w:t>）成交供应商</w:t>
            </w:r>
            <w:r>
              <w:rPr>
                <w:rFonts w:hint="eastAsia" w:ascii="宋体" w:hAnsi="宋体" w:eastAsia="宋体" w:cs="宋体"/>
                <w:sz w:val="21"/>
                <w:szCs w:val="21"/>
              </w:rPr>
              <w:t>逾期超过7日未能交付货物，则向采购人支付合同金额的20%的违约金，同时采购人有权单方解除合同。</w:t>
            </w:r>
          </w:p>
          <w:p w14:paraId="50777AAE">
            <w:pPr>
              <w:tabs>
                <w:tab w:val="decimal" w:pos="315"/>
                <w:tab w:val="left" w:pos="630"/>
              </w:tabs>
              <w:spacing w:line="360" w:lineRule="auto"/>
              <w:rPr>
                <w:rFonts w:hint="eastAsia" w:ascii="宋体" w:hAnsi="宋体" w:eastAsia="宋体" w:cs="宋体"/>
                <w:color w:val="auto"/>
                <w:sz w:val="21"/>
                <w:szCs w:val="21"/>
                <w:highlight w:val="none"/>
                <w:lang w:val="en-US" w:eastAsia="zh-CN"/>
              </w:rPr>
            </w:pPr>
            <w:r>
              <w:rPr>
                <w:rFonts w:hint="eastAsia" w:ascii="宋体" w:hAnsi="宋体" w:cs="宋体"/>
                <w:sz w:val="21"/>
                <w:szCs w:val="21"/>
                <w:lang w:eastAsia="zh-CN"/>
              </w:rPr>
              <w:t>（</w:t>
            </w:r>
            <w:r>
              <w:rPr>
                <w:rFonts w:hint="eastAsia" w:ascii="宋体" w:hAnsi="宋体" w:eastAsia="宋体" w:cs="宋体"/>
                <w:sz w:val="21"/>
                <w:szCs w:val="21"/>
              </w:rPr>
              <w:t>4</w:t>
            </w:r>
            <w:r>
              <w:rPr>
                <w:rFonts w:hint="eastAsia" w:ascii="宋体" w:hAnsi="宋体" w:cs="宋体"/>
                <w:sz w:val="21"/>
                <w:szCs w:val="21"/>
                <w:lang w:eastAsia="zh-CN"/>
              </w:rPr>
              <w:t>）</w:t>
            </w:r>
            <w:r>
              <w:rPr>
                <w:rFonts w:hint="eastAsia" w:ascii="宋体" w:hAnsi="宋体" w:eastAsia="宋体" w:cs="宋体"/>
                <w:sz w:val="21"/>
                <w:szCs w:val="21"/>
              </w:rPr>
              <w:t>因</w:t>
            </w:r>
            <w:r>
              <w:rPr>
                <w:rFonts w:hint="eastAsia" w:ascii="宋体" w:hAnsi="宋体" w:cs="宋体"/>
                <w:sz w:val="21"/>
                <w:szCs w:val="21"/>
                <w:lang w:eastAsia="zh-CN"/>
              </w:rPr>
              <w:t>成交供应商医疗器械</w:t>
            </w:r>
            <w:r>
              <w:rPr>
                <w:rFonts w:hint="eastAsia" w:ascii="宋体" w:hAnsi="宋体" w:eastAsia="宋体" w:cs="宋体"/>
                <w:sz w:val="21"/>
                <w:szCs w:val="21"/>
              </w:rPr>
              <w:t>自身或安装不善等原因发生事故造成采购人或第三方损害的，</w:t>
            </w:r>
            <w:r>
              <w:rPr>
                <w:rFonts w:hint="eastAsia" w:ascii="宋体" w:hAnsi="宋体" w:cs="宋体"/>
                <w:sz w:val="21"/>
                <w:szCs w:val="21"/>
                <w:lang w:eastAsia="zh-CN"/>
              </w:rPr>
              <w:t>成交供应商</w:t>
            </w:r>
            <w:r>
              <w:rPr>
                <w:rFonts w:hint="eastAsia" w:ascii="宋体" w:hAnsi="宋体" w:eastAsia="宋体" w:cs="宋体"/>
                <w:sz w:val="21"/>
                <w:szCs w:val="21"/>
              </w:rPr>
              <w:t>应直接承担由此产生的一切责任。</w:t>
            </w:r>
          </w:p>
        </w:tc>
      </w:tr>
    </w:tbl>
    <w:p w14:paraId="79A7B952">
      <w:pPr>
        <w:rPr>
          <w:rFonts w:hint="eastAsia" w:ascii="Times New Roman" w:hAnsi="Times New Roman" w:eastAsia="宋体" w:cs="Times New Roman"/>
          <w:b/>
          <w:color w:val="000000"/>
          <w:sz w:val="28"/>
          <w:szCs w:val="36"/>
          <w:highlight w:val="none"/>
          <w:lang w:val="en-US" w:eastAsia="zh-CN"/>
        </w:rPr>
      </w:pPr>
    </w:p>
    <w:sectPr>
      <w:footerReference r:id="rId5" w:type="default"/>
      <w:pgSz w:w="11906" w:h="16838"/>
      <w:pgMar w:top="1440" w:right="1800" w:bottom="1440" w:left="1800" w:header="851" w:footer="992" w:gutter="0"/>
      <w:pgNumType w:fmt="decimal"/>
      <w:cols w:space="72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00007A87" w:usb1="80000000" w:usb2="00000008" w:usb3="00000000" w:csb0="400001FF" w:csb1="FFFF0000"/>
  </w:font>
  <w:font w:name="宋体">
    <w:panose1 w:val="02010600030101010101"/>
    <w:charset w:val="34"/>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Tahoma">
    <w:panose1 w:val="020B0604030504040204"/>
    <w:charset w:val="00"/>
    <w:family w:val="swiss"/>
    <w:pitch w:val="default"/>
    <w:sig w:usb0="61007A87" w:usb1="80000000" w:usb2="00000008"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F18E77">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613D6F">
                          <w:pPr>
                            <w:pStyle w:val="11"/>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A613D6F">
                    <w:pPr>
                      <w:pStyle w:val="11"/>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8</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mZjBjODNiMjI1YTgzYTQ0YWU5YjdmMjFjOWI4MWUifQ=="/>
  </w:docVars>
  <w:rsids>
    <w:rsidRoot w:val="00172A27"/>
    <w:rsid w:val="00360E24"/>
    <w:rsid w:val="00506D12"/>
    <w:rsid w:val="007363B2"/>
    <w:rsid w:val="007F27CB"/>
    <w:rsid w:val="00B46918"/>
    <w:rsid w:val="00B71F65"/>
    <w:rsid w:val="00CA613C"/>
    <w:rsid w:val="011C2BC5"/>
    <w:rsid w:val="013E4434"/>
    <w:rsid w:val="01CE57B8"/>
    <w:rsid w:val="01F760C7"/>
    <w:rsid w:val="026305F6"/>
    <w:rsid w:val="02644444"/>
    <w:rsid w:val="02EA4873"/>
    <w:rsid w:val="03305C7C"/>
    <w:rsid w:val="03403367"/>
    <w:rsid w:val="036A59B4"/>
    <w:rsid w:val="03E06E79"/>
    <w:rsid w:val="04194CE4"/>
    <w:rsid w:val="041D3215"/>
    <w:rsid w:val="046643CE"/>
    <w:rsid w:val="04666BC2"/>
    <w:rsid w:val="04F84E3F"/>
    <w:rsid w:val="04FC2564"/>
    <w:rsid w:val="050424F5"/>
    <w:rsid w:val="051756C8"/>
    <w:rsid w:val="05941873"/>
    <w:rsid w:val="059B1186"/>
    <w:rsid w:val="064E6D25"/>
    <w:rsid w:val="06FE6B3F"/>
    <w:rsid w:val="07905602"/>
    <w:rsid w:val="07CD4764"/>
    <w:rsid w:val="07D57174"/>
    <w:rsid w:val="07ED4665"/>
    <w:rsid w:val="07F92FDA"/>
    <w:rsid w:val="080F3E19"/>
    <w:rsid w:val="08777DF5"/>
    <w:rsid w:val="09077801"/>
    <w:rsid w:val="090E293E"/>
    <w:rsid w:val="091837BC"/>
    <w:rsid w:val="09322AD0"/>
    <w:rsid w:val="09B7373C"/>
    <w:rsid w:val="09CB082F"/>
    <w:rsid w:val="0A423C80"/>
    <w:rsid w:val="0A7B741C"/>
    <w:rsid w:val="0ABF5171"/>
    <w:rsid w:val="0B586502"/>
    <w:rsid w:val="0B9E60F0"/>
    <w:rsid w:val="0C0F0BAE"/>
    <w:rsid w:val="0C4274CE"/>
    <w:rsid w:val="0C5E598A"/>
    <w:rsid w:val="0CC872A8"/>
    <w:rsid w:val="0D02766C"/>
    <w:rsid w:val="0D692839"/>
    <w:rsid w:val="0DD57ECE"/>
    <w:rsid w:val="0DE63E89"/>
    <w:rsid w:val="0E0A14B8"/>
    <w:rsid w:val="0E2C7807"/>
    <w:rsid w:val="0E4137B5"/>
    <w:rsid w:val="0E77579C"/>
    <w:rsid w:val="0ECE5049"/>
    <w:rsid w:val="0ED42D25"/>
    <w:rsid w:val="0EE7610B"/>
    <w:rsid w:val="0EFD4BA7"/>
    <w:rsid w:val="0F7C2CF7"/>
    <w:rsid w:val="0F8C6CB2"/>
    <w:rsid w:val="0F9D4A1B"/>
    <w:rsid w:val="0F9F69E6"/>
    <w:rsid w:val="0FCC3993"/>
    <w:rsid w:val="10134CDE"/>
    <w:rsid w:val="102E102C"/>
    <w:rsid w:val="103B4960"/>
    <w:rsid w:val="1041184B"/>
    <w:rsid w:val="10523A58"/>
    <w:rsid w:val="108B61EC"/>
    <w:rsid w:val="10A047C3"/>
    <w:rsid w:val="10C8579F"/>
    <w:rsid w:val="10EC7A09"/>
    <w:rsid w:val="10F1501F"/>
    <w:rsid w:val="10F92E76"/>
    <w:rsid w:val="113F658E"/>
    <w:rsid w:val="116A4DD1"/>
    <w:rsid w:val="116A5271"/>
    <w:rsid w:val="116E479B"/>
    <w:rsid w:val="12FD532F"/>
    <w:rsid w:val="13180371"/>
    <w:rsid w:val="13207E3D"/>
    <w:rsid w:val="13213A9B"/>
    <w:rsid w:val="1351449B"/>
    <w:rsid w:val="13596EAB"/>
    <w:rsid w:val="13D34EB0"/>
    <w:rsid w:val="13D604FC"/>
    <w:rsid w:val="13E26EA1"/>
    <w:rsid w:val="144731A8"/>
    <w:rsid w:val="144C07BE"/>
    <w:rsid w:val="14504752"/>
    <w:rsid w:val="14510446"/>
    <w:rsid w:val="14583F1C"/>
    <w:rsid w:val="14900FF3"/>
    <w:rsid w:val="14C10CA0"/>
    <w:rsid w:val="14F8407D"/>
    <w:rsid w:val="15087B2B"/>
    <w:rsid w:val="152C0D1B"/>
    <w:rsid w:val="15447579"/>
    <w:rsid w:val="15767B58"/>
    <w:rsid w:val="158A77F0"/>
    <w:rsid w:val="15A765F4"/>
    <w:rsid w:val="15B47D77"/>
    <w:rsid w:val="15D078F9"/>
    <w:rsid w:val="164107F7"/>
    <w:rsid w:val="167C0D32"/>
    <w:rsid w:val="16B34B25"/>
    <w:rsid w:val="16FF7D6A"/>
    <w:rsid w:val="17173F85"/>
    <w:rsid w:val="175C5903"/>
    <w:rsid w:val="179D7CAF"/>
    <w:rsid w:val="183F0D66"/>
    <w:rsid w:val="18521EF4"/>
    <w:rsid w:val="18A40BC9"/>
    <w:rsid w:val="18BF5A03"/>
    <w:rsid w:val="18F2402A"/>
    <w:rsid w:val="19056169"/>
    <w:rsid w:val="19067AD5"/>
    <w:rsid w:val="19523729"/>
    <w:rsid w:val="1991739F"/>
    <w:rsid w:val="19CE23A1"/>
    <w:rsid w:val="19D12376"/>
    <w:rsid w:val="1A463554"/>
    <w:rsid w:val="1A61454A"/>
    <w:rsid w:val="1A8F7469"/>
    <w:rsid w:val="1AE17E2F"/>
    <w:rsid w:val="1B50523B"/>
    <w:rsid w:val="1B697EA8"/>
    <w:rsid w:val="1B852F33"/>
    <w:rsid w:val="1B9118D8"/>
    <w:rsid w:val="1BA3160C"/>
    <w:rsid w:val="1BFF4611"/>
    <w:rsid w:val="1C186942"/>
    <w:rsid w:val="1D0C72F2"/>
    <w:rsid w:val="1D2E3157"/>
    <w:rsid w:val="1D4B781B"/>
    <w:rsid w:val="1D74500E"/>
    <w:rsid w:val="1D9A2F05"/>
    <w:rsid w:val="1DBB4BA7"/>
    <w:rsid w:val="1E1C7453"/>
    <w:rsid w:val="1E7828DC"/>
    <w:rsid w:val="1E8C72C6"/>
    <w:rsid w:val="1EAE454F"/>
    <w:rsid w:val="1EB21A9C"/>
    <w:rsid w:val="1EC45B21"/>
    <w:rsid w:val="1ECE7A8E"/>
    <w:rsid w:val="1EE40C0E"/>
    <w:rsid w:val="1EF3606E"/>
    <w:rsid w:val="1EFD7285"/>
    <w:rsid w:val="1FD75D28"/>
    <w:rsid w:val="1FDA7D20"/>
    <w:rsid w:val="1FE12702"/>
    <w:rsid w:val="1FED554B"/>
    <w:rsid w:val="206C2914"/>
    <w:rsid w:val="206F2211"/>
    <w:rsid w:val="206F7D0E"/>
    <w:rsid w:val="20894ECA"/>
    <w:rsid w:val="208C08C0"/>
    <w:rsid w:val="20AA2B83"/>
    <w:rsid w:val="20B30E48"/>
    <w:rsid w:val="213C0ED8"/>
    <w:rsid w:val="218B6DCA"/>
    <w:rsid w:val="21C1459A"/>
    <w:rsid w:val="21C66054"/>
    <w:rsid w:val="22456F79"/>
    <w:rsid w:val="22657436"/>
    <w:rsid w:val="226E1771"/>
    <w:rsid w:val="22A77C33"/>
    <w:rsid w:val="22BE4F7D"/>
    <w:rsid w:val="22CE65EE"/>
    <w:rsid w:val="23140AB8"/>
    <w:rsid w:val="23256DAA"/>
    <w:rsid w:val="237763F3"/>
    <w:rsid w:val="237A0EA4"/>
    <w:rsid w:val="23847F75"/>
    <w:rsid w:val="239D3CDF"/>
    <w:rsid w:val="23B2192A"/>
    <w:rsid w:val="243C11D8"/>
    <w:rsid w:val="244B2752"/>
    <w:rsid w:val="24FC00E1"/>
    <w:rsid w:val="252512E3"/>
    <w:rsid w:val="25882E37"/>
    <w:rsid w:val="25A3780F"/>
    <w:rsid w:val="25B20DC9"/>
    <w:rsid w:val="25BF775B"/>
    <w:rsid w:val="2622355E"/>
    <w:rsid w:val="26482AC2"/>
    <w:rsid w:val="267A5FE7"/>
    <w:rsid w:val="26B80661"/>
    <w:rsid w:val="26C11862"/>
    <w:rsid w:val="26E1123A"/>
    <w:rsid w:val="26F60B6E"/>
    <w:rsid w:val="26FC3FD7"/>
    <w:rsid w:val="27315D1D"/>
    <w:rsid w:val="274041B2"/>
    <w:rsid w:val="27496A54"/>
    <w:rsid w:val="279558CC"/>
    <w:rsid w:val="279908E2"/>
    <w:rsid w:val="27AE2608"/>
    <w:rsid w:val="27C43035"/>
    <w:rsid w:val="27E20326"/>
    <w:rsid w:val="2829733C"/>
    <w:rsid w:val="283830DC"/>
    <w:rsid w:val="288A508E"/>
    <w:rsid w:val="289E3886"/>
    <w:rsid w:val="28C01A4F"/>
    <w:rsid w:val="28FC792E"/>
    <w:rsid w:val="29143B49"/>
    <w:rsid w:val="297B5976"/>
    <w:rsid w:val="297E3B7D"/>
    <w:rsid w:val="29E10124"/>
    <w:rsid w:val="29EF3C6E"/>
    <w:rsid w:val="2A781EB5"/>
    <w:rsid w:val="2A832D34"/>
    <w:rsid w:val="2AAF0753"/>
    <w:rsid w:val="2AE35581"/>
    <w:rsid w:val="2AE642C9"/>
    <w:rsid w:val="2B157704"/>
    <w:rsid w:val="2B253A23"/>
    <w:rsid w:val="2B4B159E"/>
    <w:rsid w:val="2BAC0068"/>
    <w:rsid w:val="2C4B7881"/>
    <w:rsid w:val="2C5030EA"/>
    <w:rsid w:val="2CD755B9"/>
    <w:rsid w:val="2D2970B8"/>
    <w:rsid w:val="2D384314"/>
    <w:rsid w:val="2D3B78F6"/>
    <w:rsid w:val="2D5B3AF4"/>
    <w:rsid w:val="2D8D3ECA"/>
    <w:rsid w:val="2DB41456"/>
    <w:rsid w:val="2DD155BD"/>
    <w:rsid w:val="2E045F3A"/>
    <w:rsid w:val="2E905A1F"/>
    <w:rsid w:val="2EBF6305"/>
    <w:rsid w:val="2EC92CDF"/>
    <w:rsid w:val="2ED81174"/>
    <w:rsid w:val="2EDF2503"/>
    <w:rsid w:val="2F015510"/>
    <w:rsid w:val="2F4A3E20"/>
    <w:rsid w:val="2FE61AC7"/>
    <w:rsid w:val="301F58A8"/>
    <w:rsid w:val="30444D13"/>
    <w:rsid w:val="30E7440A"/>
    <w:rsid w:val="30FA1876"/>
    <w:rsid w:val="312D57A8"/>
    <w:rsid w:val="31F84007"/>
    <w:rsid w:val="31FA1A73"/>
    <w:rsid w:val="323104BA"/>
    <w:rsid w:val="32582CF8"/>
    <w:rsid w:val="32A61EBA"/>
    <w:rsid w:val="32ED1692"/>
    <w:rsid w:val="33122EA7"/>
    <w:rsid w:val="33A1422B"/>
    <w:rsid w:val="33A87367"/>
    <w:rsid w:val="33EB08E8"/>
    <w:rsid w:val="342C5AFE"/>
    <w:rsid w:val="34360E17"/>
    <w:rsid w:val="35266C07"/>
    <w:rsid w:val="35470E02"/>
    <w:rsid w:val="35A41DB0"/>
    <w:rsid w:val="35D83DA9"/>
    <w:rsid w:val="35FE6A84"/>
    <w:rsid w:val="362508B5"/>
    <w:rsid w:val="36806379"/>
    <w:rsid w:val="36835A94"/>
    <w:rsid w:val="368D3148"/>
    <w:rsid w:val="36AE0ABB"/>
    <w:rsid w:val="37054AD1"/>
    <w:rsid w:val="375A12C0"/>
    <w:rsid w:val="377203B8"/>
    <w:rsid w:val="37910467"/>
    <w:rsid w:val="37E33064"/>
    <w:rsid w:val="37F05781"/>
    <w:rsid w:val="386E258E"/>
    <w:rsid w:val="38B12743"/>
    <w:rsid w:val="39070FD4"/>
    <w:rsid w:val="39311BAD"/>
    <w:rsid w:val="39521AD6"/>
    <w:rsid w:val="395B4E7C"/>
    <w:rsid w:val="397C3770"/>
    <w:rsid w:val="39EB4B32"/>
    <w:rsid w:val="39F2758E"/>
    <w:rsid w:val="3A655FB2"/>
    <w:rsid w:val="3A6C5593"/>
    <w:rsid w:val="3A7322CD"/>
    <w:rsid w:val="3A9647B8"/>
    <w:rsid w:val="3AC14045"/>
    <w:rsid w:val="3AE43D6C"/>
    <w:rsid w:val="3B5D312D"/>
    <w:rsid w:val="3B6C15C2"/>
    <w:rsid w:val="3B8A1D23"/>
    <w:rsid w:val="3BC65F1E"/>
    <w:rsid w:val="3BCA4695"/>
    <w:rsid w:val="3BEB5079"/>
    <w:rsid w:val="3C09304C"/>
    <w:rsid w:val="3C096E11"/>
    <w:rsid w:val="3C867CC7"/>
    <w:rsid w:val="3C8F37BA"/>
    <w:rsid w:val="3CF63839"/>
    <w:rsid w:val="3D09356D"/>
    <w:rsid w:val="3D1C4922"/>
    <w:rsid w:val="3D4A3641"/>
    <w:rsid w:val="3D5347E8"/>
    <w:rsid w:val="3D7824A0"/>
    <w:rsid w:val="3D995914"/>
    <w:rsid w:val="3E382D5B"/>
    <w:rsid w:val="3E512E62"/>
    <w:rsid w:val="3ED41958"/>
    <w:rsid w:val="3EFA0502"/>
    <w:rsid w:val="3EFE0783"/>
    <w:rsid w:val="3F570B59"/>
    <w:rsid w:val="3F577277"/>
    <w:rsid w:val="3F5E7474"/>
    <w:rsid w:val="3F9C53AA"/>
    <w:rsid w:val="3FCA68B7"/>
    <w:rsid w:val="3FD64037"/>
    <w:rsid w:val="402E2E54"/>
    <w:rsid w:val="404E573A"/>
    <w:rsid w:val="409C0254"/>
    <w:rsid w:val="40CF687B"/>
    <w:rsid w:val="40F265CE"/>
    <w:rsid w:val="40FC0CF2"/>
    <w:rsid w:val="4181740A"/>
    <w:rsid w:val="41AC2FA7"/>
    <w:rsid w:val="41C7679A"/>
    <w:rsid w:val="41F94893"/>
    <w:rsid w:val="42010CB6"/>
    <w:rsid w:val="42291FBB"/>
    <w:rsid w:val="42444AFC"/>
    <w:rsid w:val="42497F67"/>
    <w:rsid w:val="42562684"/>
    <w:rsid w:val="42786A9F"/>
    <w:rsid w:val="42890CAC"/>
    <w:rsid w:val="42CF1F5D"/>
    <w:rsid w:val="42DE4B54"/>
    <w:rsid w:val="42E67EAC"/>
    <w:rsid w:val="43065E58"/>
    <w:rsid w:val="43122A4F"/>
    <w:rsid w:val="43853221"/>
    <w:rsid w:val="43A22025"/>
    <w:rsid w:val="43D31B93"/>
    <w:rsid w:val="447D214A"/>
    <w:rsid w:val="44C53903"/>
    <w:rsid w:val="46196816"/>
    <w:rsid w:val="46342CDD"/>
    <w:rsid w:val="46431172"/>
    <w:rsid w:val="46671304"/>
    <w:rsid w:val="46BF7193"/>
    <w:rsid w:val="46D83FB0"/>
    <w:rsid w:val="46EA24C2"/>
    <w:rsid w:val="47221596"/>
    <w:rsid w:val="477A2191"/>
    <w:rsid w:val="477A5E97"/>
    <w:rsid w:val="478832E0"/>
    <w:rsid w:val="47993115"/>
    <w:rsid w:val="47CB141F"/>
    <w:rsid w:val="47DA69CD"/>
    <w:rsid w:val="47F6064A"/>
    <w:rsid w:val="480037BE"/>
    <w:rsid w:val="482F43E6"/>
    <w:rsid w:val="48654144"/>
    <w:rsid w:val="487F2935"/>
    <w:rsid w:val="48855A71"/>
    <w:rsid w:val="48C62921"/>
    <w:rsid w:val="49064E04"/>
    <w:rsid w:val="49115557"/>
    <w:rsid w:val="49221512"/>
    <w:rsid w:val="492434DC"/>
    <w:rsid w:val="496C7815"/>
    <w:rsid w:val="4974287C"/>
    <w:rsid w:val="497873C2"/>
    <w:rsid w:val="49BF4D69"/>
    <w:rsid w:val="4A0B1FA6"/>
    <w:rsid w:val="4A5676C5"/>
    <w:rsid w:val="4A6873F9"/>
    <w:rsid w:val="4AA470ED"/>
    <w:rsid w:val="4AA5474E"/>
    <w:rsid w:val="4B0C04AC"/>
    <w:rsid w:val="4B2C6678"/>
    <w:rsid w:val="4B9C70C6"/>
    <w:rsid w:val="4BAB1C93"/>
    <w:rsid w:val="4BBA2F9C"/>
    <w:rsid w:val="4BDA60D4"/>
    <w:rsid w:val="4BE64A79"/>
    <w:rsid w:val="4C04739B"/>
    <w:rsid w:val="4C115F9A"/>
    <w:rsid w:val="4C207F8B"/>
    <w:rsid w:val="4C831B11"/>
    <w:rsid w:val="4C95525D"/>
    <w:rsid w:val="4CDC02C0"/>
    <w:rsid w:val="4CEE1E37"/>
    <w:rsid w:val="4D180A9B"/>
    <w:rsid w:val="4D226C01"/>
    <w:rsid w:val="4D3B518A"/>
    <w:rsid w:val="4D62721D"/>
    <w:rsid w:val="4DA76E86"/>
    <w:rsid w:val="4DB36BDD"/>
    <w:rsid w:val="4DB56DF9"/>
    <w:rsid w:val="4DD03C33"/>
    <w:rsid w:val="4DEA4CF4"/>
    <w:rsid w:val="4E6879C7"/>
    <w:rsid w:val="4ED73208"/>
    <w:rsid w:val="4EEF00E8"/>
    <w:rsid w:val="4F3D70A6"/>
    <w:rsid w:val="4FA633E1"/>
    <w:rsid w:val="4FAE58AE"/>
    <w:rsid w:val="500A342C"/>
    <w:rsid w:val="50120532"/>
    <w:rsid w:val="5032028D"/>
    <w:rsid w:val="50E11FE6"/>
    <w:rsid w:val="50F66007"/>
    <w:rsid w:val="50FB0FC7"/>
    <w:rsid w:val="510065DD"/>
    <w:rsid w:val="51025EB1"/>
    <w:rsid w:val="51182254"/>
    <w:rsid w:val="51A96C75"/>
    <w:rsid w:val="51BB2504"/>
    <w:rsid w:val="51DA1917"/>
    <w:rsid w:val="523A78CD"/>
    <w:rsid w:val="52C048CE"/>
    <w:rsid w:val="52D56B62"/>
    <w:rsid w:val="52E15F9A"/>
    <w:rsid w:val="533A326E"/>
    <w:rsid w:val="53591FD4"/>
    <w:rsid w:val="535B0D71"/>
    <w:rsid w:val="53EA69D1"/>
    <w:rsid w:val="53F71F19"/>
    <w:rsid w:val="54492049"/>
    <w:rsid w:val="545255FD"/>
    <w:rsid w:val="54DA7990"/>
    <w:rsid w:val="54EF0E42"/>
    <w:rsid w:val="54FA3343"/>
    <w:rsid w:val="551F4FC7"/>
    <w:rsid w:val="553E5926"/>
    <w:rsid w:val="55CE174C"/>
    <w:rsid w:val="55DA1525"/>
    <w:rsid w:val="56053A03"/>
    <w:rsid w:val="5613290E"/>
    <w:rsid w:val="562A072F"/>
    <w:rsid w:val="56B259B1"/>
    <w:rsid w:val="56DD259F"/>
    <w:rsid w:val="56DF6C95"/>
    <w:rsid w:val="570C3DA6"/>
    <w:rsid w:val="572A43B4"/>
    <w:rsid w:val="57391A72"/>
    <w:rsid w:val="5765363E"/>
    <w:rsid w:val="57B1418D"/>
    <w:rsid w:val="57C2639A"/>
    <w:rsid w:val="584D2B97"/>
    <w:rsid w:val="58AC2BA6"/>
    <w:rsid w:val="594E6601"/>
    <w:rsid w:val="59D16397"/>
    <w:rsid w:val="59F90866"/>
    <w:rsid w:val="5A127D6D"/>
    <w:rsid w:val="5A5D684E"/>
    <w:rsid w:val="5A7A11AE"/>
    <w:rsid w:val="5AA93A49"/>
    <w:rsid w:val="5AB87C0C"/>
    <w:rsid w:val="5AE2592E"/>
    <w:rsid w:val="5AF54D54"/>
    <w:rsid w:val="5B112DF2"/>
    <w:rsid w:val="5B2C211E"/>
    <w:rsid w:val="5B667A98"/>
    <w:rsid w:val="5B9067AF"/>
    <w:rsid w:val="5B976A81"/>
    <w:rsid w:val="5BB406F0"/>
    <w:rsid w:val="5C571220"/>
    <w:rsid w:val="5C9B540C"/>
    <w:rsid w:val="5CB63FF4"/>
    <w:rsid w:val="5D015BB7"/>
    <w:rsid w:val="5D2D0A72"/>
    <w:rsid w:val="5D700646"/>
    <w:rsid w:val="5D753EAF"/>
    <w:rsid w:val="5D7D7551"/>
    <w:rsid w:val="5DA16A52"/>
    <w:rsid w:val="5DB26EB1"/>
    <w:rsid w:val="5E39312E"/>
    <w:rsid w:val="5E4915C3"/>
    <w:rsid w:val="5E5502C9"/>
    <w:rsid w:val="5F646D0F"/>
    <w:rsid w:val="5F652DB2"/>
    <w:rsid w:val="5F69359F"/>
    <w:rsid w:val="602B0459"/>
    <w:rsid w:val="604F643C"/>
    <w:rsid w:val="60B92E1E"/>
    <w:rsid w:val="60BF3DBF"/>
    <w:rsid w:val="60FD202F"/>
    <w:rsid w:val="611E0FEE"/>
    <w:rsid w:val="612754C0"/>
    <w:rsid w:val="613F79AF"/>
    <w:rsid w:val="61816051"/>
    <w:rsid w:val="61AB6E96"/>
    <w:rsid w:val="61CC46CD"/>
    <w:rsid w:val="62210161"/>
    <w:rsid w:val="624B5D7A"/>
    <w:rsid w:val="62A35127"/>
    <w:rsid w:val="631B2E02"/>
    <w:rsid w:val="6375489A"/>
    <w:rsid w:val="63D80CF3"/>
    <w:rsid w:val="64CA764A"/>
    <w:rsid w:val="64DD2A65"/>
    <w:rsid w:val="650A1380"/>
    <w:rsid w:val="65BA4B55"/>
    <w:rsid w:val="65DD3A72"/>
    <w:rsid w:val="668E7B0D"/>
    <w:rsid w:val="66A24270"/>
    <w:rsid w:val="66D5737F"/>
    <w:rsid w:val="66E856F1"/>
    <w:rsid w:val="67145733"/>
    <w:rsid w:val="6764746E"/>
    <w:rsid w:val="67D2638A"/>
    <w:rsid w:val="681F38AA"/>
    <w:rsid w:val="686C7083"/>
    <w:rsid w:val="68C34857"/>
    <w:rsid w:val="691427CE"/>
    <w:rsid w:val="69825989"/>
    <w:rsid w:val="699A3C09"/>
    <w:rsid w:val="69C44C29"/>
    <w:rsid w:val="69D607D4"/>
    <w:rsid w:val="6A04634A"/>
    <w:rsid w:val="6A6262E0"/>
    <w:rsid w:val="6A9736B6"/>
    <w:rsid w:val="6B59096C"/>
    <w:rsid w:val="6C066D46"/>
    <w:rsid w:val="6C1C572C"/>
    <w:rsid w:val="6C517895"/>
    <w:rsid w:val="6C797762"/>
    <w:rsid w:val="6CA65FF8"/>
    <w:rsid w:val="6D323B6A"/>
    <w:rsid w:val="6D8E6FF3"/>
    <w:rsid w:val="6DB47058"/>
    <w:rsid w:val="6DDA6C97"/>
    <w:rsid w:val="6E2C680B"/>
    <w:rsid w:val="6E5518BE"/>
    <w:rsid w:val="6E86620E"/>
    <w:rsid w:val="6E975E98"/>
    <w:rsid w:val="6EE3336E"/>
    <w:rsid w:val="6EE36ECA"/>
    <w:rsid w:val="6EE449F0"/>
    <w:rsid w:val="6F307C36"/>
    <w:rsid w:val="6F857F81"/>
    <w:rsid w:val="6FA128E1"/>
    <w:rsid w:val="6FB46AB9"/>
    <w:rsid w:val="6FFB1860"/>
    <w:rsid w:val="70082960"/>
    <w:rsid w:val="70422316"/>
    <w:rsid w:val="70805004"/>
    <w:rsid w:val="708F0B65"/>
    <w:rsid w:val="70E138DD"/>
    <w:rsid w:val="719F48F9"/>
    <w:rsid w:val="71DD7E2B"/>
    <w:rsid w:val="72135D18"/>
    <w:rsid w:val="7214383E"/>
    <w:rsid w:val="725D6F93"/>
    <w:rsid w:val="72D1785E"/>
    <w:rsid w:val="736B748E"/>
    <w:rsid w:val="73942E89"/>
    <w:rsid w:val="73B34EF3"/>
    <w:rsid w:val="73B61A65"/>
    <w:rsid w:val="73CF2113"/>
    <w:rsid w:val="73CF62A9"/>
    <w:rsid w:val="740A6037"/>
    <w:rsid w:val="746803C6"/>
    <w:rsid w:val="746C5BB4"/>
    <w:rsid w:val="7482736A"/>
    <w:rsid w:val="74B35591"/>
    <w:rsid w:val="74E56917"/>
    <w:rsid w:val="74F11C15"/>
    <w:rsid w:val="751A5B91"/>
    <w:rsid w:val="754D09F1"/>
    <w:rsid w:val="75C3637C"/>
    <w:rsid w:val="75C55EA3"/>
    <w:rsid w:val="760A0EE8"/>
    <w:rsid w:val="762F0C47"/>
    <w:rsid w:val="765B7C8E"/>
    <w:rsid w:val="76AC2297"/>
    <w:rsid w:val="76AC673B"/>
    <w:rsid w:val="76D812DE"/>
    <w:rsid w:val="77560455"/>
    <w:rsid w:val="77BA6C36"/>
    <w:rsid w:val="77BC55B0"/>
    <w:rsid w:val="77CB35B3"/>
    <w:rsid w:val="780879A1"/>
    <w:rsid w:val="78DC77CF"/>
    <w:rsid w:val="78F06000"/>
    <w:rsid w:val="79116D2A"/>
    <w:rsid w:val="7A773F9E"/>
    <w:rsid w:val="7A777060"/>
    <w:rsid w:val="7A9B3489"/>
    <w:rsid w:val="7B6F1AE6"/>
    <w:rsid w:val="7B7A6E08"/>
    <w:rsid w:val="7B7B66DC"/>
    <w:rsid w:val="7BCA6D11"/>
    <w:rsid w:val="7C093CE8"/>
    <w:rsid w:val="7C626554"/>
    <w:rsid w:val="7C6F7FEF"/>
    <w:rsid w:val="7CED53B8"/>
    <w:rsid w:val="7D0E5A5A"/>
    <w:rsid w:val="7D354625"/>
    <w:rsid w:val="7D933F7B"/>
    <w:rsid w:val="7DFA7D8C"/>
    <w:rsid w:val="7E040C0B"/>
    <w:rsid w:val="7E2B6198"/>
    <w:rsid w:val="7E4E1E86"/>
    <w:rsid w:val="7EF5194D"/>
    <w:rsid w:val="7F01514B"/>
    <w:rsid w:val="7F0D421A"/>
    <w:rsid w:val="7F4219EB"/>
    <w:rsid w:val="7F945FBF"/>
    <w:rsid w:val="7FCA4FD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00" w:lineRule="exact"/>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1"/>
    <w:pPr>
      <w:ind w:left="1846" w:right="1919"/>
      <w:jc w:val="center"/>
      <w:outlineLvl w:val="0"/>
    </w:pPr>
    <w:rPr>
      <w:b/>
      <w:bCs/>
      <w:sz w:val="38"/>
      <w:szCs w:val="38"/>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qFormat/>
    <w:uiPriority w:val="0"/>
    <w:pPr>
      <w:keepNext/>
      <w:spacing w:line="460" w:lineRule="exact"/>
      <w:outlineLvl w:val="2"/>
    </w:pPr>
    <w:rPr>
      <w:rFonts w:ascii="宋体" w:hAnsi="宋体"/>
      <w:b/>
      <w:bCs/>
      <w:sz w:val="30"/>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5">
    <w:name w:val="table of authorities"/>
    <w:basedOn w:val="1"/>
    <w:next w:val="1"/>
    <w:unhideWhenUsed/>
    <w:qFormat/>
    <w:uiPriority w:val="99"/>
    <w:pPr>
      <w:tabs>
        <w:tab w:val="decimal" w:pos="315"/>
        <w:tab w:val="left" w:pos="630"/>
      </w:tabs>
      <w:ind w:left="420" w:leftChars="200"/>
    </w:pPr>
  </w:style>
  <w:style w:type="paragraph" w:styleId="6">
    <w:name w:val="Normal Indent"/>
    <w:basedOn w:val="1"/>
    <w:qFormat/>
    <w:uiPriority w:val="0"/>
    <w:pPr>
      <w:widowControl w:val="0"/>
      <w:ind w:firstLine="420"/>
      <w:jc w:val="both"/>
    </w:pPr>
    <w:rPr>
      <w:kern w:val="2"/>
    </w:rPr>
  </w:style>
  <w:style w:type="paragraph" w:styleId="7">
    <w:name w:val="annotation text"/>
    <w:basedOn w:val="1"/>
    <w:qFormat/>
    <w:uiPriority w:val="0"/>
    <w:pPr>
      <w:jc w:val="left"/>
    </w:pPr>
  </w:style>
  <w:style w:type="paragraph" w:styleId="8">
    <w:name w:val="Body Text"/>
    <w:basedOn w:val="1"/>
    <w:next w:val="9"/>
    <w:qFormat/>
    <w:uiPriority w:val="0"/>
    <w:pPr>
      <w:spacing w:after="120"/>
    </w:pPr>
  </w:style>
  <w:style w:type="paragraph" w:customStyle="1" w:styleId="9">
    <w:name w:val="Default"/>
    <w:next w:val="1"/>
    <w:qFormat/>
    <w:uiPriority w:val="0"/>
    <w:pPr>
      <w:widowControl w:val="0"/>
      <w:autoSpaceDE w:val="0"/>
      <w:autoSpaceDN w:val="0"/>
      <w:adjustRightInd w:val="0"/>
    </w:pPr>
    <w:rPr>
      <w:rFonts w:ascii="Calibri" w:hAnsi="Calibri" w:eastAsia="宋体" w:cs="Times New Roman"/>
      <w:color w:val="000000"/>
      <w:sz w:val="24"/>
      <w:szCs w:val="22"/>
      <w:lang w:val="en-US" w:eastAsia="zh-CN" w:bidi="ar-SA"/>
    </w:rPr>
  </w:style>
  <w:style w:type="paragraph" w:styleId="10">
    <w:name w:val="Body Text Indent"/>
    <w:basedOn w:val="1"/>
    <w:qFormat/>
    <w:uiPriority w:val="0"/>
    <w:pPr>
      <w:ind w:firstLine="540"/>
    </w:pPr>
    <w:rPr>
      <w:sz w:val="24"/>
      <w:szCs w:val="20"/>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Body Text 2"/>
    <w:basedOn w:val="1"/>
    <w:unhideWhenUsed/>
    <w:qFormat/>
    <w:uiPriority w:val="99"/>
    <w:pPr>
      <w:spacing w:after="120" w:line="480" w:lineRule="auto"/>
    </w:pPr>
  </w:style>
  <w:style w:type="paragraph" w:styleId="14">
    <w:name w:val="Body Text First Indent 2"/>
    <w:basedOn w:val="10"/>
    <w:next w:val="1"/>
    <w:unhideWhenUsed/>
    <w:qFormat/>
    <w:uiPriority w:val="99"/>
    <w:pPr>
      <w:ind w:firstLine="420" w:firstLineChars="200"/>
    </w:pPr>
  </w:style>
  <w:style w:type="table" w:styleId="16">
    <w:name w:val="Table Grid"/>
    <w:basedOn w:val="15"/>
    <w:qFormat/>
    <w:uiPriority w:val="0"/>
    <w:pPr>
      <w:widowControl w:val="0"/>
      <w:spacing w:line="400" w:lineRule="exact"/>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大标题"/>
    <w:basedOn w:val="1"/>
    <w:next w:val="14"/>
    <w:qFormat/>
    <w:uiPriority w:val="0"/>
    <w:pPr>
      <w:jc w:val="center"/>
    </w:pPr>
    <w:rPr>
      <w:rFonts w:ascii="Arial" w:hAnsi="Arial" w:eastAsia="宋体"/>
      <w:b/>
      <w:sz w:val="28"/>
      <w:szCs w:val="24"/>
    </w:rPr>
  </w:style>
  <w:style w:type="paragraph" w:customStyle="1" w:styleId="19">
    <w:name w:val="正文1"/>
    <w:qFormat/>
    <w:uiPriority w:val="0"/>
    <w:pPr>
      <w:widowControl w:val="0"/>
      <w:adjustRightInd w:val="0"/>
      <w:spacing w:line="360" w:lineRule="atLeast"/>
      <w:jc w:val="both"/>
      <w:textAlignment w:val="baseline"/>
    </w:pPr>
    <w:rPr>
      <w:rFonts w:ascii="宋体" w:hAnsi="Times New Roman" w:eastAsia="宋体" w:cs="Times New Roman"/>
      <w:sz w:val="24"/>
      <w:lang w:val="en-US" w:eastAsia="zh-CN" w:bidi="ar-SA"/>
    </w:rPr>
  </w:style>
  <w:style w:type="paragraph" w:customStyle="1" w:styleId="20">
    <w:name w:val="列出段落1"/>
    <w:basedOn w:val="1"/>
    <w:qFormat/>
    <w:uiPriority w:val="34"/>
    <w:pPr>
      <w:ind w:firstLine="420" w:firstLineChars="200"/>
    </w:pPr>
  </w:style>
  <w:style w:type="paragraph" w:customStyle="1" w:styleId="21">
    <w:name w:val="投标正文小四"/>
    <w:basedOn w:val="1"/>
    <w:qFormat/>
    <w:uiPriority w:val="0"/>
    <w:pPr>
      <w:spacing w:line="360" w:lineRule="auto"/>
      <w:ind w:firstLine="200" w:firstLineChars="200"/>
    </w:pPr>
    <w:rPr>
      <w:sz w:val="24"/>
    </w:rPr>
  </w:style>
  <w:style w:type="paragraph" w:styleId="22">
    <w:name w:val="List Paragraph"/>
    <w:basedOn w:val="1"/>
    <w:qFormat/>
    <w:uiPriority w:val="34"/>
    <w:pPr>
      <w:ind w:firstLine="420" w:firstLineChars="200"/>
    </w:pPr>
  </w:style>
  <w:style w:type="paragraph" w:customStyle="1" w:styleId="23">
    <w:name w:val="列出段落"/>
    <w:basedOn w:val="1"/>
    <w:qFormat/>
    <w:uiPriority w:val="0"/>
    <w:pPr>
      <w:ind w:firstLine="420" w:firstLineChars="200"/>
    </w:pPr>
    <w:rPr>
      <w:rFonts w:ascii="Calibri" w:hAnsi="Calibri" w:cs="宋体"/>
    </w:rPr>
  </w:style>
  <w:style w:type="paragraph" w:customStyle="1" w:styleId="24">
    <w:name w:val="列表段落2"/>
    <w:basedOn w:val="1"/>
    <w:qFormat/>
    <w:uiPriority w:val="0"/>
    <w:pPr>
      <w:ind w:firstLine="420" w:firstLineChars="200"/>
    </w:pPr>
    <w:rPr>
      <w:szCs w:val="21"/>
    </w:rPr>
  </w:style>
  <w:style w:type="paragraph" w:customStyle="1" w:styleId="25">
    <w:name w:val="列表段落1"/>
    <w:basedOn w:val="1"/>
    <w:qFormat/>
    <w:uiPriority w:val="0"/>
    <w:pPr>
      <w:ind w:firstLine="420" w:firstLineChars="200"/>
    </w:pPr>
    <w:rPr>
      <w:szCs w:val="21"/>
    </w:rPr>
  </w:style>
  <w:style w:type="paragraph" w:customStyle="1" w:styleId="26">
    <w:name w:val="null3"/>
    <w:hidden/>
    <w:qFormat/>
    <w:uiPriority w:val="0"/>
    <w:rPr>
      <w:rFonts w:hint="eastAsia" w:asciiTheme="minorHAnsi" w:hAnsiTheme="minorHAnsi" w:eastAsiaTheme="minorEastAsia" w:cstheme="minorBidi"/>
      <w:lang w:val="en-US" w:eastAsia="zh-Hans"/>
    </w:rPr>
  </w:style>
  <w:style w:type="paragraph" w:customStyle="1" w:styleId="27">
    <w:name w:val="Table Text"/>
    <w:basedOn w:val="1"/>
    <w:semiHidden/>
    <w:qFormat/>
    <w:uiPriority w:val="0"/>
    <w:rPr>
      <w:rFonts w:ascii="宋体" w:hAnsi="宋体" w:eastAsia="宋体" w:cs="宋体"/>
      <w:sz w:val="20"/>
      <w:szCs w:val="20"/>
      <w:lang w:val="en-US" w:eastAsia="en-US" w:bidi="ar-SA"/>
    </w:rPr>
  </w:style>
  <w:style w:type="table" w:customStyle="1" w:styleId="2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1688</Words>
  <Characters>1714</Characters>
  <Lines>0</Lines>
  <Paragraphs>0</Paragraphs>
  <TotalTime>218</TotalTime>
  <ScaleCrop>false</ScaleCrop>
  <LinksUpToDate>false</LinksUpToDate>
  <CharactersWithSpaces>1859</CharactersWithSpaces>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2024-05-24T01:11:00Z</dcterms:created>
  <dc:creator>Administrator</dc:creator>
  <cp:lastModifiedBy>述</cp:lastModifiedBy>
  <dcterms:modified xsi:type="dcterms:W3CDTF">2026-06-08T03:20:01Z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ICV">
    <vt:lpwstr>0869738F97764BCAAA6D75A10602D893_13</vt:lpwstr>
  </property>
  <property fmtid="{D5CDD505-2E9C-101B-9397-08002B2CF9AE}" pid="4" name="KSOTemplateDocerSaveRecord">
    <vt:lpwstr>eyJoZGlkIjoiZDZhMmUyNGNkNjFmMDg5OTBkMGE5NzVmMzUyMDY2ZWUifQ==</vt:lpwstr>
  </property>
</Properties>
</file>