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80AF">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11E91185">
      <w:pPr>
        <w:spacing w:line="360" w:lineRule="auto"/>
        <w:jc w:val="center"/>
        <w:rPr>
          <w:b/>
          <w:color w:val="auto"/>
          <w:sz w:val="36"/>
          <w:szCs w:val="36"/>
        </w:rPr>
      </w:pPr>
      <w:r>
        <w:rPr>
          <w:b/>
          <w:color w:val="auto"/>
          <w:sz w:val="36"/>
          <w:szCs w:val="36"/>
        </w:rPr>
        <w:t>用户需求书</w:t>
      </w:r>
    </w:p>
    <w:p w14:paraId="005B67C6">
      <w:pPr>
        <w:pStyle w:val="9"/>
        <w:ind w:firstLine="482"/>
        <w:rPr>
          <w:rFonts w:hint="eastAsia"/>
          <w:b/>
          <w:color w:val="auto"/>
          <w:highlight w:val="none"/>
        </w:rPr>
      </w:pPr>
    </w:p>
    <w:p w14:paraId="2E9B1525">
      <w:pPr>
        <w:pStyle w:val="9"/>
        <w:ind w:firstLine="482"/>
        <w:rPr>
          <w:b/>
          <w:color w:val="auto"/>
          <w:highlight w:val="none"/>
        </w:rPr>
      </w:pPr>
      <w:r>
        <w:rPr>
          <w:rFonts w:hint="eastAsia"/>
          <w:b/>
          <w:color w:val="auto"/>
          <w:highlight w:val="none"/>
        </w:rPr>
        <w:t>总则</w:t>
      </w:r>
    </w:p>
    <w:p w14:paraId="15510185">
      <w:pPr>
        <w:pStyle w:val="9"/>
        <w:ind w:firstLine="480"/>
        <w:rPr>
          <w:color w:val="auto"/>
          <w:highlight w:val="none"/>
        </w:rPr>
      </w:pPr>
      <w:r>
        <w:rPr>
          <w:rFonts w:hint="eastAsia"/>
          <w:color w:val="auto"/>
          <w:highlight w:val="none"/>
        </w:rPr>
        <w:t>1、成交供应商必须按国家、行业的标准及采购文件的要求对本项目提供相应的货物及服务。</w:t>
      </w:r>
    </w:p>
    <w:p w14:paraId="2B4675C2">
      <w:pPr>
        <w:pStyle w:val="9"/>
        <w:ind w:firstLine="480"/>
        <w:rPr>
          <w:color w:val="auto"/>
          <w:highlight w:val="none"/>
        </w:rPr>
      </w:pPr>
      <w:r>
        <w:rPr>
          <w:rFonts w:hint="eastAsia"/>
          <w:color w:val="auto"/>
          <w:highlight w:val="none"/>
        </w:rPr>
        <w:t>2、《用户需求书》中凡有“★”标识的内容条款(如有)被视为实质性响应项目、指标；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。凡有“▲”的内容（如有）为重点评审项目，供应商必须对该标识项目按照要求进行真实应答描述。</w:t>
      </w:r>
    </w:p>
    <w:p w14:paraId="1C8C9FAA">
      <w:pPr>
        <w:pStyle w:val="9"/>
        <w:ind w:firstLine="480"/>
        <w:rPr>
          <w:color w:val="auto"/>
          <w:highlight w:val="none"/>
        </w:rPr>
      </w:pPr>
      <w:r>
        <w:rPr>
          <w:rFonts w:hint="eastAsia"/>
          <w:color w:val="auto"/>
          <w:highlight w:val="none"/>
          <w:lang w:val="en-US" w:eastAsia="zh-CN"/>
        </w:rPr>
        <w:t>3</w:t>
      </w:r>
      <w:r>
        <w:rPr>
          <w:rFonts w:hint="eastAsia"/>
          <w:color w:val="auto"/>
          <w:highlight w:val="none"/>
        </w:rPr>
        <w:t>、本项目由成交供应商负责采购文件对成交供应商要求的一切事宜及责任。响应报价中不得包含采购文件要求以外的内容，否则，在评</w:t>
      </w:r>
      <w:r>
        <w:rPr>
          <w:rFonts w:hint="eastAsia"/>
          <w:color w:val="auto"/>
          <w:highlight w:val="none"/>
          <w:lang w:val="en-US" w:eastAsia="zh-CN"/>
        </w:rPr>
        <w:t>审</w:t>
      </w:r>
      <w:r>
        <w:rPr>
          <w:rFonts w:hint="eastAsia"/>
          <w:color w:val="auto"/>
          <w:highlight w:val="none"/>
        </w:rPr>
        <w:t>时不予核减；若</w:t>
      </w:r>
      <w:r>
        <w:rPr>
          <w:rFonts w:hint="eastAsia"/>
          <w:color w:val="auto"/>
          <w:highlight w:val="none"/>
          <w:lang w:val="en-US" w:eastAsia="zh-CN"/>
        </w:rPr>
        <w:t>响应</w:t>
      </w:r>
      <w:r>
        <w:rPr>
          <w:rFonts w:hint="eastAsia"/>
          <w:color w:val="auto"/>
          <w:highlight w:val="none"/>
        </w:rPr>
        <w:t>报价有缺漏项的，缺漏项部分的价格视为已包含在</w:t>
      </w:r>
      <w:r>
        <w:rPr>
          <w:rFonts w:hint="eastAsia"/>
          <w:color w:val="auto"/>
          <w:highlight w:val="none"/>
          <w:lang w:val="en-US" w:eastAsia="zh-CN"/>
        </w:rPr>
        <w:t>响应</w:t>
      </w:r>
      <w:r>
        <w:rPr>
          <w:rFonts w:hint="eastAsia"/>
          <w:color w:val="auto"/>
          <w:highlight w:val="none"/>
        </w:rPr>
        <w:t>报价中，成交后不作任何调整，采购人将不再支付任何费用。</w:t>
      </w:r>
    </w:p>
    <w:p w14:paraId="31E3338A">
      <w:pPr>
        <w:keepNext w:val="0"/>
        <w:keepLines w:val="0"/>
        <w:pageBreakBefore w:val="0"/>
        <w:widowControl/>
        <w:numPr>
          <w:ilvl w:val="-1"/>
          <w:numId w:val="0"/>
        </w:numPr>
        <w:tabs>
          <w:tab w:val="left" w:pos="636"/>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4、本项目不允许提交备选方案，不允许联合体响应、转包或分包。</w:t>
      </w:r>
    </w:p>
    <w:p w14:paraId="1C2A6ECE">
      <w:pPr>
        <w:pStyle w:val="2"/>
        <w:rPr>
          <w:rFonts w:hint="eastAsia"/>
          <w:lang w:val="en-US" w:eastAsia="zh-CN"/>
        </w:rPr>
      </w:pPr>
      <w:r>
        <w:rPr>
          <w:rFonts w:hint="eastAsia" w:eastAsia="宋体" w:cs="Times New Roman"/>
          <w:color w:val="auto"/>
          <w:kern w:val="2"/>
          <w:sz w:val="24"/>
          <w:szCs w:val="24"/>
          <w:highlight w:val="none"/>
          <w:lang w:val="en-US" w:eastAsia="zh-CN" w:bidi="ar-SA"/>
        </w:rPr>
        <w:t xml:space="preserve">  </w:t>
      </w:r>
    </w:p>
    <w:p w14:paraId="0C9AC9C8">
      <w:pPr>
        <w:pStyle w:val="9"/>
        <w:numPr>
          <w:ilvl w:val="-1"/>
          <w:numId w:val="0"/>
        </w:numPr>
        <w:spacing w:beforeLines="0" w:afterLines="0" w:line="360" w:lineRule="exact"/>
        <w:ind w:firstLine="482" w:firstLineChars="200"/>
        <w:rPr>
          <w:rFonts w:hint="eastAsia" w:ascii="Times New Roman" w:hAnsi="Times New Roman" w:eastAsia="宋体" w:cs="Times New Roman"/>
          <w:color w:val="000000"/>
          <w:szCs w:val="24"/>
          <w:highlight w:val="none"/>
        </w:rPr>
      </w:pPr>
      <w:r>
        <w:rPr>
          <w:rFonts w:hint="eastAsia" w:ascii="Times New Roman" w:hAnsi="Times New Roman" w:eastAsia="宋体" w:cs="Times New Roman"/>
          <w:b/>
          <w:bCs w:val="0"/>
          <w:color w:val="auto"/>
          <w:kern w:val="2"/>
          <w:sz w:val="24"/>
          <w:szCs w:val="24"/>
          <w:highlight w:val="none"/>
          <w:lang w:val="en-US" w:eastAsia="zh-CN" w:bidi="ar-SA"/>
        </w:rPr>
        <w:t>一、项目名称：</w:t>
      </w:r>
      <w:r>
        <w:rPr>
          <w:rFonts w:hint="eastAsia" w:ascii="Times New Roman" w:hAnsi="Times New Roman" w:eastAsia="宋体" w:cs="Times New Roman"/>
          <w:color w:val="000000"/>
          <w:szCs w:val="24"/>
          <w:highlight w:val="none"/>
        </w:rPr>
        <w:t>中山市黄圃人民医院</w:t>
      </w:r>
      <w:r>
        <w:rPr>
          <w:rFonts w:hint="eastAsia" w:ascii="Times New Roman" w:hAnsi="Times New Roman" w:eastAsia="宋体" w:cs="Times New Roman"/>
          <w:color w:val="000000"/>
          <w:szCs w:val="24"/>
          <w:highlight w:val="none"/>
          <w:lang w:eastAsia="zh-CN"/>
        </w:rPr>
        <w:t>药品供应科遮雨棚</w:t>
      </w:r>
      <w:r>
        <w:rPr>
          <w:rFonts w:hint="eastAsia" w:ascii="Times New Roman" w:hAnsi="Times New Roman" w:eastAsia="宋体" w:cs="Times New Roman"/>
          <w:color w:val="000000"/>
          <w:szCs w:val="24"/>
          <w:highlight w:val="none"/>
        </w:rPr>
        <w:t>采购项目</w:t>
      </w:r>
    </w:p>
    <w:p w14:paraId="03898799">
      <w:pPr>
        <w:pStyle w:val="9"/>
        <w:numPr>
          <w:ilvl w:val="-1"/>
          <w:numId w:val="0"/>
        </w:numPr>
        <w:spacing w:beforeLines="0" w:afterLines="0" w:line="360" w:lineRule="exact"/>
        <w:ind w:firstLine="482" w:firstLineChars="200"/>
        <w:rPr>
          <w:rFonts w:hint="eastAsia" w:ascii="Times New Roman" w:hAnsi="Times New Roman" w:eastAsia="宋体" w:cs="Times New Roman"/>
          <w:color w:val="000000"/>
          <w:szCs w:val="24"/>
          <w:highlight w:val="none"/>
          <w:lang w:val="en-US" w:eastAsia="zh-CN"/>
        </w:rPr>
      </w:pPr>
      <w:r>
        <w:rPr>
          <w:rFonts w:hint="eastAsia" w:ascii="Times New Roman" w:hAnsi="Times New Roman" w:eastAsia="宋体" w:cs="Times New Roman"/>
          <w:b/>
          <w:color w:val="auto"/>
          <w:sz w:val="24"/>
          <w:szCs w:val="24"/>
          <w:highlight w:val="none"/>
          <w:lang w:eastAsia="zh-CN"/>
        </w:rPr>
        <w:t>二、项目编号：</w:t>
      </w:r>
      <w:r>
        <w:rPr>
          <w:rFonts w:hint="eastAsia" w:ascii="Times New Roman" w:hAnsi="Times New Roman" w:eastAsia="宋体" w:cs="Times New Roman"/>
          <w:color w:val="000000"/>
          <w:szCs w:val="24"/>
          <w:highlight w:val="none"/>
          <w:lang w:eastAsia="zh-CN"/>
        </w:rPr>
        <w:t>PYCG-ZW-202606-03</w:t>
      </w:r>
    </w:p>
    <w:p w14:paraId="65C721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Times New Roman" w:hAnsi="Times New Roman" w:eastAsia="宋体" w:cs="Times New Roman"/>
          <w:b/>
          <w:bCs w:val="0"/>
          <w:color w:val="auto"/>
          <w:kern w:val="2"/>
          <w:sz w:val="24"/>
          <w:szCs w:val="24"/>
          <w:highlight w:val="none"/>
          <w:lang w:val="en-US" w:eastAsia="zh-CN" w:bidi="ar-SA"/>
        </w:rPr>
      </w:pPr>
      <w:r>
        <w:rPr>
          <w:rFonts w:hint="eastAsia" w:ascii="Times New Roman" w:hAnsi="Times New Roman" w:eastAsia="宋体" w:cs="Times New Roman"/>
          <w:b/>
          <w:bCs w:val="0"/>
          <w:color w:val="auto"/>
          <w:kern w:val="2"/>
          <w:sz w:val="24"/>
          <w:szCs w:val="24"/>
          <w:highlight w:val="none"/>
          <w:lang w:val="en-US" w:eastAsia="zh-CN" w:bidi="ar-SA"/>
        </w:rPr>
        <w:t>三、项目内容及要求：</w:t>
      </w:r>
    </w:p>
    <w:p w14:paraId="5FAA6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1.采购内容：</w:t>
      </w:r>
    </w:p>
    <w:tbl>
      <w:tblPr>
        <w:tblStyle w:val="5"/>
        <w:tblW w:w="10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945"/>
        <w:gridCol w:w="705"/>
        <w:gridCol w:w="607"/>
        <w:gridCol w:w="935"/>
        <w:gridCol w:w="4890"/>
        <w:gridCol w:w="2313"/>
      </w:tblGrid>
      <w:tr w14:paraId="2CCA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29CD1493">
            <w:pPr>
              <w:pStyle w:val="10"/>
              <w:keepLines/>
              <w:widowControl/>
              <w:spacing w:beforeLines="0" w:afterLines="0"/>
              <w:jc w:val="center"/>
              <w:rPr>
                <w:rFonts w:ascii="宋体" w:hAnsi="宋体" w:cs="宋体"/>
                <w:b/>
                <w:bCs/>
                <w:sz w:val="28"/>
                <w:szCs w:val="28"/>
              </w:rPr>
            </w:pPr>
            <w:r>
              <w:rPr>
                <w:rFonts w:hint="eastAsia" w:ascii="宋体" w:hAnsi="宋体" w:cs="宋体"/>
                <w:b/>
                <w:bCs/>
                <w:sz w:val="28"/>
                <w:szCs w:val="28"/>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072B4542">
            <w:pPr>
              <w:pStyle w:val="10"/>
              <w:keepLines/>
              <w:spacing w:beforeLines="0" w:afterLines="0"/>
              <w:jc w:val="center"/>
              <w:rPr>
                <w:rFonts w:ascii="宋体" w:hAnsi="宋体" w:cs="宋体"/>
                <w:b/>
                <w:bCs/>
                <w:sz w:val="28"/>
                <w:szCs w:val="28"/>
              </w:rPr>
            </w:pPr>
            <w:r>
              <w:rPr>
                <w:rFonts w:hint="eastAsia" w:ascii="宋体" w:hAnsi="宋体" w:cs="宋体"/>
                <w:b/>
                <w:bCs/>
                <w:sz w:val="28"/>
                <w:szCs w:val="28"/>
              </w:rPr>
              <w:t>产品名称</w:t>
            </w:r>
          </w:p>
        </w:tc>
        <w:tc>
          <w:tcPr>
            <w:tcW w:w="705" w:type="dxa"/>
            <w:tcBorders>
              <w:top w:val="single" w:color="auto" w:sz="4" w:space="0"/>
              <w:left w:val="single" w:color="auto" w:sz="4" w:space="0"/>
              <w:bottom w:val="single" w:color="auto" w:sz="4" w:space="0"/>
              <w:right w:val="single" w:color="auto" w:sz="4" w:space="0"/>
            </w:tcBorders>
            <w:vAlign w:val="center"/>
          </w:tcPr>
          <w:p w14:paraId="36595D0C">
            <w:pPr>
              <w:pStyle w:val="10"/>
              <w:keepLines/>
              <w:widowControl/>
              <w:spacing w:beforeLines="0" w:afterLines="0"/>
              <w:jc w:val="center"/>
              <w:rPr>
                <w:rFonts w:ascii="宋体" w:hAnsi="宋体" w:cs="宋体"/>
                <w:b/>
                <w:bCs/>
                <w:sz w:val="28"/>
                <w:szCs w:val="28"/>
              </w:rPr>
            </w:pPr>
            <w:r>
              <w:rPr>
                <w:rFonts w:hint="eastAsia" w:ascii="宋体" w:hAnsi="宋体" w:cs="宋体"/>
                <w:b/>
                <w:bCs/>
                <w:sz w:val="28"/>
                <w:szCs w:val="28"/>
              </w:rPr>
              <w:t>单位</w:t>
            </w:r>
          </w:p>
        </w:tc>
        <w:tc>
          <w:tcPr>
            <w:tcW w:w="607" w:type="dxa"/>
            <w:tcBorders>
              <w:top w:val="single" w:color="auto" w:sz="4" w:space="0"/>
              <w:left w:val="single" w:color="auto" w:sz="4" w:space="0"/>
              <w:bottom w:val="single" w:color="auto" w:sz="4" w:space="0"/>
              <w:right w:val="single" w:color="auto" w:sz="4" w:space="0"/>
            </w:tcBorders>
            <w:vAlign w:val="center"/>
          </w:tcPr>
          <w:p w14:paraId="108584D8">
            <w:pPr>
              <w:pStyle w:val="10"/>
              <w:keepLines/>
              <w:spacing w:beforeLines="0" w:afterLines="0"/>
              <w:jc w:val="center"/>
              <w:rPr>
                <w:rFonts w:ascii="宋体" w:hAnsi="宋体" w:cs="宋体"/>
                <w:b/>
                <w:bCs/>
                <w:sz w:val="28"/>
                <w:szCs w:val="28"/>
              </w:rPr>
            </w:pPr>
            <w:r>
              <w:rPr>
                <w:rFonts w:hint="eastAsia" w:ascii="宋体" w:hAnsi="宋体" w:cs="宋体"/>
                <w:b/>
                <w:bCs/>
                <w:sz w:val="28"/>
                <w:szCs w:val="28"/>
              </w:rPr>
              <w:t>数量</w:t>
            </w:r>
          </w:p>
        </w:tc>
        <w:tc>
          <w:tcPr>
            <w:tcW w:w="935" w:type="dxa"/>
            <w:tcBorders>
              <w:top w:val="single" w:color="auto" w:sz="4" w:space="0"/>
              <w:left w:val="single" w:color="auto" w:sz="4" w:space="0"/>
              <w:bottom w:val="single" w:color="auto" w:sz="4" w:space="0"/>
              <w:right w:val="single" w:color="auto" w:sz="4" w:space="0"/>
            </w:tcBorders>
            <w:vAlign w:val="center"/>
          </w:tcPr>
          <w:p w14:paraId="53994C01">
            <w:pPr>
              <w:pStyle w:val="10"/>
              <w:keepLines/>
              <w:widowControl/>
              <w:spacing w:beforeLines="0" w:afterLines="0"/>
              <w:jc w:val="center"/>
              <w:rPr>
                <w:rFonts w:hint="eastAsia" w:hAnsi="宋体" w:cs="宋体"/>
                <w:b/>
                <w:bCs/>
                <w:sz w:val="28"/>
                <w:szCs w:val="28"/>
                <w:lang w:eastAsia="zh-CN"/>
              </w:rPr>
            </w:pPr>
            <w:r>
              <w:rPr>
                <w:rFonts w:hint="eastAsia" w:hAnsi="宋体" w:cs="宋体"/>
                <w:b/>
                <w:bCs/>
                <w:sz w:val="28"/>
                <w:szCs w:val="28"/>
                <w:lang w:eastAsia="zh-CN"/>
              </w:rPr>
              <w:t>预算金额（元）</w:t>
            </w:r>
          </w:p>
        </w:tc>
        <w:tc>
          <w:tcPr>
            <w:tcW w:w="4890" w:type="dxa"/>
            <w:tcBorders>
              <w:top w:val="single" w:color="auto" w:sz="4" w:space="0"/>
              <w:left w:val="single" w:color="auto" w:sz="4" w:space="0"/>
              <w:bottom w:val="single" w:color="auto" w:sz="4" w:space="0"/>
              <w:right w:val="single" w:color="auto" w:sz="4" w:space="0"/>
            </w:tcBorders>
            <w:vAlign w:val="center"/>
          </w:tcPr>
          <w:p w14:paraId="567FE7FB">
            <w:pPr>
              <w:pStyle w:val="10"/>
              <w:keepLines/>
              <w:widowControl/>
              <w:spacing w:beforeLines="0" w:afterLines="0"/>
              <w:jc w:val="center"/>
              <w:rPr>
                <w:rFonts w:hint="eastAsia" w:hAnsi="宋体" w:cs="宋体"/>
                <w:b/>
                <w:bCs/>
                <w:sz w:val="28"/>
                <w:szCs w:val="28"/>
                <w:lang w:eastAsia="zh-CN"/>
              </w:rPr>
            </w:pPr>
            <w:r>
              <w:rPr>
                <w:rFonts w:hint="eastAsia" w:hAnsi="宋体" w:cs="宋体"/>
                <w:b/>
                <w:bCs/>
                <w:sz w:val="28"/>
                <w:szCs w:val="28"/>
                <w:lang w:eastAsia="zh-CN"/>
              </w:rPr>
              <w:t>参数要求</w:t>
            </w:r>
          </w:p>
        </w:tc>
        <w:tc>
          <w:tcPr>
            <w:tcW w:w="2313" w:type="dxa"/>
            <w:tcBorders>
              <w:top w:val="single" w:color="auto" w:sz="4" w:space="0"/>
              <w:left w:val="single" w:color="auto" w:sz="4" w:space="0"/>
              <w:bottom w:val="single" w:color="auto" w:sz="4" w:space="0"/>
              <w:right w:val="single" w:color="auto" w:sz="4" w:space="0"/>
            </w:tcBorders>
            <w:vAlign w:val="center"/>
          </w:tcPr>
          <w:p w14:paraId="0C642684">
            <w:pPr>
              <w:pStyle w:val="10"/>
              <w:keepLines/>
              <w:widowControl/>
              <w:spacing w:beforeLines="0" w:afterLines="0"/>
              <w:jc w:val="center"/>
              <w:rPr>
                <w:rFonts w:hint="eastAsia" w:hAnsi="宋体" w:cs="宋体"/>
                <w:b/>
                <w:bCs/>
                <w:sz w:val="28"/>
                <w:szCs w:val="28"/>
                <w:lang w:eastAsia="zh-CN"/>
              </w:rPr>
            </w:pPr>
            <w:r>
              <w:rPr>
                <w:rFonts w:hint="eastAsia" w:hAnsi="宋体" w:cs="宋体"/>
                <w:b/>
                <w:bCs/>
                <w:sz w:val="28"/>
                <w:szCs w:val="28"/>
                <w:lang w:eastAsia="zh-CN"/>
              </w:rPr>
              <w:t>参考图片</w:t>
            </w:r>
          </w:p>
        </w:tc>
      </w:tr>
      <w:tr w14:paraId="6B62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3"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73C4BA03">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945" w:type="dxa"/>
            <w:tcBorders>
              <w:top w:val="single" w:color="auto" w:sz="4" w:space="0"/>
              <w:left w:val="single" w:color="auto" w:sz="4" w:space="0"/>
              <w:bottom w:val="single" w:color="auto" w:sz="4" w:space="0"/>
              <w:right w:val="single" w:color="auto" w:sz="4" w:space="0"/>
            </w:tcBorders>
            <w:vAlign w:val="center"/>
          </w:tcPr>
          <w:p w14:paraId="62DD15F4">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遮雨棚</w:t>
            </w:r>
          </w:p>
        </w:tc>
        <w:tc>
          <w:tcPr>
            <w:tcW w:w="705" w:type="dxa"/>
            <w:tcBorders>
              <w:top w:val="single" w:color="auto" w:sz="4" w:space="0"/>
              <w:left w:val="single" w:color="auto" w:sz="4" w:space="0"/>
              <w:bottom w:val="single" w:color="auto" w:sz="4" w:space="0"/>
              <w:right w:val="single" w:color="auto" w:sz="4" w:space="0"/>
            </w:tcBorders>
            <w:vAlign w:val="center"/>
          </w:tcPr>
          <w:p w14:paraId="420865E1">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台</w:t>
            </w:r>
          </w:p>
        </w:tc>
        <w:tc>
          <w:tcPr>
            <w:tcW w:w="607" w:type="dxa"/>
            <w:tcBorders>
              <w:top w:val="single" w:color="auto" w:sz="4" w:space="0"/>
              <w:left w:val="single" w:color="auto" w:sz="4" w:space="0"/>
              <w:bottom w:val="single" w:color="auto" w:sz="4" w:space="0"/>
              <w:right w:val="single" w:color="auto" w:sz="4" w:space="0"/>
            </w:tcBorders>
            <w:vAlign w:val="center"/>
          </w:tcPr>
          <w:p w14:paraId="3D1C8A4D">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935" w:type="dxa"/>
            <w:tcBorders>
              <w:top w:val="single" w:color="auto" w:sz="4" w:space="0"/>
              <w:left w:val="single" w:color="auto" w:sz="4" w:space="0"/>
              <w:bottom w:val="single" w:color="auto" w:sz="4" w:space="0"/>
              <w:right w:val="single" w:color="auto" w:sz="4" w:space="0"/>
            </w:tcBorders>
            <w:vAlign w:val="center"/>
          </w:tcPr>
          <w:p w14:paraId="62FB0A5B">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3000</w:t>
            </w:r>
          </w:p>
        </w:tc>
        <w:tc>
          <w:tcPr>
            <w:tcW w:w="4890" w:type="dxa"/>
            <w:tcBorders>
              <w:top w:val="single" w:color="auto" w:sz="4" w:space="0"/>
              <w:left w:val="single" w:color="auto" w:sz="4" w:space="0"/>
              <w:bottom w:val="single" w:color="auto" w:sz="4" w:space="0"/>
              <w:right w:val="single" w:color="auto" w:sz="4" w:space="0"/>
            </w:tcBorders>
            <w:vAlign w:val="center"/>
          </w:tcPr>
          <w:tbl>
            <w:tblPr>
              <w:tblStyle w:val="5"/>
              <w:tblW w:w="4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5"/>
            </w:tblGrid>
            <w:tr w14:paraId="069D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7" w:hRule="atLeast"/>
                <w:jc w:val="center"/>
              </w:trPr>
              <w:tc>
                <w:tcPr>
                  <w:tcW w:w="4695" w:type="dxa"/>
                  <w:tcBorders>
                    <w:top w:val="single" w:color="auto" w:sz="4" w:space="0"/>
                    <w:left w:val="single" w:color="auto" w:sz="4" w:space="0"/>
                    <w:bottom w:val="single" w:color="auto" w:sz="4" w:space="0"/>
                    <w:right w:val="single" w:color="auto" w:sz="4" w:space="0"/>
                  </w:tcBorders>
                  <w:vAlign w:val="center"/>
                </w:tcPr>
                <w:p w14:paraId="16931808">
                  <w:pPr>
                    <w:pStyle w:val="10"/>
                    <w:keepNext w:val="0"/>
                    <w:keepLines/>
                    <w:pageBreakBefore w:val="0"/>
                    <w:widowControl w:val="0"/>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展开</w:t>
                  </w:r>
                  <w:r>
                    <w:rPr>
                      <w:rFonts w:hint="eastAsia" w:asciiTheme="minorEastAsia" w:hAnsiTheme="minorEastAsia" w:eastAsiaTheme="minorEastAsia" w:cstheme="minorEastAsia"/>
                      <w:sz w:val="22"/>
                      <w:szCs w:val="22"/>
                      <w:lang w:val="en-US" w:eastAsia="zh-CN"/>
                    </w:rPr>
                    <w:t>尺寸：280cm*220cm（宽×深）。</w:t>
                  </w:r>
                </w:p>
                <w:p w14:paraId="3695E53B">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zh-CN"/>
                    </w:rPr>
                    <w:t>性能要求：</w:t>
                  </w:r>
                </w:p>
                <w:p w14:paraId="0B19E33E">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①高强度</w:t>
                  </w:r>
                  <w:bookmarkStart w:id="0" w:name="OLE_LINK1"/>
                  <w:r>
                    <w:rPr>
                      <w:rFonts w:hint="eastAsia" w:asciiTheme="minorEastAsia" w:hAnsiTheme="minorEastAsia" w:eastAsiaTheme="minorEastAsia" w:cstheme="minorEastAsia"/>
                      <w:sz w:val="22"/>
                      <w:szCs w:val="22"/>
                      <w:lang w:val="en-US" w:eastAsia="zh-CN"/>
                    </w:rPr>
                    <w:t>户外PVC刀刮</w:t>
                  </w:r>
                  <w:bookmarkEnd w:id="0"/>
                  <w:r>
                    <w:rPr>
                      <w:rFonts w:hint="eastAsia" w:asciiTheme="minorEastAsia" w:hAnsiTheme="minorEastAsia" w:eastAsiaTheme="minorEastAsia" w:cstheme="minorEastAsia"/>
                      <w:sz w:val="22"/>
                      <w:szCs w:val="22"/>
                      <w:lang w:val="en-US" w:eastAsia="zh-CN"/>
                    </w:rPr>
                    <w:t>涂层或汽车级哑光PU涂层布；</w:t>
                  </w:r>
                </w:p>
                <w:p w14:paraId="26D1D6B1">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②防紫外线：UPF50+，有效阻挡紫外线，防止高温天气下药品因暴晒变质；</w:t>
                  </w:r>
                </w:p>
                <w:p w14:paraId="2BFFE66C">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③抗老化、耐腐蚀，适应-20℃至60℃环境，不易褪色变脆。</w:t>
                  </w:r>
                </w:p>
                <w:p w14:paraId="0100924E">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0" w:firstLine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bidi="ar-SA"/>
                    </w:rPr>
                    <w:t>3、</w:t>
                  </w:r>
                  <w:r>
                    <w:rPr>
                      <w:rFonts w:hint="eastAsia" w:asciiTheme="minorEastAsia" w:hAnsiTheme="minorEastAsia" w:eastAsiaTheme="minorEastAsia" w:cstheme="minorEastAsia"/>
                      <w:sz w:val="22"/>
                      <w:szCs w:val="22"/>
                      <w:lang w:val="en-US" w:eastAsia="zh-CN"/>
                    </w:rPr>
                    <w:t>骨架结构：</w:t>
                  </w:r>
                </w:p>
                <w:p w14:paraId="55F21C4A">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①加厚铝合金骨架，表面静电喷涂防腐处理；</w:t>
                  </w:r>
                </w:p>
                <w:p w14:paraId="4B19E855">
                  <w:pPr>
                    <w:pStyle w:val="10"/>
                    <w:keepNext w:val="0"/>
                    <w:keepLines/>
                    <w:pageBreakBefore w:val="0"/>
                    <w:widowControl w:val="0"/>
                    <w:numPr>
                      <w:ilvl w:val="0"/>
                      <w:numId w:val="0"/>
                    </w:numPr>
                    <w:kinsoku/>
                    <w:wordWrap/>
                    <w:overflowPunct/>
                    <w:topLinePunct w:val="0"/>
                    <w:autoSpaceDE/>
                    <w:autoSpaceDN/>
                    <w:bidi w:val="0"/>
                    <w:adjustRightInd/>
                    <w:snapToGrid/>
                    <w:spacing w:beforeLines="0" w:afterLines="0" w:line="500" w:lineRule="exact"/>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②铰链/连接件：采用 304 不锈钢防锈螺丝及尼龙耐磨静音铰链，确保长期收展无异响、不生锈。</w:t>
                  </w:r>
                </w:p>
                <w:p w14:paraId="4E52286F">
                  <w:pPr>
                    <w:pStyle w:val="10"/>
                    <w:keepNext w:val="0"/>
                    <w:keepLines/>
                    <w:pageBreakBefore w:val="0"/>
                    <w:widowControl w:val="0"/>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4、控制方式：电动自由伸缩、标配遥控器控制（有效距离≥30米）、预留雨水感应器接口。</w:t>
                  </w:r>
                </w:p>
                <w:p w14:paraId="634AB260">
                  <w:pPr>
                    <w:pStyle w:val="10"/>
                    <w:keepNext w:val="0"/>
                    <w:keepLines/>
                    <w:pageBreakBefore w:val="0"/>
                    <w:widowControl w:val="0"/>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其他功能：展开状态下抗风≥6级，收起状态下抗风≥8级、表面防污涂层、具备国家规定的阻燃标准（离火自熄）等。</w:t>
                  </w:r>
                </w:p>
              </w:tc>
            </w:tr>
          </w:tbl>
          <w:p w14:paraId="01826B9D">
            <w:pPr>
              <w:pStyle w:val="10"/>
              <w:keepNext w:val="0"/>
              <w:keepLines/>
              <w:pageBreakBefore w:val="0"/>
              <w:widowControl w:val="0"/>
              <w:kinsoku/>
              <w:wordWrap/>
              <w:overflowPunct/>
              <w:topLinePunct w:val="0"/>
              <w:autoSpaceDE/>
              <w:autoSpaceDN/>
              <w:bidi w:val="0"/>
              <w:adjustRightInd/>
              <w:snapToGrid/>
              <w:spacing w:beforeLines="0" w:afterLines="0" w:line="240" w:lineRule="auto"/>
              <w:ind w:firstLine="280" w:firstLineChars="100"/>
              <w:jc w:val="left"/>
              <w:textAlignment w:val="auto"/>
              <w:rPr>
                <w:rFonts w:hint="default" w:asciiTheme="minorEastAsia" w:hAnsiTheme="minorEastAsia" w:eastAsiaTheme="minorEastAsia" w:cstheme="minorEastAsia"/>
                <w:sz w:val="28"/>
                <w:szCs w:val="28"/>
                <w:lang w:val="en-US"/>
              </w:rPr>
            </w:pPr>
          </w:p>
        </w:tc>
        <w:tc>
          <w:tcPr>
            <w:tcW w:w="2313" w:type="dxa"/>
            <w:tcBorders>
              <w:top w:val="single" w:color="auto" w:sz="4" w:space="0"/>
              <w:left w:val="single" w:color="auto" w:sz="4" w:space="0"/>
              <w:bottom w:val="single" w:color="auto" w:sz="4" w:space="0"/>
              <w:right w:val="single" w:color="auto" w:sz="4" w:space="0"/>
            </w:tcBorders>
            <w:vAlign w:val="center"/>
          </w:tcPr>
          <w:p w14:paraId="178B307C">
            <w:pPr>
              <w:pStyle w:val="10"/>
              <w:keepNext w:val="0"/>
              <w:keepLines/>
              <w:pageBreakBefore w:val="0"/>
              <w:widowControl w:val="0"/>
              <w:kinsoku/>
              <w:wordWrap/>
              <w:overflowPunct/>
              <w:topLinePunct w:val="0"/>
              <w:autoSpaceDE/>
              <w:autoSpaceDN/>
              <w:bidi w:val="0"/>
              <w:adjustRightInd/>
              <w:snapToGrid/>
              <w:spacing w:beforeLines="0" w:afterLines="0" w:line="240" w:lineRule="auto"/>
              <w:ind w:firstLine="280" w:firstLineChars="100"/>
              <w:jc w:val="left"/>
              <w:textAlignment w:val="auto"/>
              <w:rPr>
                <w:rFonts w:hint="eastAsia" w:asciiTheme="minorEastAsia" w:hAnsiTheme="minorEastAsia" w:eastAsiaTheme="minorEastAsia" w:cstheme="minorEastAsia"/>
                <w:sz w:val="28"/>
                <w:szCs w:val="28"/>
                <w:lang w:val="en-US" w:eastAsia="zh-CN"/>
              </w:rPr>
            </w:pPr>
            <w:bookmarkStart w:id="1" w:name="_GoBack"/>
            <w:bookmarkEnd w:id="1"/>
            <w:r>
              <w:rPr>
                <w:rFonts w:hint="eastAsia" w:asciiTheme="minorEastAsia" w:hAnsiTheme="minorEastAsia" w:eastAsiaTheme="minorEastAsia" w:cstheme="minorEastAsia"/>
                <w:sz w:val="28"/>
                <w:szCs w:val="28"/>
                <w:lang w:val="en-US" w:eastAsia="zh-CN"/>
              </w:rPr>
              <w:drawing>
                <wp:inline distT="0" distB="0" distL="114300" distR="114300">
                  <wp:extent cx="1093470" cy="1134110"/>
                  <wp:effectExtent l="0" t="0" r="11430" b="8890"/>
                  <wp:docPr id="1" name="图片 1" descr="DC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IM(2)"/>
                          <pic:cNvPicPr>
                            <a:picLocks noChangeAspect="1"/>
                          </pic:cNvPicPr>
                        </pic:nvPicPr>
                        <pic:blipFill>
                          <a:blip r:embed="rId4"/>
                          <a:stretch>
                            <a:fillRect/>
                          </a:stretch>
                        </pic:blipFill>
                        <pic:spPr>
                          <a:xfrm>
                            <a:off x="0" y="0"/>
                            <a:ext cx="1093470" cy="1134110"/>
                          </a:xfrm>
                          <a:prstGeom prst="rect">
                            <a:avLst/>
                          </a:prstGeom>
                        </pic:spPr>
                      </pic:pic>
                    </a:graphicData>
                  </a:graphic>
                </wp:inline>
              </w:drawing>
            </w:r>
          </w:p>
          <w:p w14:paraId="6628A7A4">
            <w:pPr>
              <w:pStyle w:val="10"/>
              <w:keepNext w:val="0"/>
              <w:keepLines/>
              <w:pageBreakBefore w:val="0"/>
              <w:widowControl w:val="0"/>
              <w:kinsoku/>
              <w:wordWrap/>
              <w:overflowPunct/>
              <w:topLinePunct w:val="0"/>
              <w:autoSpaceDE/>
              <w:autoSpaceDN/>
              <w:bidi w:val="0"/>
              <w:adjustRightInd/>
              <w:snapToGrid/>
              <w:spacing w:beforeLines="0" w:afterLines="0" w:line="240" w:lineRule="auto"/>
              <w:ind w:firstLine="280" w:firstLineChars="1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drawing>
                <wp:inline distT="0" distB="0" distL="114300" distR="114300">
                  <wp:extent cx="1084580" cy="1466850"/>
                  <wp:effectExtent l="0" t="0" r="1270" b="0"/>
                  <wp:docPr id="2" name="图片 2" descr="DC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IM"/>
                          <pic:cNvPicPr>
                            <a:picLocks noChangeAspect="1"/>
                          </pic:cNvPicPr>
                        </pic:nvPicPr>
                        <pic:blipFill>
                          <a:blip r:embed="rId5"/>
                          <a:stretch>
                            <a:fillRect/>
                          </a:stretch>
                        </pic:blipFill>
                        <pic:spPr>
                          <a:xfrm>
                            <a:off x="0" y="0"/>
                            <a:ext cx="1084580" cy="1466850"/>
                          </a:xfrm>
                          <a:prstGeom prst="rect">
                            <a:avLst/>
                          </a:prstGeom>
                        </pic:spPr>
                      </pic:pic>
                    </a:graphicData>
                  </a:graphic>
                </wp:inline>
              </w:drawing>
            </w:r>
          </w:p>
        </w:tc>
      </w:tr>
    </w:tbl>
    <w:p w14:paraId="7B87B5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eastAsia" w:ascii="Times New Roman" w:hAnsi="Times New Roman" w:eastAsia="宋体" w:cs="Times New Roman"/>
          <w:b w:val="0"/>
          <w:bCs/>
          <w:color w:val="auto"/>
          <w:kern w:val="2"/>
          <w:sz w:val="24"/>
          <w:szCs w:val="22"/>
          <w:highlight w:val="none"/>
          <w:lang w:val="en-US" w:eastAsia="zh-CN" w:bidi="ar-SA"/>
        </w:rPr>
        <w:t>按国家规定的产品三包期限要求。</w:t>
      </w:r>
    </w:p>
    <w:p w14:paraId="38E005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3.供应商提供的货物质量必须符合国家相关标准、行业标准及采购文件要求。</w:t>
      </w:r>
    </w:p>
    <w:p w14:paraId="2BD47A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4.供应商提供的货物必须为原装出厂、正版、全新未启封、无污、表面无划痕、无缺陷隐患的产品，来源渠道合法，各项技术指标符合国家有关质量检测和环保标准，且无任何的侵权行为，货物在开箱检验时必须完好，无破损。</w:t>
      </w:r>
    </w:p>
    <w:p w14:paraId="7B8EB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5.供应商提供的货物须按国家规定的标准及保护措施进行包装，包装材料、标识和随货资料应符合国家的有关要求。凡由于包装不良造成的损失和由此产生的费用均由供应商承担。</w:t>
      </w:r>
    </w:p>
    <w:p w14:paraId="74D99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四、商务要求</w:t>
      </w:r>
    </w:p>
    <w:tbl>
      <w:tblPr>
        <w:tblStyle w:val="5"/>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6"/>
        <w:gridCol w:w="6814"/>
      </w:tblGrid>
      <w:tr w14:paraId="4EC2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473CF41E">
            <w:pPr>
              <w:pStyle w:val="10"/>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交货期</w:t>
            </w:r>
          </w:p>
        </w:tc>
        <w:tc>
          <w:tcPr>
            <w:tcW w:w="6814" w:type="dxa"/>
            <w:vAlign w:val="top"/>
          </w:tcPr>
          <w:p w14:paraId="253A8BCC">
            <w:pPr>
              <w:pStyle w:val="1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自签订合同后</w:t>
            </w:r>
            <w:r>
              <w:rPr>
                <w:rFonts w:hint="eastAsia" w:cs="Tahoma"/>
                <w:b w:val="0"/>
                <w:bCs/>
                <w:color w:val="auto"/>
                <w:kern w:val="28"/>
                <w:sz w:val="21"/>
                <w:szCs w:val="21"/>
                <w:highlight w:val="none"/>
                <w:lang w:val="en-US" w:eastAsia="zh-CN"/>
              </w:rPr>
              <w:t>7</w:t>
            </w:r>
            <w:r>
              <w:rPr>
                <w:rFonts w:hint="eastAsia" w:cs="Tahoma"/>
                <w:b w:val="0"/>
                <w:bCs/>
                <w:color w:val="auto"/>
                <w:kern w:val="28"/>
                <w:sz w:val="21"/>
                <w:szCs w:val="21"/>
                <w:highlight w:val="none"/>
                <w:lang w:eastAsia="zh-CN"/>
              </w:rPr>
              <w:t>天内完成安装调试。</w:t>
            </w:r>
          </w:p>
        </w:tc>
      </w:tr>
      <w:tr w14:paraId="3C3A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6D541875">
            <w:pPr>
              <w:pStyle w:val="10"/>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交货地点</w:t>
            </w:r>
          </w:p>
        </w:tc>
        <w:tc>
          <w:tcPr>
            <w:tcW w:w="6814" w:type="dxa"/>
            <w:vAlign w:val="top"/>
          </w:tcPr>
          <w:p w14:paraId="18AA9329">
            <w:pPr>
              <w:pStyle w:val="1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采购人指定地点。</w:t>
            </w:r>
          </w:p>
        </w:tc>
      </w:tr>
      <w:tr w14:paraId="37C16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0FD70E2B">
            <w:pPr>
              <w:pStyle w:val="10"/>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814" w:type="dxa"/>
            <w:vAlign w:val="top"/>
          </w:tcPr>
          <w:p w14:paraId="7BE6FDE6">
            <w:pPr>
              <w:pStyle w:val="10"/>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14:paraId="3D7FD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1686" w:type="dxa"/>
            <w:vAlign w:val="center"/>
          </w:tcPr>
          <w:p w14:paraId="714E907B">
            <w:pPr>
              <w:pStyle w:val="10"/>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ascii="宋体" w:hAnsi="Times New Roman" w:eastAsia="宋体" w:cs="Tahoma"/>
                <w:b/>
                <w:bCs w:val="0"/>
                <w:color w:val="auto"/>
                <w:kern w:val="28"/>
                <w:sz w:val="21"/>
                <w:szCs w:val="21"/>
                <w:highlight w:val="none"/>
                <w:lang w:val="en-US" w:eastAsia="zh-CN" w:bidi="ar-SA"/>
              </w:rPr>
              <w:t>付款方式</w:t>
            </w:r>
          </w:p>
        </w:tc>
        <w:tc>
          <w:tcPr>
            <w:tcW w:w="6814" w:type="dxa"/>
            <w:vAlign w:val="top"/>
          </w:tcPr>
          <w:p w14:paraId="03DA19C0">
            <w:pPr>
              <w:pStyle w:val="9"/>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1.本项目的款项以人民币</w:t>
            </w:r>
            <w:r>
              <w:rPr>
                <w:rFonts w:hint="eastAsia" w:ascii="宋体" w:cs="Tahoma"/>
                <w:b w:val="0"/>
                <w:bCs/>
                <w:color w:val="auto"/>
                <w:kern w:val="28"/>
                <w:sz w:val="21"/>
                <w:szCs w:val="21"/>
                <w:highlight w:val="none"/>
                <w:lang w:val="en-US" w:eastAsia="zh-CN" w:bidi="ar-SA"/>
              </w:rPr>
              <w:t>银行转账</w:t>
            </w:r>
            <w:r>
              <w:rPr>
                <w:rFonts w:hint="eastAsia" w:ascii="宋体" w:hAnsi="Times New Roman" w:eastAsia="宋体" w:cs="Tahoma"/>
                <w:b w:val="0"/>
                <w:bCs/>
                <w:color w:val="auto"/>
                <w:kern w:val="28"/>
                <w:sz w:val="21"/>
                <w:szCs w:val="21"/>
                <w:highlight w:val="none"/>
                <w:lang w:val="en-US" w:eastAsia="zh-CN" w:bidi="ar-SA"/>
              </w:rPr>
              <w:t>方式支付；</w:t>
            </w:r>
          </w:p>
          <w:p w14:paraId="39D8C53D">
            <w:pPr>
              <w:pStyle w:val="9"/>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w:t>
            </w:r>
            <w:r>
              <w:rPr>
                <w:rFonts w:hint="eastAsia" w:ascii="宋体" w:hAnsi="Times New Roman" w:eastAsia="宋体" w:cs="Tahoma"/>
                <w:b w:val="0"/>
                <w:bCs/>
                <w:color w:val="auto"/>
                <w:kern w:val="28"/>
                <w:sz w:val="21"/>
                <w:szCs w:val="21"/>
                <w:highlight w:val="none"/>
                <w:lang w:val="en-US" w:eastAsia="zh-CN" w:bidi="ar-SA"/>
              </w:rPr>
              <w:t>成交供应商将货物交付、安装调试完毕，经采购人验收合格且收到核对无误的全额发票等申请款项资料后，采购人60日内支付合同款的100%给成交供应商。</w:t>
            </w:r>
          </w:p>
          <w:p w14:paraId="32F9EDDE">
            <w:pPr>
              <w:pStyle w:val="9"/>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3.因采购人使用的是财政资金，按政府审批流程支付，若审批延迟则相应款项到账延迟，且不视为采购人违约。</w:t>
            </w:r>
          </w:p>
        </w:tc>
      </w:tr>
      <w:tr w14:paraId="35F0A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1686" w:type="dxa"/>
            <w:vAlign w:val="center"/>
          </w:tcPr>
          <w:p w14:paraId="3D4C4841">
            <w:pPr>
              <w:pStyle w:val="10"/>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val="en-US" w:eastAsia="zh-CN" w:bidi="ar-SA"/>
              </w:rPr>
              <w:t>验收要求</w:t>
            </w:r>
          </w:p>
        </w:tc>
        <w:tc>
          <w:tcPr>
            <w:tcW w:w="6814" w:type="dxa"/>
            <w:vAlign w:val="top"/>
          </w:tcPr>
          <w:p w14:paraId="76BBDFC3">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1.货物安装调试完成后5个工作日内验收，验收应在采购人和成交供应商双方共同参加下进行，验收标准按照国家有关标准。</w:t>
            </w:r>
          </w:p>
          <w:p w14:paraId="1B267539">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验收时如发现所交付的货物有短装、次品、损坏或其它不符合本合同规定之情形者，采购人应做出详尽的现场记录，或由采购人和成交供应商双方签署备忘录。此现场记录或备忘录可用作补充、缺失和更换损坏部件的有效证据。若发生上述情形，采购人有权要求退货或换货，由此产生的有关费用由成交供应商承担，验收期限相应后延。</w:t>
            </w:r>
          </w:p>
          <w:p w14:paraId="39C2448C">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3.如果货物运输和安装调试过程中因事故造成货物短缺、损坏，成交供应商应及时安排换装，以保证货物安装调试的成功完成。换货的相关费用由成交供应商承担。</w:t>
            </w:r>
          </w:p>
          <w:p w14:paraId="5A7C4AB2">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4.成交供应商保证提供的货物不侵犯任何第三方的专利、商标或版权。否则，成交供应商须承担对第三方的专利或版权的侵权责任并承担因此而发生的所有费用。</w:t>
            </w:r>
          </w:p>
        </w:tc>
      </w:tr>
      <w:tr w14:paraId="3273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28D6478D">
            <w:pPr>
              <w:pStyle w:val="10"/>
              <w:pageBreakBefore w:val="0"/>
              <w:kinsoku/>
              <w:overflowPunct/>
              <w:bidi w:val="0"/>
              <w:spacing w:line="360" w:lineRule="auto"/>
              <w:jc w:val="center"/>
              <w:rPr>
                <w:rFonts w:hint="eastAsia" w:eastAsia="宋体" w:cs="Tahoma"/>
                <w:b/>
                <w:bCs w:val="0"/>
                <w:color w:val="auto"/>
                <w:kern w:val="28"/>
                <w:sz w:val="21"/>
                <w:szCs w:val="21"/>
                <w:highlight w:val="none"/>
                <w:lang w:eastAsia="zh-CN"/>
              </w:rPr>
            </w:pPr>
            <w:r>
              <w:rPr>
                <w:rFonts w:hint="eastAsia" w:cs="Tahoma"/>
                <w:b/>
                <w:bCs w:val="0"/>
                <w:color w:val="auto"/>
                <w:kern w:val="28"/>
                <w:sz w:val="21"/>
                <w:szCs w:val="21"/>
                <w:highlight w:val="none"/>
                <w:lang w:eastAsia="zh-CN"/>
              </w:rPr>
              <w:t>质保期</w:t>
            </w:r>
          </w:p>
        </w:tc>
        <w:tc>
          <w:tcPr>
            <w:tcW w:w="6814" w:type="dxa"/>
            <w:vAlign w:val="top"/>
          </w:tcPr>
          <w:p w14:paraId="1D4DB425">
            <w:pPr>
              <w:pStyle w:val="10"/>
              <w:pageBreakBefore w:val="0"/>
              <w:kinsoku/>
              <w:overflowPunct/>
              <w:bidi w:val="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质保期≥</w:t>
            </w:r>
            <w:r>
              <w:rPr>
                <w:rFonts w:hint="eastAsia" w:cs="Tahoma"/>
                <w:b w:val="0"/>
                <w:bCs/>
                <w:color w:val="auto"/>
                <w:kern w:val="28"/>
                <w:sz w:val="21"/>
                <w:szCs w:val="21"/>
                <w:highlight w:val="none"/>
                <w:lang w:val="en-US" w:eastAsia="zh-CN"/>
              </w:rPr>
              <w:t>1</w:t>
            </w:r>
            <w:r>
              <w:rPr>
                <w:rFonts w:hint="eastAsia" w:cs="Tahoma"/>
                <w:b w:val="0"/>
                <w:bCs/>
                <w:color w:val="auto"/>
                <w:kern w:val="28"/>
                <w:sz w:val="21"/>
                <w:szCs w:val="21"/>
                <w:highlight w:val="none"/>
                <w:lang w:eastAsia="zh-CN"/>
              </w:rPr>
              <w:t>年（</w:t>
            </w:r>
            <w:r>
              <w:rPr>
                <w:rFonts w:hint="eastAsia" w:ascii="宋体" w:hAnsi="Times New Roman" w:cs="Tahoma"/>
                <w:color w:val="000000"/>
                <w:kern w:val="28"/>
                <w:sz w:val="21"/>
                <w:szCs w:val="21"/>
                <w:highlight w:val="none"/>
                <w:lang w:val="en-US" w:eastAsia="zh-CN"/>
              </w:rPr>
              <w:t>自验收合格之日起</w:t>
            </w:r>
            <w:r>
              <w:rPr>
                <w:rFonts w:hint="eastAsia" w:cs="Tahoma"/>
                <w:b w:val="0"/>
                <w:bCs/>
                <w:color w:val="auto"/>
                <w:kern w:val="28"/>
                <w:sz w:val="21"/>
                <w:szCs w:val="21"/>
                <w:highlight w:val="none"/>
                <w:lang w:eastAsia="zh-CN"/>
              </w:rPr>
              <w:t>）</w:t>
            </w:r>
            <w:r>
              <w:rPr>
                <w:rFonts w:hint="eastAsia" w:cs="Tahoma"/>
                <w:b w:val="0"/>
                <w:bCs/>
                <w:color w:val="auto"/>
                <w:kern w:val="28"/>
                <w:sz w:val="21"/>
                <w:szCs w:val="21"/>
                <w:highlight w:val="none"/>
                <w:lang w:val="en-US" w:eastAsia="zh-CN"/>
              </w:rPr>
              <w:t>。</w:t>
            </w:r>
            <w:r>
              <w:rPr>
                <w:rFonts w:hint="eastAsia" w:cs="Tahoma"/>
                <w:b w:val="0"/>
                <w:bCs/>
                <w:color w:val="auto"/>
                <w:kern w:val="28"/>
                <w:sz w:val="21"/>
                <w:szCs w:val="21"/>
                <w:highlight w:val="none"/>
                <w:lang w:eastAsia="zh-CN"/>
              </w:rPr>
              <w:t>质保期内非因采购人的人为原因而出现产品质量及安装问题，由成交供应商负责包修、包换或包退，并承担因此而产生的一切费用。</w:t>
            </w:r>
          </w:p>
        </w:tc>
      </w:tr>
      <w:tr w14:paraId="3FEB3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51C7F3E3">
            <w:pPr>
              <w:pStyle w:val="10"/>
              <w:pageBreakBefore w:val="0"/>
              <w:kinsoku/>
              <w:overflowPunct/>
              <w:bidi w:val="0"/>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rPr>
              <w:t>履约保证金</w:t>
            </w:r>
          </w:p>
        </w:tc>
        <w:tc>
          <w:tcPr>
            <w:tcW w:w="6814" w:type="dxa"/>
            <w:vAlign w:val="top"/>
          </w:tcPr>
          <w:p w14:paraId="5C88F081">
            <w:pPr>
              <w:pStyle w:val="10"/>
              <w:pageBreakBefore w:val="0"/>
              <w:kinsoku/>
              <w:overflowPunct/>
              <w:bidi w:val="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不收取。</w:t>
            </w:r>
          </w:p>
        </w:tc>
      </w:tr>
      <w:tr w14:paraId="422A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86" w:type="dxa"/>
            <w:vAlign w:val="center"/>
          </w:tcPr>
          <w:p w14:paraId="59D6403F">
            <w:pPr>
              <w:pageBreakBefore w:val="0"/>
              <w:widowControl/>
              <w:tabs>
                <w:tab w:val="left" w:pos="636"/>
              </w:tabs>
              <w:kinsoku/>
              <w:overflowPunct/>
              <w:autoSpaceDE w:val="0"/>
              <w:autoSpaceDN w:val="0"/>
              <w:bidi w:val="0"/>
              <w:spacing w:line="360" w:lineRule="auto"/>
              <w:jc w:val="center"/>
              <w:textAlignment w:val="bottom"/>
              <w:rPr>
                <w:rFonts w:hint="eastAsia" w:cs="Tahoma"/>
                <w:b/>
                <w:bCs w:val="0"/>
                <w:color w:val="auto"/>
                <w:kern w:val="28"/>
                <w:sz w:val="21"/>
                <w:szCs w:val="21"/>
                <w:highlight w:val="none"/>
              </w:rPr>
            </w:pPr>
            <w:r>
              <w:rPr>
                <w:rFonts w:hint="eastAsia" w:ascii="宋体" w:hAnsi="宋体" w:eastAsia="宋体" w:cs="宋体"/>
                <w:b/>
                <w:bCs w:val="0"/>
                <w:color w:val="auto"/>
                <w:sz w:val="21"/>
                <w:szCs w:val="21"/>
                <w:highlight w:val="none"/>
                <w:lang w:val="en-US" w:eastAsia="zh-CN"/>
              </w:rPr>
              <w:t>报价说明</w:t>
            </w:r>
          </w:p>
        </w:tc>
        <w:tc>
          <w:tcPr>
            <w:tcW w:w="6814" w:type="dxa"/>
            <w:vAlign w:val="top"/>
          </w:tcPr>
          <w:p w14:paraId="6B4EECE9">
            <w:pPr>
              <w:widowControl/>
              <w:spacing w:line="360" w:lineRule="auto"/>
              <w:jc w:val="left"/>
              <w:rPr>
                <w:rFonts w:hint="eastAsia" w:ascii="宋体" w:hAnsi="宋体" w:cs="宋体"/>
                <w:b w:val="0"/>
                <w:bCs/>
                <w:color w:val="auto"/>
                <w:szCs w:val="21"/>
              </w:rPr>
            </w:pPr>
            <w:r>
              <w:rPr>
                <w:rFonts w:hint="eastAsia" w:ascii="宋体" w:hAnsi="宋体" w:cs="宋体"/>
                <w:b w:val="0"/>
                <w:bCs/>
                <w:color w:val="auto"/>
                <w:szCs w:val="21"/>
              </w:rPr>
              <w:t>1.</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w:t>
            </w:r>
            <w:r>
              <w:rPr>
                <w:rFonts w:hint="eastAsia" w:ascii="宋体" w:hAnsi="宋体" w:cs="宋体"/>
                <w:b w:val="0"/>
                <w:bCs/>
                <w:color w:val="auto"/>
                <w:szCs w:val="21"/>
                <w:lang w:eastAsia="zh-CN"/>
              </w:rPr>
              <w:t>采购文件</w:t>
            </w:r>
            <w:r>
              <w:rPr>
                <w:rFonts w:hint="eastAsia" w:ascii="宋体" w:hAnsi="宋体" w:cs="宋体"/>
                <w:b w:val="0"/>
                <w:bCs/>
                <w:color w:val="auto"/>
                <w:szCs w:val="21"/>
              </w:rPr>
              <w:t>对</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要求的一切事宜及责任，以及合同实施过程中的应预见和不可预见的一切费用。</w:t>
            </w:r>
          </w:p>
          <w:p w14:paraId="15A386E8">
            <w:pPr>
              <w:spacing w:line="360" w:lineRule="auto"/>
              <w:rPr>
                <w:rFonts w:hint="eastAsia"/>
                <w:b/>
                <w:color w:val="auto"/>
                <w:szCs w:val="21"/>
                <w:lang w:val="en-US" w:eastAsia="zh-CN"/>
              </w:rPr>
            </w:pPr>
            <w:r>
              <w:rPr>
                <w:rFonts w:hint="eastAsia" w:ascii="宋体" w:hAnsi="宋体" w:cs="宋体"/>
                <w:b w:val="0"/>
                <w:bCs/>
                <w:color w:val="auto"/>
                <w:szCs w:val="21"/>
              </w:rPr>
              <w:t>2.</w:t>
            </w:r>
            <w:r>
              <w:rPr>
                <w:rFonts w:hint="eastAsia" w:ascii="宋体" w:hAnsi="宋体" w:cs="宋体"/>
                <w:b w:val="0"/>
                <w:bCs/>
                <w:color w:val="auto"/>
                <w:szCs w:val="21"/>
                <w:lang w:val="en-US" w:eastAsia="zh-CN"/>
              </w:rPr>
              <w:t>本项目报价包括</w:t>
            </w:r>
            <w:r>
              <w:rPr>
                <w:rFonts w:hint="eastAsia" w:ascii="宋体" w:hAnsi="Times New Roman" w:eastAsia="宋体" w:cs="Tahoma"/>
                <w:color w:val="000000"/>
                <w:kern w:val="28"/>
                <w:sz w:val="21"/>
                <w:szCs w:val="21"/>
                <w:highlight w:val="none"/>
                <w:lang w:val="en-US" w:eastAsia="zh-CN" w:bidi="ar-SA"/>
              </w:rPr>
              <w:t>货物成本、包装、仓储、运输、装卸、验收、保险、加工费等所有含税费用</w:t>
            </w:r>
            <w:r>
              <w:rPr>
                <w:rFonts w:hint="eastAsia" w:ascii="宋体" w:hAnsi="宋体" w:cs="宋体"/>
                <w:b w:val="0"/>
                <w:bCs/>
                <w:color w:val="auto"/>
                <w:szCs w:val="21"/>
                <w:lang w:val="en-US" w:eastAsia="zh-CN"/>
              </w:rPr>
              <w:t>，成交供应商不得以任何理由向采购人加收其他任何费用。</w:t>
            </w:r>
          </w:p>
          <w:p w14:paraId="6D582DE1">
            <w:pPr>
              <w:widowControl/>
              <w:spacing w:line="360" w:lineRule="auto"/>
              <w:jc w:val="left"/>
              <w:rPr>
                <w:rFonts w:hint="eastAsia" w:cs="Tahoma"/>
                <w:b w:val="0"/>
                <w:bCs/>
                <w:color w:val="auto"/>
                <w:kern w:val="28"/>
                <w:sz w:val="21"/>
                <w:szCs w:val="21"/>
                <w:highlight w:val="none"/>
                <w:lang w:eastAsia="zh-CN"/>
              </w:rPr>
            </w:pPr>
            <w:r>
              <w:rPr>
                <w:rFonts w:hint="eastAsia" w:ascii="宋体" w:hAnsi="宋体" w:cs="宋体"/>
                <w:b w:val="0"/>
                <w:bCs/>
                <w:color w:val="auto"/>
                <w:szCs w:val="21"/>
                <w:lang w:val="en-US" w:eastAsia="zh-CN"/>
              </w:rPr>
              <w:t>3</w:t>
            </w:r>
            <w:r>
              <w:rPr>
                <w:rFonts w:hint="eastAsia" w:ascii="宋体" w:hAnsi="宋体" w:cs="宋体"/>
                <w:b w:val="0"/>
                <w:bCs/>
                <w:color w:val="auto"/>
                <w:szCs w:val="21"/>
              </w:rPr>
              <w:t>.如果</w:t>
            </w:r>
            <w:r>
              <w:rPr>
                <w:rFonts w:hint="eastAsia" w:ascii="宋体" w:hAnsi="宋体" w:cs="宋体"/>
                <w:b w:val="0"/>
                <w:bCs/>
                <w:color w:val="auto"/>
                <w:szCs w:val="21"/>
                <w:lang w:eastAsia="zh-CN"/>
              </w:rPr>
              <w:t>供应商</w:t>
            </w:r>
            <w:r>
              <w:rPr>
                <w:rFonts w:hint="eastAsia" w:ascii="宋体" w:hAnsi="宋体" w:cs="宋体"/>
                <w:b w:val="0"/>
                <w:bCs/>
                <w:color w:val="auto"/>
                <w:szCs w:val="21"/>
              </w:rPr>
              <w:t>在合同履行过程中出现任何遗漏，均由</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负责提供，不再另外收取费用。</w:t>
            </w:r>
          </w:p>
        </w:tc>
      </w:tr>
      <w:tr w14:paraId="77FC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0" w:hRule="atLeast"/>
        </w:trPr>
        <w:tc>
          <w:tcPr>
            <w:tcW w:w="1686" w:type="dxa"/>
            <w:vAlign w:val="center"/>
          </w:tcPr>
          <w:p w14:paraId="45EB16AF">
            <w:pPr>
              <w:pageBreakBefore w:val="0"/>
              <w:widowControl/>
              <w:tabs>
                <w:tab w:val="left" w:pos="636"/>
              </w:tabs>
              <w:kinsoku/>
              <w:overflowPunct/>
              <w:autoSpaceDE w:val="0"/>
              <w:autoSpaceDN w:val="0"/>
              <w:bidi w:val="0"/>
              <w:spacing w:line="440" w:lineRule="exact"/>
              <w:jc w:val="center"/>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违约责任</w:t>
            </w:r>
          </w:p>
        </w:tc>
        <w:tc>
          <w:tcPr>
            <w:tcW w:w="6814" w:type="dxa"/>
            <w:vAlign w:val="top"/>
          </w:tcPr>
          <w:p w14:paraId="7EE66E83">
            <w:pPr>
              <w:tabs>
                <w:tab w:val="decimal" w:pos="315"/>
                <w:tab w:val="left" w:pos="63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未能按时交货，每拖延一天，须向采购人支付合同金额的5‰的违约金，逾期超过7日未能交付货物，则向采购人支付合同金额的20%的违约金，同时采购人有权单方解除合同。</w:t>
            </w:r>
          </w:p>
          <w:p w14:paraId="5AAD0242">
            <w:pPr>
              <w:tabs>
                <w:tab w:val="decimal" w:pos="315"/>
                <w:tab w:val="left" w:pos="630"/>
              </w:tabs>
              <w:spacing w:line="440" w:lineRule="exact"/>
              <w:rPr>
                <w:rFonts w:hint="eastAsia" w:ascii="宋体" w:hAnsi="宋体" w:cs="宋体"/>
                <w:b w:val="0"/>
                <w:bCs/>
                <w:color w:val="auto"/>
                <w:szCs w:val="21"/>
                <w:lang w:val="en-US" w:eastAsia="zh-CN"/>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交付的货物不符合项目规定的，采购人有权拒收，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应对采购人承担赔偿责任。</w:t>
            </w:r>
          </w:p>
        </w:tc>
      </w:tr>
    </w:tbl>
    <w:p w14:paraId="6A1A51BB">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04446F5"/>
    <w:rsid w:val="00614978"/>
    <w:rsid w:val="06C64EA2"/>
    <w:rsid w:val="06CA12FF"/>
    <w:rsid w:val="07046C52"/>
    <w:rsid w:val="079C4983"/>
    <w:rsid w:val="07D554B4"/>
    <w:rsid w:val="0879567C"/>
    <w:rsid w:val="09505A5B"/>
    <w:rsid w:val="0E4F7A60"/>
    <w:rsid w:val="0F726336"/>
    <w:rsid w:val="0F7E1C4B"/>
    <w:rsid w:val="10FF31B3"/>
    <w:rsid w:val="11A146A2"/>
    <w:rsid w:val="14477EC0"/>
    <w:rsid w:val="159B027D"/>
    <w:rsid w:val="173C0AD6"/>
    <w:rsid w:val="179B606A"/>
    <w:rsid w:val="19263A4B"/>
    <w:rsid w:val="1ADD03C2"/>
    <w:rsid w:val="1B3917F3"/>
    <w:rsid w:val="1B6818C2"/>
    <w:rsid w:val="1B87448E"/>
    <w:rsid w:val="1C2259B3"/>
    <w:rsid w:val="210A1A06"/>
    <w:rsid w:val="224107B5"/>
    <w:rsid w:val="24745564"/>
    <w:rsid w:val="256C29D9"/>
    <w:rsid w:val="259555DC"/>
    <w:rsid w:val="26F54479"/>
    <w:rsid w:val="27341555"/>
    <w:rsid w:val="278F5908"/>
    <w:rsid w:val="27C26185"/>
    <w:rsid w:val="2991601D"/>
    <w:rsid w:val="2ADB451B"/>
    <w:rsid w:val="2B274C57"/>
    <w:rsid w:val="2CA3150A"/>
    <w:rsid w:val="2D182FF0"/>
    <w:rsid w:val="2F366632"/>
    <w:rsid w:val="33E33B65"/>
    <w:rsid w:val="376D26B9"/>
    <w:rsid w:val="37E15394"/>
    <w:rsid w:val="397B55FE"/>
    <w:rsid w:val="3AED4F0C"/>
    <w:rsid w:val="3C647F54"/>
    <w:rsid w:val="3E5365B8"/>
    <w:rsid w:val="3F9D38CE"/>
    <w:rsid w:val="40060E95"/>
    <w:rsid w:val="40187E01"/>
    <w:rsid w:val="40300E10"/>
    <w:rsid w:val="411377D7"/>
    <w:rsid w:val="42A81C5B"/>
    <w:rsid w:val="443B68AC"/>
    <w:rsid w:val="44576961"/>
    <w:rsid w:val="44EB199C"/>
    <w:rsid w:val="459F5CA0"/>
    <w:rsid w:val="45EA250D"/>
    <w:rsid w:val="460222FB"/>
    <w:rsid w:val="47FC5A7C"/>
    <w:rsid w:val="48A64DFE"/>
    <w:rsid w:val="49BE7197"/>
    <w:rsid w:val="4DB9497E"/>
    <w:rsid w:val="4F350178"/>
    <w:rsid w:val="507E5AE6"/>
    <w:rsid w:val="50CB36A2"/>
    <w:rsid w:val="52E33AC0"/>
    <w:rsid w:val="535D4DFC"/>
    <w:rsid w:val="5380588C"/>
    <w:rsid w:val="575158B5"/>
    <w:rsid w:val="575618BE"/>
    <w:rsid w:val="58C21972"/>
    <w:rsid w:val="594F18E1"/>
    <w:rsid w:val="5BE36CC5"/>
    <w:rsid w:val="5F7E4CFC"/>
    <w:rsid w:val="61673FEA"/>
    <w:rsid w:val="61EE2568"/>
    <w:rsid w:val="63FF6F0D"/>
    <w:rsid w:val="67B205BD"/>
    <w:rsid w:val="68AB3430"/>
    <w:rsid w:val="696C5805"/>
    <w:rsid w:val="6A47768E"/>
    <w:rsid w:val="6C7E74F0"/>
    <w:rsid w:val="6D5A10DB"/>
    <w:rsid w:val="6D7C29DA"/>
    <w:rsid w:val="6EB54C4E"/>
    <w:rsid w:val="6F2B051F"/>
    <w:rsid w:val="73C46754"/>
    <w:rsid w:val="75687D2E"/>
    <w:rsid w:val="767672F3"/>
    <w:rsid w:val="76EB58A6"/>
    <w:rsid w:val="779E0348"/>
    <w:rsid w:val="784410D3"/>
    <w:rsid w:val="78C212E0"/>
    <w:rsid w:val="7BEA17B0"/>
    <w:rsid w:val="7CE53EA4"/>
    <w:rsid w:val="7E7924D3"/>
    <w:rsid w:val="7F672C91"/>
    <w:rsid w:val="7FB2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9">
    <w:name w:val="投标正文小四"/>
    <w:basedOn w:val="1"/>
    <w:qFormat/>
    <w:uiPriority w:val="0"/>
    <w:pPr>
      <w:spacing w:line="360" w:lineRule="auto"/>
      <w:ind w:firstLine="200" w:firstLineChars="200"/>
    </w:pPr>
    <w:rPr>
      <w:sz w:val="24"/>
    </w:rPr>
  </w:style>
  <w:style w:type="paragraph" w:customStyle="1" w:styleId="10">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paragraph" w:customStyle="1" w:styleId="11">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1682</Words>
  <Characters>1727</Characters>
  <Lines>0</Lines>
  <Paragraphs>0</Paragraphs>
  <TotalTime>0</TotalTime>
  <ScaleCrop>false</ScaleCrop>
  <LinksUpToDate>false</LinksUpToDate>
  <CharactersWithSpaces>1742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述</cp:lastModifiedBy>
  <dcterms:modified xsi:type="dcterms:W3CDTF">2026-06-04T10:13:07Z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7571360E1BC24CA7866852AC7422A111_13</vt:lpwstr>
  </property>
  <property fmtid="{D5CDD505-2E9C-101B-9397-08002B2CF9AE}" pid="4" name="KSOTemplateDocerSaveRecord">
    <vt:lpwstr>eyJoZGlkIjoiMWVmZjBjODNiMjI1YTgzYTQ0YWU5YjdmMjFjOWI4MWUiLCJ1c2VySWQiOiI1MDEzNzQyOTUifQ==</vt:lpwstr>
  </property>
</Properties>
</file>