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pPr>
        <w:spacing w:line="360" w:lineRule="auto"/>
        <w:jc w:val="center"/>
        <w:rPr>
          <w:b/>
          <w:color w:val="auto"/>
          <w:sz w:val="36"/>
          <w:szCs w:val="36"/>
        </w:rPr>
      </w:pPr>
      <w:r>
        <w:rPr>
          <w:b/>
          <w:color w:val="auto"/>
          <w:sz w:val="36"/>
          <w:szCs w:val="36"/>
        </w:rPr>
        <w:t>用户需求书</w:t>
      </w:r>
    </w:p>
    <w:p>
      <w:pPr>
        <w:pStyle w:val="9"/>
        <w:ind w:firstLine="482"/>
        <w:rPr>
          <w:rFonts w:hint="eastAsia"/>
          <w:b/>
          <w:color w:val="auto"/>
          <w:highlight w:val="none"/>
        </w:rPr>
      </w:pPr>
    </w:p>
    <w:p>
      <w:pPr>
        <w:pStyle w:val="2"/>
        <w:rPr>
          <w:rFonts w:hint="eastAsia"/>
          <w:lang w:val="en-US" w:eastAsia="zh-CN"/>
        </w:rPr>
      </w:pPr>
      <w:r>
        <w:rPr>
          <w:rFonts w:hint="eastAsia" w:eastAsia="宋体" w:cs="Times New Roman"/>
          <w:color w:val="auto"/>
          <w:kern w:val="2"/>
          <w:sz w:val="24"/>
          <w:szCs w:val="24"/>
          <w:highlight w:val="none"/>
          <w:lang w:val="en-US" w:eastAsia="zh-CN" w:bidi="ar-SA"/>
        </w:rPr>
        <w:t xml:space="preserve">  </w:t>
      </w:r>
    </w:p>
    <w:p>
      <w:pPr>
        <w:pStyle w:val="9"/>
        <w:ind w:firstLine="480"/>
        <w:rPr>
          <w:rFonts w:hint="eastAsia" w:ascii="Times New Roman" w:hAnsi="Times New Roman" w:eastAsia="宋体" w:cs="Times New Roman"/>
          <w:b/>
          <w:bCs w:val="0"/>
          <w:color w:val="auto"/>
          <w:kern w:val="2"/>
          <w:sz w:val="28"/>
          <w:szCs w:val="24"/>
          <w:highlight w:val="none"/>
          <w:lang w:val="en-US" w:eastAsia="zh-CN" w:bidi="ar-SA"/>
        </w:rPr>
      </w:pPr>
      <w:r>
        <w:rPr>
          <w:rFonts w:hint="eastAsia" w:ascii="Times New Roman" w:hAnsi="Times New Roman" w:eastAsia="宋体" w:cs="Times New Roman"/>
          <w:b/>
          <w:bCs w:val="0"/>
          <w:color w:val="auto"/>
          <w:kern w:val="2"/>
          <w:sz w:val="28"/>
          <w:szCs w:val="24"/>
          <w:highlight w:val="none"/>
          <w:lang w:val="en-US" w:eastAsia="zh-CN" w:bidi="ar-SA"/>
        </w:rPr>
        <w:t>一、项目基本信息</w:t>
      </w:r>
    </w:p>
    <w:p>
      <w:pPr>
        <w:pStyle w:val="9"/>
        <w:ind w:firstLine="480"/>
        <w:rPr>
          <w:rFonts w:hint="eastAsia" w:ascii="Times New Roman" w:hAnsi="Times New Roman" w:eastAsia="宋体" w:cs="Times New Roman"/>
          <w:color w:val="000000"/>
          <w:szCs w:val="24"/>
          <w:highlight w:val="none"/>
        </w:rPr>
      </w:pPr>
      <w:r>
        <w:rPr>
          <w:rFonts w:hint="eastAsia" w:ascii="Times New Roman" w:hAnsi="Times New Roman" w:eastAsia="宋体" w:cs="Times New Roman"/>
          <w:b/>
          <w:bCs w:val="0"/>
          <w:color w:val="auto"/>
          <w:kern w:val="2"/>
          <w:sz w:val="28"/>
          <w:szCs w:val="24"/>
          <w:highlight w:val="none"/>
          <w:lang w:val="en-US" w:eastAsia="zh-CN" w:bidi="ar-SA"/>
        </w:rPr>
        <w:t xml:space="preserve">  1.项目名称：</w:t>
      </w:r>
      <w:r>
        <w:rPr>
          <w:rFonts w:hint="eastAsia" w:ascii="Times New Roman" w:hAnsi="Times New Roman" w:eastAsia="宋体" w:cs="Times New Roman"/>
          <w:color w:val="000000"/>
          <w:szCs w:val="24"/>
          <w:highlight w:val="none"/>
        </w:rPr>
        <w:t>中山市黄圃人民医院</w:t>
      </w:r>
      <w:r>
        <w:rPr>
          <w:rFonts w:hint="eastAsia" w:ascii="Times New Roman" w:hAnsi="Times New Roman" w:eastAsia="宋体" w:cs="Times New Roman"/>
          <w:color w:val="000000"/>
          <w:szCs w:val="24"/>
          <w:highlight w:val="none"/>
          <w:lang w:eastAsia="zh-CN"/>
        </w:rPr>
        <w:t>信息科精密空调</w:t>
      </w:r>
      <w:r>
        <w:rPr>
          <w:rFonts w:hint="eastAsia" w:ascii="Times New Roman" w:hAnsi="Times New Roman" w:eastAsia="宋体" w:cs="Times New Roman"/>
          <w:color w:val="000000"/>
          <w:szCs w:val="24"/>
          <w:highlight w:val="none"/>
        </w:rPr>
        <w:t>采购项目</w:t>
      </w:r>
    </w:p>
    <w:p>
      <w:pPr>
        <w:pStyle w:val="9"/>
        <w:ind w:firstLine="843" w:firstLineChars="300"/>
        <w:rPr>
          <w:rFonts w:hint="eastAsia" w:ascii="Times New Roman" w:hAnsi="Times New Roman" w:eastAsia="宋体" w:cs="Times New Roman"/>
          <w:color w:val="000000"/>
          <w:szCs w:val="24"/>
          <w:highlight w:val="none"/>
          <w:lang w:val="en-US" w:eastAsia="zh-CN"/>
        </w:rPr>
      </w:pPr>
      <w:r>
        <w:rPr>
          <w:rFonts w:hint="eastAsia" w:ascii="Times New Roman" w:hAnsi="Times New Roman" w:eastAsia="宋体" w:cs="Times New Roman"/>
          <w:b/>
          <w:bCs w:val="0"/>
          <w:color w:val="auto"/>
          <w:kern w:val="2"/>
          <w:sz w:val="28"/>
          <w:szCs w:val="24"/>
          <w:highlight w:val="none"/>
          <w:lang w:val="en-US" w:eastAsia="zh-CN" w:bidi="ar-SA"/>
        </w:rPr>
        <w:t xml:space="preserve">2.预算金额: </w:t>
      </w:r>
      <w:r>
        <w:rPr>
          <w:rFonts w:hint="eastAsia" w:asciiTheme="minorEastAsia" w:hAnsiTheme="minorEastAsia" w:eastAsiaTheme="minorEastAsia" w:cstheme="minorEastAsia"/>
          <w:b w:val="0"/>
          <w:bCs w:val="0"/>
          <w:kern w:val="2"/>
          <w:sz w:val="24"/>
          <w:szCs w:val="24"/>
          <w:lang w:val="en-US" w:eastAsia="zh-CN" w:bidi="ar-SA"/>
        </w:rPr>
        <w:t>¥</w:t>
      </w:r>
      <w:r>
        <w:rPr>
          <w:rFonts w:hint="eastAsia" w:ascii="Times New Roman" w:hAnsi="Times New Roman" w:eastAsia="宋体" w:cs="Times New Roman"/>
          <w:color w:val="000000"/>
          <w:szCs w:val="24"/>
          <w:highlight w:val="none"/>
          <w:lang w:val="en-US" w:eastAsia="zh-CN"/>
        </w:rPr>
        <w:t>75000</w:t>
      </w:r>
      <w:r>
        <w:rPr>
          <w:rFonts w:hint="eastAsia" w:ascii="Times New Roman" w:hAnsi="Times New Roman" w:eastAsia="宋体" w:cs="Times New Roman"/>
          <w:color w:val="000000"/>
          <w:szCs w:val="24"/>
          <w:highlight w:val="none"/>
          <w:lang w:eastAsia="zh-CN"/>
        </w:rPr>
        <w:t>元，响应报价超过预算金额的按无效响应处理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imes New Roman" w:hAnsi="Times New Roman" w:eastAsia="宋体" w:cs="Times New Roman"/>
          <w:b/>
          <w:bCs w:val="0"/>
          <w:color w:val="auto"/>
          <w:kern w:val="2"/>
          <w:sz w:val="28"/>
          <w:szCs w:val="24"/>
          <w:highlight w:val="none"/>
          <w:lang w:val="en-US" w:eastAsia="zh-CN" w:bidi="ar-SA"/>
        </w:rPr>
      </w:pPr>
      <w:r>
        <w:rPr>
          <w:rFonts w:hint="eastAsia" w:ascii="Times New Roman" w:hAnsi="Times New Roman" w:eastAsia="宋体" w:cs="Times New Roman"/>
          <w:b/>
          <w:bCs w:val="0"/>
          <w:color w:val="auto"/>
          <w:kern w:val="2"/>
          <w:sz w:val="28"/>
          <w:szCs w:val="24"/>
          <w:highlight w:val="none"/>
          <w:lang w:val="en-US" w:eastAsia="zh-CN" w:bidi="ar-SA"/>
        </w:rPr>
        <w:t>二、项目内容及要求：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color w:val="auto"/>
          <w:kern w:val="2"/>
          <w:sz w:val="24"/>
          <w:szCs w:val="22"/>
          <w:highlight w:val="none"/>
          <w:lang w:val="en-US" w:eastAsia="zh-CN" w:bidi="ar-SA"/>
        </w:rPr>
      </w:pPr>
      <w:r>
        <w:rPr>
          <w:rFonts w:hint="eastAsia" w:ascii="Times New Roman" w:hAnsi="Times New Roman" w:eastAsia="宋体" w:cs="Times New Roman"/>
          <w:b w:val="0"/>
          <w:bCs/>
          <w:color w:val="auto"/>
          <w:kern w:val="2"/>
          <w:sz w:val="24"/>
          <w:szCs w:val="22"/>
          <w:highlight w:val="none"/>
          <w:lang w:val="en-US" w:eastAsia="zh-CN" w:bidi="ar-SA"/>
        </w:rPr>
        <w:t>1.采购内容：</w:t>
      </w:r>
    </w:p>
    <w:tbl>
      <w:tblPr>
        <w:tblStyle w:val="6"/>
        <w:tblW w:w="10170" w:type="dxa"/>
        <w:jc w:val="center"/>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0"/>
        <w:gridCol w:w="1437"/>
        <w:gridCol w:w="681"/>
        <w:gridCol w:w="630"/>
        <w:gridCol w:w="1547"/>
        <w:gridCol w:w="5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1" w:hRule="atLeast"/>
          <w:tblHeader/>
          <w:jc w:val="center"/>
        </w:trPr>
        <w:tc>
          <w:tcPr>
            <w:tcW w:w="870" w:type="dxa"/>
            <w:tcBorders>
              <w:top w:val="single" w:color="auto" w:sz="4" w:space="0"/>
              <w:left w:val="single" w:color="auto" w:sz="4" w:space="0"/>
              <w:bottom w:val="single" w:color="auto" w:sz="4" w:space="0"/>
              <w:right w:val="single" w:color="auto" w:sz="4" w:space="0"/>
            </w:tcBorders>
            <w:vAlign w:val="center"/>
          </w:tcPr>
          <w:p>
            <w:pPr>
              <w:pStyle w:val="10"/>
              <w:widowControl/>
              <w:jc w:val="center"/>
              <w:rPr>
                <w:rFonts w:ascii="宋体" w:hAnsi="宋体" w:cs="宋体"/>
                <w:b/>
                <w:bCs/>
                <w:sz w:val="28"/>
                <w:szCs w:val="28"/>
              </w:rPr>
            </w:pPr>
            <w:r>
              <w:rPr>
                <w:rFonts w:hint="eastAsia" w:ascii="宋体" w:hAnsi="宋体" w:cs="宋体"/>
                <w:b/>
                <w:bCs/>
                <w:sz w:val="28"/>
                <w:szCs w:val="28"/>
              </w:rPr>
              <w:t>序号</w:t>
            </w:r>
          </w:p>
        </w:tc>
        <w:tc>
          <w:tcPr>
            <w:tcW w:w="1437" w:type="dxa"/>
            <w:tcBorders>
              <w:top w:val="single" w:color="auto" w:sz="4" w:space="0"/>
              <w:left w:val="single" w:color="auto" w:sz="4" w:space="0"/>
              <w:bottom w:val="single" w:color="auto" w:sz="4" w:space="0"/>
              <w:right w:val="single" w:color="auto" w:sz="4" w:space="0"/>
            </w:tcBorders>
            <w:vAlign w:val="center"/>
          </w:tcPr>
          <w:p>
            <w:pPr>
              <w:pStyle w:val="10"/>
              <w:jc w:val="center"/>
              <w:rPr>
                <w:rFonts w:ascii="宋体" w:hAnsi="宋体" w:cs="宋体"/>
                <w:b/>
                <w:bCs/>
                <w:sz w:val="28"/>
                <w:szCs w:val="28"/>
              </w:rPr>
            </w:pPr>
            <w:r>
              <w:rPr>
                <w:rFonts w:hint="eastAsia" w:ascii="宋体" w:hAnsi="宋体" w:cs="宋体"/>
                <w:b/>
                <w:bCs/>
                <w:sz w:val="28"/>
                <w:szCs w:val="28"/>
              </w:rPr>
              <w:t>产品名称</w:t>
            </w:r>
          </w:p>
        </w:tc>
        <w:tc>
          <w:tcPr>
            <w:tcW w:w="681" w:type="dxa"/>
            <w:tcBorders>
              <w:top w:val="single" w:color="auto" w:sz="4" w:space="0"/>
              <w:left w:val="single" w:color="auto" w:sz="4" w:space="0"/>
              <w:bottom w:val="single" w:color="auto" w:sz="4" w:space="0"/>
              <w:right w:val="single" w:color="auto" w:sz="4" w:space="0"/>
            </w:tcBorders>
            <w:vAlign w:val="center"/>
          </w:tcPr>
          <w:p>
            <w:pPr>
              <w:pStyle w:val="10"/>
              <w:widowControl/>
              <w:jc w:val="center"/>
              <w:rPr>
                <w:rFonts w:ascii="宋体" w:hAnsi="宋体" w:cs="宋体"/>
                <w:b/>
                <w:bCs/>
                <w:sz w:val="28"/>
                <w:szCs w:val="28"/>
              </w:rPr>
            </w:pPr>
            <w:r>
              <w:rPr>
                <w:rFonts w:hint="eastAsia" w:ascii="宋体" w:hAnsi="宋体" w:cs="宋体"/>
                <w:b/>
                <w:bCs/>
                <w:sz w:val="28"/>
                <w:szCs w:val="28"/>
              </w:rPr>
              <w:t>单位</w:t>
            </w:r>
          </w:p>
        </w:tc>
        <w:tc>
          <w:tcPr>
            <w:tcW w:w="630" w:type="dxa"/>
            <w:tcBorders>
              <w:top w:val="single" w:color="auto" w:sz="4" w:space="0"/>
              <w:left w:val="single" w:color="auto" w:sz="4" w:space="0"/>
              <w:bottom w:val="single" w:color="auto" w:sz="4" w:space="0"/>
              <w:right w:val="single" w:color="auto" w:sz="4" w:space="0"/>
            </w:tcBorders>
            <w:vAlign w:val="center"/>
          </w:tcPr>
          <w:p>
            <w:pPr>
              <w:pStyle w:val="10"/>
              <w:jc w:val="center"/>
              <w:rPr>
                <w:rFonts w:ascii="宋体" w:hAnsi="宋体" w:cs="宋体"/>
                <w:b/>
                <w:bCs/>
                <w:sz w:val="28"/>
                <w:szCs w:val="28"/>
              </w:rPr>
            </w:pPr>
            <w:r>
              <w:rPr>
                <w:rFonts w:hint="eastAsia" w:ascii="宋体" w:hAnsi="宋体" w:cs="宋体"/>
                <w:b/>
                <w:bCs/>
                <w:sz w:val="28"/>
                <w:szCs w:val="28"/>
              </w:rPr>
              <w:t>数量</w:t>
            </w:r>
          </w:p>
        </w:tc>
        <w:tc>
          <w:tcPr>
            <w:tcW w:w="1547" w:type="dxa"/>
            <w:tcBorders>
              <w:top w:val="single" w:color="auto" w:sz="4" w:space="0"/>
              <w:left w:val="single" w:color="auto" w:sz="4" w:space="0"/>
              <w:bottom w:val="single" w:color="auto" w:sz="4" w:space="0"/>
              <w:right w:val="single" w:color="auto" w:sz="4" w:space="0"/>
            </w:tcBorders>
            <w:vAlign w:val="center"/>
          </w:tcPr>
          <w:p>
            <w:pPr>
              <w:pStyle w:val="10"/>
              <w:widowControl/>
              <w:jc w:val="center"/>
              <w:rPr>
                <w:rFonts w:hint="eastAsia" w:hAnsi="宋体" w:cs="宋体"/>
                <w:b/>
                <w:bCs/>
                <w:sz w:val="28"/>
                <w:szCs w:val="28"/>
                <w:lang w:eastAsia="zh-CN"/>
              </w:rPr>
            </w:pPr>
            <w:r>
              <w:rPr>
                <w:rFonts w:hint="eastAsia" w:hAnsi="宋体" w:cs="宋体"/>
                <w:b/>
                <w:bCs/>
                <w:sz w:val="28"/>
                <w:szCs w:val="28"/>
                <w:lang w:eastAsia="zh-CN"/>
              </w:rPr>
              <w:t>最高限价（元</w:t>
            </w:r>
            <w:r>
              <w:rPr>
                <w:rFonts w:hint="eastAsia" w:hAnsi="宋体" w:cs="宋体"/>
                <w:b/>
                <w:bCs/>
                <w:sz w:val="28"/>
                <w:szCs w:val="28"/>
                <w:lang w:val="en-US" w:eastAsia="zh-CN"/>
              </w:rPr>
              <w:t>/单位</w:t>
            </w:r>
            <w:r>
              <w:rPr>
                <w:rFonts w:hint="eastAsia" w:hAnsi="宋体" w:cs="宋体"/>
                <w:b/>
                <w:bCs/>
                <w:sz w:val="28"/>
                <w:szCs w:val="28"/>
                <w:lang w:eastAsia="zh-CN"/>
              </w:rPr>
              <w:t>）</w:t>
            </w:r>
          </w:p>
        </w:tc>
        <w:tc>
          <w:tcPr>
            <w:tcW w:w="5005" w:type="dxa"/>
            <w:tcBorders>
              <w:top w:val="single" w:color="auto" w:sz="4" w:space="0"/>
              <w:left w:val="single" w:color="auto" w:sz="4" w:space="0"/>
              <w:bottom w:val="single" w:color="auto" w:sz="4" w:space="0"/>
              <w:right w:val="single" w:color="auto" w:sz="4" w:space="0"/>
            </w:tcBorders>
            <w:vAlign w:val="center"/>
          </w:tcPr>
          <w:p>
            <w:pPr>
              <w:pStyle w:val="10"/>
              <w:widowControl/>
              <w:jc w:val="center"/>
              <w:rPr>
                <w:rFonts w:ascii="宋体" w:hAnsi="宋体" w:cs="宋体"/>
                <w:b/>
                <w:bCs/>
                <w:sz w:val="28"/>
                <w:szCs w:val="28"/>
              </w:rPr>
            </w:pPr>
            <w:r>
              <w:rPr>
                <w:rFonts w:hint="eastAsia" w:hAnsi="宋体" w:cs="宋体"/>
                <w:b/>
                <w:bCs/>
                <w:sz w:val="28"/>
                <w:szCs w:val="28"/>
                <w:lang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23"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pPr>
              <w:pStyle w:val="10"/>
              <w:widowControl/>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p>
        </w:tc>
        <w:tc>
          <w:tcPr>
            <w:tcW w:w="1437"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精密空调</w:t>
            </w:r>
          </w:p>
        </w:tc>
        <w:tc>
          <w:tcPr>
            <w:tcW w:w="681" w:type="dxa"/>
            <w:tcBorders>
              <w:top w:val="single" w:color="auto" w:sz="4" w:space="0"/>
              <w:left w:val="single" w:color="auto" w:sz="4" w:space="0"/>
              <w:bottom w:val="single" w:color="auto" w:sz="4" w:space="0"/>
              <w:right w:val="single" w:color="auto" w:sz="4" w:space="0"/>
            </w:tcBorders>
            <w:vAlign w:val="center"/>
          </w:tcPr>
          <w:p>
            <w:pPr>
              <w:pStyle w:val="10"/>
              <w:widowControl/>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台</w:t>
            </w:r>
          </w:p>
        </w:tc>
        <w:tc>
          <w:tcPr>
            <w:tcW w:w="630" w:type="dxa"/>
            <w:tcBorders>
              <w:top w:val="single" w:color="auto" w:sz="4" w:space="0"/>
              <w:left w:val="single" w:color="auto" w:sz="4" w:space="0"/>
              <w:bottom w:val="single" w:color="auto" w:sz="4" w:space="0"/>
              <w:right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1</w:t>
            </w:r>
          </w:p>
        </w:tc>
        <w:tc>
          <w:tcPr>
            <w:tcW w:w="1547" w:type="dxa"/>
            <w:tcBorders>
              <w:top w:val="single" w:color="auto" w:sz="4" w:space="0"/>
              <w:left w:val="single" w:color="auto" w:sz="4" w:space="0"/>
              <w:bottom w:val="single" w:color="auto" w:sz="4" w:space="0"/>
              <w:right w:val="single" w:color="auto" w:sz="4" w:space="0"/>
            </w:tcBorders>
            <w:vAlign w:val="center"/>
          </w:tcPr>
          <w:p>
            <w:pPr>
              <w:pStyle w:val="10"/>
              <w:keepNext w:val="0"/>
              <w:keepLines w:val="0"/>
              <w:pageBreakBefore w:val="0"/>
              <w:widowControl w:val="0"/>
              <w:kinsoku/>
              <w:wordWrap/>
              <w:overflowPunct/>
              <w:topLinePunct w:val="0"/>
              <w:autoSpaceDE/>
              <w:autoSpaceDN/>
              <w:bidi w:val="0"/>
              <w:adjustRightInd/>
              <w:snapToGrid/>
              <w:spacing w:line="240" w:lineRule="auto"/>
              <w:ind w:firstLine="280" w:firstLineChars="100"/>
              <w:jc w:val="center"/>
              <w:textAlignment w:val="auto"/>
              <w:rPr>
                <w:rFonts w:hint="eastAsia" w:asciiTheme="minorEastAsia" w:hAnsiTheme="minorEastAsia" w:eastAsiaTheme="minorEastAsia" w:cstheme="minorEastAsia"/>
                <w:strike w:val="0"/>
                <w:dstrike w:val="0"/>
                <w:sz w:val="21"/>
                <w:szCs w:val="21"/>
                <w:highlight w:val="none"/>
                <w:lang w:val="en-US" w:eastAsia="zh-CN"/>
              </w:rPr>
            </w:pPr>
            <w:r>
              <w:rPr>
                <w:rFonts w:hint="eastAsia" w:asciiTheme="minorEastAsia" w:hAnsiTheme="minorEastAsia" w:eastAsiaTheme="minorEastAsia" w:cstheme="minorEastAsia"/>
                <w:strike w:val="0"/>
                <w:dstrike w:val="0"/>
                <w:sz w:val="28"/>
                <w:szCs w:val="28"/>
                <w:lang w:val="en-US" w:eastAsia="zh-CN"/>
              </w:rPr>
              <w:t>7</w:t>
            </w:r>
            <w:bookmarkStart w:id="1" w:name="_GoBack"/>
            <w:bookmarkEnd w:id="1"/>
            <w:r>
              <w:rPr>
                <w:rFonts w:hint="eastAsia" w:asciiTheme="minorEastAsia" w:hAnsiTheme="minorEastAsia" w:eastAsiaTheme="minorEastAsia" w:cstheme="minorEastAsia"/>
                <w:strike w:val="0"/>
                <w:dstrike w:val="0"/>
                <w:sz w:val="28"/>
                <w:szCs w:val="28"/>
                <w:lang w:val="en-US" w:eastAsia="zh-CN"/>
              </w:rPr>
              <w:t>5000</w:t>
            </w:r>
          </w:p>
        </w:tc>
        <w:tc>
          <w:tcPr>
            <w:tcW w:w="5005" w:type="dxa"/>
            <w:tcBorders>
              <w:top w:val="single" w:color="auto" w:sz="4" w:space="0"/>
              <w:left w:val="single" w:color="auto" w:sz="4" w:space="0"/>
              <w:bottom w:val="single" w:color="auto" w:sz="4" w:space="0"/>
              <w:right w:val="single" w:color="auto" w:sz="4" w:space="0"/>
            </w:tcBorders>
            <w:vAlign w:val="center"/>
          </w:tcPr>
          <w:p>
            <w:pPr>
              <w:pStyle w:val="10"/>
              <w:keepNext w:val="0"/>
              <w:keepLines w:val="0"/>
              <w:pageBreakBefore w:val="0"/>
              <w:widowControl w:val="0"/>
              <w:numPr>
                <w:ilvl w:val="-1"/>
                <w:numId w:val="0"/>
              </w:numPr>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trike w:val="0"/>
                <w:dstrike w:val="0"/>
                <w:sz w:val="21"/>
                <w:szCs w:val="21"/>
                <w:highlight w:val="none"/>
              </w:rPr>
              <w:t>采用上前送风方式，总冷量≥30kW，显冷量≥27.8KW，显热比≥0.9，风量≥8500m3/h。</w:t>
            </w:r>
          </w:p>
          <w:p>
            <w:pPr>
              <w:pStyle w:val="10"/>
              <w:keepNext w:val="0"/>
              <w:keepLines w:val="0"/>
              <w:pageBreakBefore w:val="0"/>
              <w:widowControl w:val="0"/>
              <w:numPr>
                <w:ilvl w:val="-1"/>
                <w:numId w:val="0"/>
              </w:numPr>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trike w:val="0"/>
                <w:dstrike w:val="0"/>
                <w:sz w:val="21"/>
                <w:szCs w:val="21"/>
                <w:highlight w:val="none"/>
              </w:rPr>
              <w:t>2、按GB19576-2019规定的检验方法进行检测，全年能效比（AEER）实测值≥4.22，制冷消耗功率需≤10.1KW，投标时需提供本项目精密空调同系列、同制冷量中国节能产品试验报告复印件并加盖厂家公章。</w:t>
            </w:r>
          </w:p>
          <w:p>
            <w:pPr>
              <w:pStyle w:val="10"/>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trike w:val="0"/>
                <w:dstrike w:val="0"/>
                <w:sz w:val="21"/>
                <w:szCs w:val="21"/>
                <w:highlight w:val="none"/>
              </w:rPr>
              <w:t>3、采用大而积“V”型蒸发器，迎风面积应≥1.1m2。</w:t>
            </w:r>
          </w:p>
          <w:p>
            <w:pPr>
              <w:pStyle w:val="10"/>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trike w:val="0"/>
                <w:dstrike w:val="0"/>
                <w:sz w:val="21"/>
                <w:szCs w:val="21"/>
                <w:highlight w:val="none"/>
              </w:rPr>
              <w:t>4、机房专用空调系统应具有高可靠性，要求机组平均无故障时间MTBF≥10万小时；机房专用空调具有环保设计，采用R410A的制冷系统。</w:t>
            </w:r>
          </w:p>
          <w:p>
            <w:pPr>
              <w:pStyle w:val="10"/>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trike w:val="0"/>
                <w:dstrike w:val="0"/>
                <w:sz w:val="21"/>
                <w:szCs w:val="21"/>
                <w:highlight w:val="none"/>
              </w:rPr>
              <w:t>5、为响应国家节能减排号召，精密空调机组应具备低碳节能性，需提供节能证书、一级能效标</w:t>
            </w:r>
            <w:r>
              <w:rPr>
                <w:rFonts w:hint="eastAsia" w:asciiTheme="minorEastAsia" w:hAnsiTheme="minorEastAsia" w:eastAsiaTheme="minorEastAsia" w:cstheme="minorEastAsia"/>
                <w:strike w:val="0"/>
                <w:dstrike w:val="0"/>
                <w:sz w:val="21"/>
                <w:szCs w:val="21"/>
                <w:highlight w:val="none"/>
                <w:lang w:eastAsia="zh-CN"/>
              </w:rPr>
              <w:t>识</w:t>
            </w:r>
          </w:p>
          <w:p>
            <w:pPr>
              <w:pStyle w:val="10"/>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trike w:val="0"/>
                <w:dstrike w:val="0"/>
                <w:sz w:val="21"/>
                <w:szCs w:val="21"/>
                <w:highlight w:val="none"/>
              </w:rPr>
              <w:t>6、</w:t>
            </w:r>
            <w:bookmarkStart w:id="0" w:name="OLE_LINK1"/>
            <w:r>
              <w:rPr>
                <w:rFonts w:hint="eastAsia" w:asciiTheme="minorEastAsia" w:hAnsiTheme="minorEastAsia" w:eastAsiaTheme="minorEastAsia" w:cstheme="minorEastAsia"/>
                <w:strike w:val="0"/>
                <w:dstrike w:val="0"/>
                <w:sz w:val="21"/>
                <w:szCs w:val="21"/>
                <w:highlight w:val="none"/>
              </w:rPr>
              <w:t>制造商需具有售后服务能力及空调行业维修及安装能力，提供售后服务认证证书（级别5星）。</w:t>
            </w:r>
            <w:bookmarkEnd w:id="0"/>
          </w:p>
          <w:p>
            <w:pPr>
              <w:pStyle w:val="10"/>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trike w:val="0"/>
                <w:dstrike w:val="0"/>
                <w:sz w:val="21"/>
                <w:szCs w:val="21"/>
                <w:highlight w:val="none"/>
              </w:rPr>
            </w:pPr>
            <w:r>
              <w:rPr>
                <w:rFonts w:hint="eastAsia" w:asciiTheme="minorEastAsia" w:hAnsiTheme="minorEastAsia" w:eastAsiaTheme="minorEastAsia" w:cstheme="minorEastAsia"/>
                <w:strike w:val="0"/>
                <w:dstrike w:val="0"/>
                <w:sz w:val="21"/>
                <w:szCs w:val="21"/>
                <w:highlight w:val="none"/>
              </w:rPr>
              <w:t>7、空调为自主研发非OEM，主控软件为自主开发软件，具有机房专用空调控制系统软件著作权。</w:t>
            </w:r>
          </w:p>
          <w:p>
            <w:pPr>
              <w:pStyle w:val="10"/>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trike w:val="0"/>
                <w:dstrike w:val="0"/>
                <w:sz w:val="21"/>
                <w:szCs w:val="21"/>
                <w:highlight w:val="none"/>
                <w:lang w:val="en-US" w:eastAsia="zh-CN"/>
              </w:rPr>
              <w:t>8、</w:t>
            </w:r>
            <w:r>
              <w:rPr>
                <w:rFonts w:hint="eastAsia" w:asciiTheme="minorEastAsia" w:hAnsiTheme="minorEastAsia" w:eastAsiaTheme="minorEastAsia" w:cstheme="minorEastAsia"/>
                <w:strike w:val="0"/>
                <w:dstrike w:val="0"/>
                <w:sz w:val="21"/>
                <w:szCs w:val="21"/>
                <w:highlight w:val="none"/>
              </w:rPr>
              <w:t>备选功能:(1)可接入原有动环系统(2)可与机房现有空调交替运行(3)可与机房现有空调通过外部组件实现故障切换运行(最小满足一条)</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color w:val="auto"/>
          <w:kern w:val="2"/>
          <w:sz w:val="24"/>
          <w:szCs w:val="22"/>
          <w:highlight w:val="none"/>
          <w:lang w:val="en-US" w:eastAsia="zh-CN" w:bidi="ar-SA"/>
        </w:rPr>
      </w:pPr>
      <w:r>
        <w:rPr>
          <w:rFonts w:hint="eastAsia" w:ascii="Times New Roman" w:hAnsi="Times New Roman" w:eastAsia="宋体" w:cs="Times New Roman"/>
          <w:b w:val="0"/>
          <w:bCs/>
          <w:color w:val="auto"/>
          <w:kern w:val="2"/>
          <w:sz w:val="24"/>
          <w:szCs w:val="22"/>
          <w:lang w:val="en-US" w:eastAsia="zh-CN" w:bidi="ar-SA"/>
        </w:rPr>
        <w:t>2.</w:t>
      </w:r>
      <w:r>
        <w:rPr>
          <w:rFonts w:hint="eastAsia" w:ascii="Times New Roman" w:hAnsi="Times New Roman" w:eastAsia="宋体" w:cs="Times New Roman"/>
          <w:b w:val="0"/>
          <w:bCs/>
          <w:color w:val="auto"/>
          <w:kern w:val="2"/>
          <w:sz w:val="24"/>
          <w:szCs w:val="22"/>
          <w:highlight w:val="none"/>
          <w:lang w:val="en-US" w:eastAsia="zh-CN" w:bidi="ar-SA"/>
        </w:rPr>
        <w:t>按国家规定的产品三包期限要求。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
          <w:sz w:val="24"/>
          <w:szCs w:val="22"/>
          <w:lang w:val="en-US" w:eastAsia="zh-CN" w:bidi="ar-SA"/>
        </w:rPr>
      </w:pPr>
      <w:r>
        <w:rPr>
          <w:rFonts w:hint="default" w:ascii="Times New Roman" w:hAnsi="Times New Roman" w:eastAsia="宋体" w:cs="Times New Roman"/>
          <w:b w:val="0"/>
          <w:bCs/>
          <w:color w:val="auto"/>
          <w:kern w:val="2"/>
          <w:sz w:val="24"/>
          <w:szCs w:val="22"/>
          <w:lang w:val="en-US" w:eastAsia="zh-CN" w:bidi="ar-SA"/>
        </w:rPr>
        <w:t>3.供应商提供的货物质量必须符合国家相关标准、行业标准及采购文件要求。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
          <w:sz w:val="24"/>
          <w:szCs w:val="22"/>
          <w:lang w:val="en-US" w:eastAsia="zh-CN" w:bidi="ar-SA"/>
        </w:rPr>
      </w:pPr>
      <w:r>
        <w:rPr>
          <w:rFonts w:hint="eastAsia" w:ascii="Times New Roman" w:hAnsi="Times New Roman" w:eastAsia="宋体" w:cs="Times New Roman"/>
          <w:b w:val="0"/>
          <w:bCs/>
          <w:color w:val="auto"/>
          <w:kern w:val="2"/>
          <w:sz w:val="24"/>
          <w:szCs w:val="22"/>
          <w:lang w:val="en-US" w:eastAsia="zh-CN" w:bidi="ar-SA"/>
        </w:rPr>
        <w:t>4.供应商提供的货物必须为原装出厂、正版、全新未启封、无污、表面无划痕、无缺陷隐患的产品，来源渠道合法，各项技术指标符合国家有关质量检测和环保标准，且无任何的侵权行为，货物在开箱检验时必须完好，无破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
          <w:sz w:val="24"/>
          <w:szCs w:val="22"/>
          <w:highlight w:val="none"/>
          <w:lang w:val="en-US" w:eastAsia="zh-CN" w:bidi="ar-SA"/>
        </w:rPr>
      </w:pPr>
      <w:r>
        <w:rPr>
          <w:rFonts w:hint="eastAsia" w:ascii="Times New Roman" w:hAnsi="Times New Roman" w:eastAsia="宋体" w:cs="Times New Roman"/>
          <w:b w:val="0"/>
          <w:bCs/>
          <w:color w:val="auto"/>
          <w:kern w:val="2"/>
          <w:sz w:val="24"/>
          <w:szCs w:val="22"/>
          <w:highlight w:val="none"/>
          <w:lang w:val="en-US" w:eastAsia="zh-CN" w:bidi="ar-SA"/>
        </w:rPr>
        <w:t>5.供应商提供的货物须按国家规定的标准及保护措施进行包装，包装材料、标识和随货资料应符合国家的有关要求。凡由于包装不良造成的损失和由此产生的费用均由供应商承担。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imes New Roman" w:hAnsi="Times New Roman" w:eastAsia="宋体" w:cs="Times New Roman"/>
          <w:b/>
          <w:bCs w:val="0"/>
          <w:color w:val="auto"/>
          <w:kern w:val="2"/>
          <w:sz w:val="28"/>
          <w:szCs w:val="24"/>
          <w:highlight w:val="none"/>
          <w:lang w:val="en-US" w:eastAsia="zh-CN" w:bidi="ar-SA"/>
        </w:rPr>
      </w:pPr>
      <w:r>
        <w:rPr>
          <w:rFonts w:hint="eastAsia" w:ascii="Times New Roman" w:hAnsi="Times New Roman" w:eastAsia="宋体" w:cs="Times New Roman"/>
          <w:b/>
          <w:bCs w:val="0"/>
          <w:color w:val="auto"/>
          <w:kern w:val="2"/>
          <w:sz w:val="28"/>
          <w:szCs w:val="24"/>
          <w:highlight w:val="none"/>
          <w:lang w:val="en-US" w:eastAsia="zh-CN" w:bidi="ar-SA"/>
        </w:rPr>
        <w:t>三、商务要求</w:t>
      </w:r>
    </w:p>
    <w:tbl>
      <w:tblPr>
        <w:tblStyle w:val="6"/>
        <w:tblW w:w="85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86"/>
        <w:gridCol w:w="68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86" w:type="dxa"/>
            <w:vAlign w:val="center"/>
          </w:tcPr>
          <w:p>
            <w:pPr>
              <w:pStyle w:val="10"/>
              <w:spacing w:line="360" w:lineRule="auto"/>
              <w:jc w:val="center"/>
              <w:rPr>
                <w:rFonts w:hint="eastAsia" w:cs="Tahoma"/>
                <w:b/>
                <w:bCs w:val="0"/>
                <w:color w:val="auto"/>
                <w:kern w:val="28"/>
                <w:sz w:val="21"/>
                <w:szCs w:val="21"/>
                <w:highlight w:val="none"/>
              </w:rPr>
            </w:pPr>
            <w:r>
              <w:rPr>
                <w:rFonts w:hint="eastAsia" w:cs="Tahoma"/>
                <w:b/>
                <w:bCs w:val="0"/>
                <w:color w:val="auto"/>
                <w:kern w:val="28"/>
                <w:sz w:val="21"/>
                <w:szCs w:val="21"/>
                <w:highlight w:val="none"/>
                <w:lang w:val="en-US" w:eastAsia="zh-CN"/>
              </w:rPr>
              <w:t>交货期</w:t>
            </w:r>
          </w:p>
        </w:tc>
        <w:tc>
          <w:tcPr>
            <w:tcW w:w="6814" w:type="dxa"/>
            <w:vAlign w:val="top"/>
          </w:tcPr>
          <w:p>
            <w:pPr>
              <w:pStyle w:val="10"/>
              <w:spacing w:line="360" w:lineRule="auto"/>
              <w:jc w:val="left"/>
              <w:rPr>
                <w:rFonts w:hint="eastAsia" w:cs="Tahoma"/>
                <w:b w:val="0"/>
                <w:bCs/>
                <w:color w:val="auto"/>
                <w:kern w:val="28"/>
                <w:sz w:val="21"/>
                <w:szCs w:val="21"/>
                <w:highlight w:val="none"/>
                <w:lang w:eastAsia="zh-CN"/>
              </w:rPr>
            </w:pPr>
            <w:r>
              <w:rPr>
                <w:rFonts w:hint="eastAsia" w:cs="Tahoma"/>
                <w:b w:val="0"/>
                <w:bCs/>
                <w:color w:val="auto"/>
                <w:kern w:val="28"/>
                <w:sz w:val="21"/>
                <w:szCs w:val="21"/>
                <w:highlight w:val="none"/>
                <w:lang w:eastAsia="zh-CN"/>
              </w:rPr>
              <w:t>自签订合同后</w:t>
            </w:r>
            <w:r>
              <w:rPr>
                <w:rFonts w:hint="eastAsia" w:cs="Tahoma"/>
                <w:b w:val="0"/>
                <w:bCs/>
                <w:color w:val="auto"/>
                <w:kern w:val="28"/>
                <w:sz w:val="21"/>
                <w:szCs w:val="21"/>
                <w:highlight w:val="none"/>
                <w:lang w:val="en-US" w:eastAsia="zh-CN"/>
              </w:rPr>
              <w:t>7</w:t>
            </w:r>
            <w:r>
              <w:rPr>
                <w:rFonts w:hint="eastAsia" w:cs="Tahoma"/>
                <w:b w:val="0"/>
                <w:bCs/>
                <w:color w:val="auto"/>
                <w:kern w:val="28"/>
                <w:sz w:val="21"/>
                <w:szCs w:val="21"/>
                <w:highlight w:val="none"/>
                <w:lang w:eastAsia="zh-CN"/>
              </w:rPr>
              <w:t>天内完成安装调试。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86" w:type="dxa"/>
            <w:vAlign w:val="center"/>
          </w:tcPr>
          <w:p>
            <w:pPr>
              <w:pStyle w:val="10"/>
              <w:spacing w:line="360" w:lineRule="auto"/>
              <w:jc w:val="center"/>
              <w:rPr>
                <w:rFonts w:hint="eastAsia" w:cs="Tahoma"/>
                <w:b/>
                <w:bCs w:val="0"/>
                <w:color w:val="auto"/>
                <w:kern w:val="28"/>
                <w:sz w:val="21"/>
                <w:szCs w:val="21"/>
                <w:highlight w:val="none"/>
              </w:rPr>
            </w:pPr>
            <w:r>
              <w:rPr>
                <w:rFonts w:hint="eastAsia" w:cs="Tahoma"/>
                <w:b/>
                <w:bCs w:val="0"/>
                <w:color w:val="auto"/>
                <w:kern w:val="28"/>
                <w:sz w:val="21"/>
                <w:szCs w:val="21"/>
                <w:highlight w:val="none"/>
                <w:lang w:val="en-US" w:eastAsia="zh-CN"/>
              </w:rPr>
              <w:t>交货地点</w:t>
            </w:r>
          </w:p>
        </w:tc>
        <w:tc>
          <w:tcPr>
            <w:tcW w:w="6814" w:type="dxa"/>
            <w:vAlign w:val="top"/>
          </w:tcPr>
          <w:p>
            <w:pPr>
              <w:pStyle w:val="10"/>
              <w:spacing w:line="360" w:lineRule="auto"/>
              <w:jc w:val="left"/>
              <w:rPr>
                <w:rFonts w:hint="eastAsia" w:cs="Tahoma"/>
                <w:b w:val="0"/>
                <w:bCs/>
                <w:color w:val="auto"/>
                <w:kern w:val="28"/>
                <w:sz w:val="21"/>
                <w:szCs w:val="21"/>
                <w:highlight w:val="none"/>
                <w:lang w:eastAsia="zh-CN"/>
              </w:rPr>
            </w:pPr>
            <w:r>
              <w:rPr>
                <w:rFonts w:hint="eastAsia" w:cs="Tahoma"/>
                <w:b w:val="0"/>
                <w:bCs/>
                <w:color w:val="auto"/>
                <w:kern w:val="28"/>
                <w:sz w:val="21"/>
                <w:szCs w:val="21"/>
                <w:highlight w:val="none"/>
                <w:lang w:eastAsia="zh-CN"/>
              </w:rPr>
              <w:t>采购人指定地点。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86" w:type="dxa"/>
            <w:vAlign w:val="center"/>
          </w:tcPr>
          <w:p>
            <w:pPr>
              <w:pStyle w:val="10"/>
              <w:pageBreakBefore w:val="0"/>
              <w:kinsoku/>
              <w:overflowPunct/>
              <w:bidi w:val="0"/>
              <w:spacing w:line="360" w:lineRule="auto"/>
              <w:jc w:val="center"/>
              <w:rPr>
                <w:rFonts w:hint="eastAsia" w:ascii="宋体" w:hAnsi="Times New Roman" w:eastAsia="宋体" w:cs="Tahoma"/>
                <w:b/>
                <w:bCs w:val="0"/>
                <w:color w:val="auto"/>
                <w:kern w:val="28"/>
                <w:sz w:val="21"/>
                <w:szCs w:val="21"/>
                <w:highlight w:val="none"/>
                <w:lang w:val="en-US" w:eastAsia="zh-CN" w:bidi="ar-SA"/>
              </w:rPr>
            </w:pPr>
            <w:r>
              <w:rPr>
                <w:rFonts w:hint="eastAsia" w:cs="Tahoma"/>
                <w:b/>
                <w:bCs w:val="0"/>
                <w:color w:val="auto"/>
                <w:kern w:val="28"/>
                <w:sz w:val="21"/>
                <w:szCs w:val="21"/>
                <w:highlight w:val="none"/>
                <w:lang w:eastAsia="zh-CN"/>
              </w:rPr>
              <w:t>响应</w:t>
            </w:r>
            <w:r>
              <w:rPr>
                <w:rFonts w:hint="eastAsia" w:cs="Tahoma"/>
                <w:b/>
                <w:bCs w:val="0"/>
                <w:color w:val="auto"/>
                <w:kern w:val="28"/>
                <w:sz w:val="21"/>
                <w:szCs w:val="21"/>
                <w:highlight w:val="none"/>
              </w:rPr>
              <w:t>有效期</w:t>
            </w:r>
          </w:p>
        </w:tc>
        <w:tc>
          <w:tcPr>
            <w:tcW w:w="6814" w:type="dxa"/>
            <w:vAlign w:val="top"/>
          </w:tcPr>
          <w:p>
            <w:pPr>
              <w:pStyle w:val="10"/>
              <w:pageBreakBefore w:val="0"/>
              <w:kinsoku/>
              <w:overflowPunct/>
              <w:bidi w:val="0"/>
              <w:spacing w:line="360" w:lineRule="auto"/>
              <w:jc w:val="left"/>
              <w:rPr>
                <w:rFonts w:hint="eastAsia" w:ascii="宋体" w:hAnsi="Times New Roman" w:eastAsia="宋体" w:cs="Tahoma"/>
                <w:b w:val="0"/>
                <w:bCs/>
                <w:color w:val="auto"/>
                <w:kern w:val="28"/>
                <w:sz w:val="21"/>
                <w:szCs w:val="21"/>
                <w:highlight w:val="none"/>
                <w:lang w:val="en-US" w:eastAsia="zh-CN" w:bidi="ar-SA"/>
              </w:rPr>
            </w:pPr>
            <w:r>
              <w:rPr>
                <w:rFonts w:hint="eastAsia" w:cs="Tahoma"/>
                <w:b w:val="0"/>
                <w:bCs/>
                <w:color w:val="auto"/>
                <w:kern w:val="28"/>
                <w:sz w:val="21"/>
                <w:szCs w:val="21"/>
                <w:highlight w:val="none"/>
                <w:lang w:eastAsia="zh-CN"/>
              </w:rPr>
              <w:t>从提交响应文件的截止之日起90日历天。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54" w:hRule="atLeast"/>
        </w:trPr>
        <w:tc>
          <w:tcPr>
            <w:tcW w:w="1686" w:type="dxa"/>
            <w:vAlign w:val="center"/>
          </w:tcPr>
          <w:p>
            <w:pPr>
              <w:pStyle w:val="10"/>
              <w:pageBreakBefore w:val="0"/>
              <w:kinsoku/>
              <w:overflowPunct/>
              <w:bidi w:val="0"/>
              <w:spacing w:line="360" w:lineRule="auto"/>
              <w:jc w:val="center"/>
              <w:rPr>
                <w:rFonts w:hint="eastAsia" w:ascii="宋体" w:hAnsi="Times New Roman" w:eastAsia="宋体" w:cs="Tahoma"/>
                <w:b/>
                <w:bCs w:val="0"/>
                <w:color w:val="auto"/>
                <w:kern w:val="28"/>
                <w:sz w:val="21"/>
                <w:szCs w:val="21"/>
                <w:highlight w:val="none"/>
                <w:lang w:val="en-US" w:eastAsia="zh-CN" w:bidi="ar-SA"/>
              </w:rPr>
            </w:pPr>
            <w:r>
              <w:rPr>
                <w:rFonts w:hint="eastAsia" w:ascii="宋体" w:hAnsi="Times New Roman" w:eastAsia="宋体" w:cs="Tahoma"/>
                <w:b/>
                <w:bCs w:val="0"/>
                <w:color w:val="auto"/>
                <w:kern w:val="28"/>
                <w:sz w:val="21"/>
                <w:szCs w:val="21"/>
                <w:highlight w:val="none"/>
                <w:lang w:val="en-US" w:eastAsia="zh-CN" w:bidi="ar-SA"/>
              </w:rPr>
              <w:t>付款方式</w:t>
            </w:r>
          </w:p>
        </w:tc>
        <w:tc>
          <w:tcPr>
            <w:tcW w:w="6814" w:type="dxa"/>
            <w:vAlign w:val="top"/>
          </w:tcPr>
          <w:p>
            <w:pPr>
              <w:pStyle w:val="9"/>
              <w:pageBreakBefore w:val="0"/>
              <w:kinsoku/>
              <w:overflowPunct/>
              <w:bidi w:val="0"/>
              <w:spacing w:line="360" w:lineRule="auto"/>
              <w:ind w:left="0" w:leftChars="0" w:firstLine="0" w:firstLineChars="0"/>
              <w:rPr>
                <w:rFonts w:hint="eastAsia" w:ascii="宋体" w:hAnsi="Times New Roman" w:eastAsia="宋体" w:cs="Tahoma"/>
                <w:b w:val="0"/>
                <w:bCs/>
                <w:color w:val="auto"/>
                <w:kern w:val="28"/>
                <w:sz w:val="21"/>
                <w:szCs w:val="21"/>
                <w:highlight w:val="none"/>
                <w:lang w:val="en-US" w:eastAsia="zh-CN" w:bidi="ar-SA"/>
              </w:rPr>
            </w:pPr>
            <w:r>
              <w:rPr>
                <w:rFonts w:hint="eastAsia" w:ascii="宋体" w:hAnsi="Times New Roman" w:eastAsia="宋体" w:cs="Tahoma"/>
                <w:b w:val="0"/>
                <w:bCs/>
                <w:color w:val="auto"/>
                <w:kern w:val="28"/>
                <w:sz w:val="21"/>
                <w:szCs w:val="21"/>
                <w:highlight w:val="none"/>
                <w:lang w:val="en-US" w:eastAsia="zh-CN" w:bidi="ar-SA"/>
              </w:rPr>
              <w:t>1.本项目的款项以人民币</w:t>
            </w:r>
            <w:r>
              <w:rPr>
                <w:rFonts w:hint="eastAsia" w:ascii="宋体" w:cs="Tahoma"/>
                <w:b w:val="0"/>
                <w:bCs/>
                <w:color w:val="auto"/>
                <w:kern w:val="28"/>
                <w:sz w:val="21"/>
                <w:szCs w:val="21"/>
                <w:highlight w:val="none"/>
                <w:lang w:val="en-US" w:eastAsia="zh-CN" w:bidi="ar-SA"/>
              </w:rPr>
              <w:t>银行转账</w:t>
            </w:r>
            <w:r>
              <w:rPr>
                <w:rFonts w:hint="eastAsia" w:ascii="宋体" w:hAnsi="Times New Roman" w:eastAsia="宋体" w:cs="Tahoma"/>
                <w:b w:val="0"/>
                <w:bCs/>
                <w:color w:val="auto"/>
                <w:kern w:val="28"/>
                <w:sz w:val="21"/>
                <w:szCs w:val="21"/>
                <w:highlight w:val="none"/>
                <w:lang w:val="en-US" w:eastAsia="zh-CN" w:bidi="ar-SA"/>
              </w:rPr>
              <w:t>方式支付；</w:t>
            </w:r>
          </w:p>
          <w:p>
            <w:pPr>
              <w:pStyle w:val="9"/>
              <w:pageBreakBefore w:val="0"/>
              <w:kinsoku/>
              <w:overflowPunct/>
              <w:bidi w:val="0"/>
              <w:spacing w:line="360" w:lineRule="auto"/>
              <w:ind w:left="0" w:leftChars="0" w:firstLine="0" w:firstLineChars="0"/>
              <w:rPr>
                <w:rFonts w:hint="eastAsia" w:ascii="宋体" w:hAnsi="Times New Roman" w:eastAsia="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2.</w:t>
            </w:r>
            <w:r>
              <w:rPr>
                <w:rFonts w:hint="eastAsia" w:ascii="宋体" w:hAnsi="Times New Roman" w:eastAsia="宋体" w:cs="Tahoma"/>
                <w:b w:val="0"/>
                <w:bCs/>
                <w:color w:val="auto"/>
                <w:kern w:val="28"/>
                <w:sz w:val="21"/>
                <w:szCs w:val="21"/>
                <w:highlight w:val="none"/>
                <w:lang w:val="en-US" w:eastAsia="zh-CN" w:bidi="ar-SA"/>
              </w:rPr>
              <w:t>成交供应商将货物交付、安装调试完毕，经采购人验收合格且收到核对无误的全额发票等申请款项资料后，采购人60日内支付合同款的100%给成交供应商。</w:t>
            </w:r>
          </w:p>
          <w:p>
            <w:pPr>
              <w:pStyle w:val="9"/>
              <w:pageBreakBefore w:val="0"/>
              <w:kinsoku/>
              <w:overflowPunct/>
              <w:bidi w:val="0"/>
              <w:spacing w:line="360" w:lineRule="auto"/>
              <w:ind w:left="0" w:leftChars="0" w:firstLine="0" w:firstLineChars="0"/>
              <w:rPr>
                <w:rFonts w:hint="eastAsia" w:ascii="宋体" w:hAnsi="Times New Roman" w:eastAsia="宋体" w:cs="Tahoma"/>
                <w:b w:val="0"/>
                <w:bCs/>
                <w:color w:val="auto"/>
                <w:kern w:val="28"/>
                <w:sz w:val="21"/>
                <w:szCs w:val="21"/>
                <w:highlight w:val="none"/>
                <w:lang w:val="en-US" w:eastAsia="zh-CN" w:bidi="ar-SA"/>
              </w:rPr>
            </w:pPr>
            <w:r>
              <w:rPr>
                <w:rFonts w:hint="eastAsia" w:ascii="宋体" w:hAnsi="Times New Roman" w:eastAsia="宋体" w:cs="Tahoma"/>
                <w:b w:val="0"/>
                <w:bCs/>
                <w:color w:val="auto"/>
                <w:kern w:val="28"/>
                <w:sz w:val="21"/>
                <w:szCs w:val="21"/>
                <w:highlight w:val="none"/>
                <w:lang w:val="en-US" w:eastAsia="zh-CN" w:bidi="ar-SA"/>
              </w:rPr>
              <w:t>3.因采购人使用的是财政资金，按政府审批流程支付，若审批延迟则相应款项到账延迟，且不视为采购人违约。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54" w:hRule="atLeast"/>
        </w:trPr>
        <w:tc>
          <w:tcPr>
            <w:tcW w:w="1686" w:type="dxa"/>
            <w:vAlign w:val="center"/>
          </w:tcPr>
          <w:p>
            <w:pPr>
              <w:pStyle w:val="10"/>
              <w:pageBreakBefore w:val="0"/>
              <w:kinsoku/>
              <w:overflowPunct/>
              <w:bidi w:val="0"/>
              <w:spacing w:line="360" w:lineRule="auto"/>
              <w:jc w:val="center"/>
              <w:rPr>
                <w:rFonts w:hint="eastAsia" w:ascii="宋体" w:hAnsi="Times New Roman" w:eastAsia="宋体" w:cs="Tahoma"/>
                <w:b/>
                <w:bCs w:val="0"/>
                <w:color w:val="auto"/>
                <w:kern w:val="28"/>
                <w:sz w:val="21"/>
                <w:szCs w:val="21"/>
                <w:highlight w:val="none"/>
                <w:lang w:val="en-US" w:eastAsia="zh-CN" w:bidi="ar-SA"/>
              </w:rPr>
            </w:pPr>
            <w:r>
              <w:rPr>
                <w:rFonts w:hint="eastAsia" w:cs="Tahoma"/>
                <w:b/>
                <w:bCs w:val="0"/>
                <w:color w:val="auto"/>
                <w:kern w:val="28"/>
                <w:sz w:val="21"/>
                <w:szCs w:val="21"/>
                <w:highlight w:val="none"/>
                <w:lang w:val="en-US" w:eastAsia="zh-CN" w:bidi="ar-SA"/>
              </w:rPr>
              <w:t>验收要求</w:t>
            </w:r>
          </w:p>
        </w:tc>
        <w:tc>
          <w:tcPr>
            <w:tcW w:w="6814" w:type="dxa"/>
            <w:vAlign w:val="top"/>
          </w:tcPr>
          <w:p>
            <w:pPr>
              <w:pStyle w:val="9"/>
              <w:pageBreakBefore w:val="0"/>
              <w:kinsoku/>
              <w:overflowPunct/>
              <w:bidi w:val="0"/>
              <w:spacing w:line="360" w:lineRule="auto"/>
              <w:ind w:left="0" w:leftChars="0" w:firstLine="0" w:firstLineChars="0"/>
              <w:rPr>
                <w:rFonts w:hint="eastAsia" w:ascii="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1.货物安装调试完成后5个工作日内验收，验收应在采购人和成交供应商双方共同参加下进行，验收标准按照国家有关标准。</w:t>
            </w:r>
          </w:p>
          <w:p>
            <w:pPr>
              <w:pStyle w:val="9"/>
              <w:pageBreakBefore w:val="0"/>
              <w:kinsoku/>
              <w:overflowPunct/>
              <w:bidi w:val="0"/>
              <w:spacing w:line="360" w:lineRule="auto"/>
              <w:ind w:left="0" w:leftChars="0" w:firstLine="0" w:firstLineChars="0"/>
              <w:rPr>
                <w:rFonts w:hint="eastAsia" w:ascii="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2.验收时如发现所交付的货物有短装、次品、损坏或其它不符合本合同规定之情形者，采购人应做出详尽的现场记录，或由采购人和成交供应商双方签署备忘录。此现场记录或备忘录可用作补充、缺失和更换损坏部件的有效证据。若发生上述情形，采购人有权要求退货或换货，由此产生的有关费用由成交供应商承担，验收期限相应后延。</w:t>
            </w:r>
          </w:p>
          <w:p>
            <w:pPr>
              <w:pStyle w:val="9"/>
              <w:pageBreakBefore w:val="0"/>
              <w:kinsoku/>
              <w:overflowPunct/>
              <w:bidi w:val="0"/>
              <w:spacing w:line="360" w:lineRule="auto"/>
              <w:ind w:left="0" w:leftChars="0" w:firstLine="0" w:firstLineChars="0"/>
              <w:rPr>
                <w:rFonts w:hint="eastAsia" w:ascii="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3.如果货物运输和安装调试过程中因事故造成货物短缺、损坏，成交供应商应及时安排换装，以保证货物安装调试的成功完成。换货的相关费用由成交供应商承担。</w:t>
            </w:r>
          </w:p>
          <w:p>
            <w:pPr>
              <w:pStyle w:val="9"/>
              <w:pageBreakBefore w:val="0"/>
              <w:kinsoku/>
              <w:overflowPunct/>
              <w:bidi w:val="0"/>
              <w:spacing w:line="360" w:lineRule="auto"/>
              <w:ind w:left="0" w:leftChars="0" w:firstLine="0" w:firstLineChars="0"/>
              <w:rPr>
                <w:rFonts w:hint="eastAsia" w:ascii="宋体" w:cs="Tahoma"/>
                <w:b w:val="0"/>
                <w:bCs/>
                <w:color w:val="auto"/>
                <w:kern w:val="28"/>
                <w:sz w:val="21"/>
                <w:szCs w:val="21"/>
                <w:highlight w:val="none"/>
                <w:lang w:val="en-US" w:eastAsia="zh-CN" w:bidi="ar-SA"/>
              </w:rPr>
            </w:pPr>
            <w:r>
              <w:rPr>
                <w:rFonts w:hint="eastAsia" w:ascii="宋体" w:cs="Tahoma"/>
                <w:b w:val="0"/>
                <w:bCs/>
                <w:color w:val="auto"/>
                <w:kern w:val="28"/>
                <w:sz w:val="21"/>
                <w:szCs w:val="21"/>
                <w:highlight w:val="none"/>
                <w:lang w:val="en-US" w:eastAsia="zh-CN" w:bidi="ar-SA"/>
              </w:rPr>
              <w:t>4.成交供应商保证提供的货物不侵犯任何第三方的专利、商标或版权。否则，成交供应商须承担对第三方的专利或版权的侵权责任并承担因此而发生的所有费用。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86" w:type="dxa"/>
            <w:vAlign w:val="center"/>
          </w:tcPr>
          <w:p>
            <w:pPr>
              <w:pStyle w:val="10"/>
              <w:pageBreakBefore w:val="0"/>
              <w:kinsoku/>
              <w:overflowPunct/>
              <w:bidi w:val="0"/>
              <w:spacing w:line="360" w:lineRule="auto"/>
              <w:jc w:val="center"/>
              <w:rPr>
                <w:rFonts w:hint="eastAsia" w:eastAsia="宋体" w:cs="Tahoma"/>
                <w:b/>
                <w:bCs w:val="0"/>
                <w:color w:val="auto"/>
                <w:kern w:val="28"/>
                <w:sz w:val="21"/>
                <w:szCs w:val="21"/>
                <w:highlight w:val="none"/>
                <w:lang w:eastAsia="zh-CN"/>
              </w:rPr>
            </w:pPr>
            <w:r>
              <w:rPr>
                <w:rFonts w:hint="eastAsia" w:cs="Tahoma"/>
                <w:b/>
                <w:bCs w:val="0"/>
                <w:color w:val="auto"/>
                <w:kern w:val="28"/>
                <w:sz w:val="21"/>
                <w:szCs w:val="21"/>
                <w:highlight w:val="none"/>
                <w:lang w:eastAsia="zh-CN"/>
              </w:rPr>
              <w:t>质保期</w:t>
            </w:r>
          </w:p>
        </w:tc>
        <w:tc>
          <w:tcPr>
            <w:tcW w:w="6814" w:type="dxa"/>
            <w:vAlign w:val="top"/>
          </w:tcPr>
          <w:p>
            <w:pPr>
              <w:pStyle w:val="10"/>
              <w:pageBreakBefore w:val="0"/>
              <w:kinsoku/>
              <w:overflowPunct/>
              <w:bidi w:val="0"/>
              <w:spacing w:line="360" w:lineRule="auto"/>
              <w:jc w:val="left"/>
              <w:rPr>
                <w:rFonts w:hint="eastAsia" w:cs="Tahoma"/>
                <w:b w:val="0"/>
                <w:bCs/>
                <w:color w:val="auto"/>
                <w:kern w:val="28"/>
                <w:sz w:val="21"/>
                <w:szCs w:val="21"/>
                <w:highlight w:val="none"/>
                <w:lang w:eastAsia="zh-CN"/>
              </w:rPr>
            </w:pPr>
            <w:r>
              <w:rPr>
                <w:rFonts w:hint="eastAsia" w:cs="Tahoma"/>
                <w:b w:val="0"/>
                <w:bCs/>
                <w:color w:val="auto"/>
                <w:kern w:val="28"/>
                <w:sz w:val="21"/>
                <w:szCs w:val="21"/>
                <w:highlight w:val="none"/>
                <w:lang w:eastAsia="zh-CN"/>
              </w:rPr>
              <w:t>整机质保期≥</w:t>
            </w:r>
            <w:r>
              <w:rPr>
                <w:rFonts w:hint="eastAsia" w:cs="Tahoma"/>
                <w:b w:val="0"/>
                <w:bCs/>
                <w:color w:val="auto"/>
                <w:kern w:val="28"/>
                <w:sz w:val="21"/>
                <w:szCs w:val="21"/>
                <w:highlight w:val="none"/>
                <w:lang w:val="en-US" w:eastAsia="zh-CN"/>
              </w:rPr>
              <w:t>3</w:t>
            </w:r>
            <w:r>
              <w:rPr>
                <w:rFonts w:hint="eastAsia" w:cs="Tahoma"/>
                <w:b w:val="0"/>
                <w:bCs/>
                <w:color w:val="auto"/>
                <w:kern w:val="28"/>
                <w:sz w:val="21"/>
                <w:szCs w:val="21"/>
                <w:highlight w:val="none"/>
                <w:lang w:eastAsia="zh-CN"/>
              </w:rPr>
              <w:t>年</w:t>
            </w:r>
            <w:r>
              <w:rPr>
                <w:rFonts w:hint="eastAsia" w:cs="Tahoma"/>
                <w:b w:val="0"/>
                <w:bCs/>
                <w:color w:val="auto"/>
                <w:kern w:val="28"/>
                <w:sz w:val="21"/>
                <w:szCs w:val="21"/>
                <w:highlight w:val="none"/>
                <w:lang w:val="en-US" w:eastAsia="zh-CN"/>
              </w:rPr>
              <w:t>。</w:t>
            </w:r>
            <w:r>
              <w:rPr>
                <w:rFonts w:hint="eastAsia" w:cs="Tahoma"/>
                <w:b w:val="0"/>
                <w:bCs/>
                <w:color w:val="auto"/>
                <w:kern w:val="28"/>
                <w:sz w:val="21"/>
                <w:szCs w:val="21"/>
                <w:highlight w:val="none"/>
                <w:lang w:eastAsia="zh-CN"/>
              </w:rPr>
              <w:t>质保期内非因采购人的人为原因而出现产品质量及安装问题，由成交供应商负责包修、包换或包退，并承担因此而产生的一切费用。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86" w:type="dxa"/>
            <w:vAlign w:val="center"/>
          </w:tcPr>
          <w:p>
            <w:pPr>
              <w:pStyle w:val="10"/>
              <w:pageBreakBefore w:val="0"/>
              <w:kinsoku/>
              <w:overflowPunct/>
              <w:bidi w:val="0"/>
              <w:spacing w:line="360" w:lineRule="auto"/>
              <w:jc w:val="center"/>
              <w:rPr>
                <w:rFonts w:hint="eastAsia" w:cs="Tahoma"/>
                <w:b/>
                <w:bCs w:val="0"/>
                <w:color w:val="auto"/>
                <w:kern w:val="28"/>
                <w:sz w:val="21"/>
                <w:szCs w:val="21"/>
                <w:highlight w:val="none"/>
              </w:rPr>
            </w:pPr>
            <w:r>
              <w:rPr>
                <w:rFonts w:hint="eastAsia" w:cs="Tahoma"/>
                <w:b/>
                <w:bCs w:val="0"/>
                <w:color w:val="auto"/>
                <w:kern w:val="28"/>
                <w:sz w:val="21"/>
                <w:szCs w:val="21"/>
                <w:highlight w:val="none"/>
              </w:rPr>
              <w:t>履约保证金</w:t>
            </w:r>
          </w:p>
        </w:tc>
        <w:tc>
          <w:tcPr>
            <w:tcW w:w="6814" w:type="dxa"/>
            <w:vAlign w:val="top"/>
          </w:tcPr>
          <w:p>
            <w:pPr>
              <w:pStyle w:val="10"/>
              <w:pageBreakBefore w:val="0"/>
              <w:kinsoku/>
              <w:overflowPunct/>
              <w:bidi w:val="0"/>
              <w:spacing w:line="360" w:lineRule="auto"/>
              <w:jc w:val="left"/>
              <w:rPr>
                <w:rFonts w:hint="eastAsia" w:cs="Tahoma"/>
                <w:b w:val="0"/>
                <w:bCs/>
                <w:color w:val="auto"/>
                <w:kern w:val="28"/>
                <w:sz w:val="21"/>
                <w:szCs w:val="21"/>
                <w:highlight w:val="none"/>
                <w:lang w:eastAsia="zh-CN"/>
              </w:rPr>
            </w:pPr>
            <w:r>
              <w:rPr>
                <w:rFonts w:hint="eastAsia" w:cs="Tahoma"/>
                <w:b w:val="0"/>
                <w:bCs/>
                <w:color w:val="auto"/>
                <w:kern w:val="28"/>
                <w:sz w:val="21"/>
                <w:szCs w:val="21"/>
                <w:highlight w:val="none"/>
                <w:lang w:eastAsia="zh-CN"/>
              </w:rPr>
              <w:t>不收取。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686" w:type="dxa"/>
            <w:vAlign w:val="center"/>
          </w:tcPr>
          <w:p>
            <w:pPr>
              <w:pageBreakBefore w:val="0"/>
              <w:widowControl/>
              <w:tabs>
                <w:tab w:val="left" w:pos="636"/>
              </w:tabs>
              <w:kinsoku/>
              <w:overflowPunct/>
              <w:autoSpaceDE w:val="0"/>
              <w:autoSpaceDN w:val="0"/>
              <w:bidi w:val="0"/>
              <w:spacing w:line="360" w:lineRule="auto"/>
              <w:jc w:val="center"/>
              <w:textAlignment w:val="bottom"/>
              <w:rPr>
                <w:rFonts w:hint="eastAsia" w:cs="Tahoma"/>
                <w:b/>
                <w:bCs w:val="0"/>
                <w:color w:val="auto"/>
                <w:kern w:val="28"/>
                <w:sz w:val="21"/>
                <w:szCs w:val="21"/>
                <w:highlight w:val="none"/>
              </w:rPr>
            </w:pPr>
            <w:r>
              <w:rPr>
                <w:rFonts w:hint="eastAsia" w:ascii="宋体" w:hAnsi="宋体" w:eastAsia="宋体" w:cs="宋体"/>
                <w:b/>
                <w:bCs w:val="0"/>
                <w:color w:val="auto"/>
                <w:sz w:val="21"/>
                <w:szCs w:val="21"/>
                <w:highlight w:val="none"/>
                <w:lang w:val="en-US" w:eastAsia="zh-CN"/>
              </w:rPr>
              <w:t>报价说明</w:t>
            </w:r>
          </w:p>
        </w:tc>
        <w:tc>
          <w:tcPr>
            <w:tcW w:w="6814" w:type="dxa"/>
            <w:vAlign w:val="top"/>
          </w:tcPr>
          <w:p>
            <w:pPr>
              <w:widowControl/>
              <w:spacing w:line="360" w:lineRule="auto"/>
              <w:jc w:val="left"/>
              <w:rPr>
                <w:rFonts w:hint="eastAsia" w:ascii="宋体" w:hAnsi="宋体" w:cs="宋体"/>
                <w:b w:val="0"/>
                <w:bCs/>
                <w:color w:val="auto"/>
                <w:szCs w:val="21"/>
              </w:rPr>
            </w:pPr>
            <w:r>
              <w:rPr>
                <w:rFonts w:hint="eastAsia" w:ascii="宋体" w:hAnsi="宋体" w:cs="宋体"/>
                <w:b w:val="0"/>
                <w:bCs/>
                <w:color w:val="auto"/>
                <w:szCs w:val="21"/>
              </w:rPr>
              <w:t>1.</w:t>
            </w:r>
            <w:r>
              <w:rPr>
                <w:rFonts w:hint="eastAsia" w:ascii="宋体" w:hAnsi="宋体" w:cs="宋体"/>
                <w:b w:val="0"/>
                <w:bCs/>
                <w:color w:val="auto"/>
                <w:szCs w:val="21"/>
                <w:lang w:eastAsia="zh-CN"/>
              </w:rPr>
              <w:t>成交供应商</w:t>
            </w:r>
            <w:r>
              <w:rPr>
                <w:rFonts w:hint="eastAsia" w:ascii="宋体" w:hAnsi="宋体" w:cs="宋体"/>
                <w:b w:val="0"/>
                <w:bCs/>
                <w:color w:val="auto"/>
                <w:szCs w:val="21"/>
              </w:rPr>
              <w:t>负责</w:t>
            </w:r>
            <w:r>
              <w:rPr>
                <w:rFonts w:hint="eastAsia" w:ascii="宋体" w:hAnsi="宋体" w:cs="宋体"/>
                <w:b w:val="0"/>
                <w:bCs/>
                <w:color w:val="auto"/>
                <w:szCs w:val="21"/>
                <w:lang w:eastAsia="zh-CN"/>
              </w:rPr>
              <w:t>采购文件</w:t>
            </w:r>
            <w:r>
              <w:rPr>
                <w:rFonts w:hint="eastAsia" w:ascii="宋体" w:hAnsi="宋体" w:cs="宋体"/>
                <w:b w:val="0"/>
                <w:bCs/>
                <w:color w:val="auto"/>
                <w:szCs w:val="21"/>
              </w:rPr>
              <w:t>对</w:t>
            </w:r>
            <w:r>
              <w:rPr>
                <w:rFonts w:hint="eastAsia" w:ascii="宋体" w:hAnsi="宋体" w:cs="宋体"/>
                <w:b w:val="0"/>
                <w:bCs/>
                <w:color w:val="auto"/>
                <w:szCs w:val="21"/>
                <w:lang w:eastAsia="zh-CN"/>
              </w:rPr>
              <w:t>成交供应商</w:t>
            </w:r>
            <w:r>
              <w:rPr>
                <w:rFonts w:hint="eastAsia" w:ascii="宋体" w:hAnsi="宋体" w:cs="宋体"/>
                <w:b w:val="0"/>
                <w:bCs/>
                <w:color w:val="auto"/>
                <w:szCs w:val="21"/>
              </w:rPr>
              <w:t>要求的一切事宜及责任，以及合同实施过程中的应预见和不可预见的一切费用。</w:t>
            </w:r>
          </w:p>
          <w:p>
            <w:pPr>
              <w:spacing w:line="360" w:lineRule="auto"/>
              <w:rPr>
                <w:rFonts w:hint="eastAsia"/>
                <w:b/>
                <w:color w:val="auto"/>
                <w:szCs w:val="21"/>
                <w:lang w:val="en-US" w:eastAsia="zh-CN"/>
              </w:rPr>
            </w:pPr>
            <w:r>
              <w:rPr>
                <w:rFonts w:hint="eastAsia" w:ascii="宋体" w:hAnsi="宋体" w:cs="宋体"/>
                <w:b w:val="0"/>
                <w:bCs/>
                <w:color w:val="auto"/>
                <w:szCs w:val="21"/>
              </w:rPr>
              <w:t>2.</w:t>
            </w:r>
            <w:r>
              <w:rPr>
                <w:rFonts w:hint="eastAsia" w:ascii="宋体" w:hAnsi="宋体" w:cs="宋体"/>
                <w:b w:val="0"/>
                <w:bCs/>
                <w:color w:val="auto"/>
                <w:szCs w:val="21"/>
                <w:lang w:val="en-US" w:eastAsia="zh-CN"/>
              </w:rPr>
              <w:t>本项目报价包括货物、其它相关配件、包装、安装、各项税费、运费、保险费、仓储费等的全部费用，成交供应商不得以任何理由向采购人加收其他任何费用。</w:t>
            </w:r>
          </w:p>
          <w:p>
            <w:pPr>
              <w:widowControl/>
              <w:spacing w:line="360" w:lineRule="auto"/>
              <w:jc w:val="left"/>
              <w:rPr>
                <w:rFonts w:hint="eastAsia" w:cs="Tahoma"/>
                <w:b w:val="0"/>
                <w:bCs/>
                <w:color w:val="auto"/>
                <w:kern w:val="28"/>
                <w:sz w:val="21"/>
                <w:szCs w:val="21"/>
                <w:highlight w:val="none"/>
                <w:lang w:eastAsia="zh-CN"/>
              </w:rPr>
            </w:pPr>
            <w:r>
              <w:rPr>
                <w:rFonts w:hint="eastAsia" w:ascii="宋体" w:hAnsi="宋体" w:cs="宋体"/>
                <w:b w:val="0"/>
                <w:bCs/>
                <w:color w:val="auto"/>
                <w:szCs w:val="21"/>
                <w:lang w:val="en-US" w:eastAsia="zh-CN"/>
              </w:rPr>
              <w:t>3</w:t>
            </w:r>
            <w:r>
              <w:rPr>
                <w:rFonts w:hint="eastAsia" w:ascii="宋体" w:hAnsi="宋体" w:cs="宋体"/>
                <w:b w:val="0"/>
                <w:bCs/>
                <w:color w:val="auto"/>
                <w:szCs w:val="21"/>
              </w:rPr>
              <w:t>.如果</w:t>
            </w:r>
            <w:r>
              <w:rPr>
                <w:rFonts w:hint="eastAsia" w:ascii="宋体" w:hAnsi="宋体" w:cs="宋体"/>
                <w:b w:val="0"/>
                <w:bCs/>
                <w:color w:val="auto"/>
                <w:szCs w:val="21"/>
                <w:lang w:eastAsia="zh-CN"/>
              </w:rPr>
              <w:t>供应商</w:t>
            </w:r>
            <w:r>
              <w:rPr>
                <w:rFonts w:hint="eastAsia" w:ascii="宋体" w:hAnsi="宋体" w:cs="宋体"/>
                <w:b w:val="0"/>
                <w:bCs/>
                <w:color w:val="auto"/>
                <w:szCs w:val="21"/>
              </w:rPr>
              <w:t>在合同履行过程中出现任何遗漏，均由</w:t>
            </w:r>
            <w:r>
              <w:rPr>
                <w:rFonts w:hint="eastAsia" w:ascii="宋体" w:hAnsi="宋体" w:cs="宋体"/>
                <w:b w:val="0"/>
                <w:bCs/>
                <w:color w:val="auto"/>
                <w:szCs w:val="21"/>
                <w:lang w:eastAsia="zh-CN"/>
              </w:rPr>
              <w:t>成交供应商</w:t>
            </w:r>
            <w:r>
              <w:rPr>
                <w:rFonts w:hint="eastAsia" w:ascii="宋体" w:hAnsi="宋体" w:cs="宋体"/>
                <w:b w:val="0"/>
                <w:bCs/>
                <w:color w:val="auto"/>
                <w:szCs w:val="21"/>
              </w:rPr>
              <w:t>负责提供，不再另外收取费用。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230" w:hRule="atLeast"/>
        </w:trPr>
        <w:tc>
          <w:tcPr>
            <w:tcW w:w="1686" w:type="dxa"/>
            <w:vAlign w:val="center"/>
          </w:tcPr>
          <w:p>
            <w:pPr>
              <w:pageBreakBefore w:val="0"/>
              <w:widowControl/>
              <w:tabs>
                <w:tab w:val="left" w:pos="636"/>
              </w:tabs>
              <w:kinsoku/>
              <w:overflowPunct/>
              <w:autoSpaceDE w:val="0"/>
              <w:autoSpaceDN w:val="0"/>
              <w:bidi w:val="0"/>
              <w:spacing w:line="440" w:lineRule="exact"/>
              <w:jc w:val="center"/>
              <w:textAlignment w:val="bottom"/>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违约责任</w:t>
            </w:r>
          </w:p>
        </w:tc>
        <w:tc>
          <w:tcPr>
            <w:tcW w:w="6814" w:type="dxa"/>
            <w:vAlign w:val="top"/>
          </w:tcPr>
          <w:p>
            <w:pPr>
              <w:tabs>
                <w:tab w:val="decimal" w:pos="315"/>
                <w:tab w:val="left" w:pos="630"/>
              </w:tabs>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未能按时交货，每拖延一天，须向采购人支付合同金额的5‰的违约金，逾期超过7日未能交付货物，则向采购人支付合同金额的20%的违约金，同时采购人有权单方解除合同。</w:t>
            </w:r>
          </w:p>
          <w:p>
            <w:pPr>
              <w:tabs>
                <w:tab w:val="decimal" w:pos="315"/>
                <w:tab w:val="left" w:pos="630"/>
              </w:tabs>
              <w:spacing w:line="440" w:lineRule="exact"/>
              <w:rPr>
                <w:rFonts w:hint="eastAsia" w:ascii="宋体" w:hAnsi="宋体" w:cs="宋体"/>
                <w:b w:val="0"/>
                <w:bCs/>
                <w:color w:val="auto"/>
                <w:szCs w:val="21"/>
                <w:lang w:val="en-US" w:eastAsia="zh-CN"/>
              </w:rPr>
            </w:pPr>
            <w:r>
              <w:rPr>
                <w:rFonts w:hint="eastAsia" w:ascii="宋体" w:hAnsi="宋体" w:eastAsia="宋体" w:cs="宋体"/>
                <w:color w:val="auto"/>
                <w:sz w:val="21"/>
                <w:szCs w:val="21"/>
                <w:highlight w:val="none"/>
              </w:rPr>
              <w:t>2</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交付的货物不符合项目规定的，采购人有权拒收，</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应对采购人承担赔偿责任。</w:t>
            </w:r>
          </w:p>
        </w:tc>
      </w:tr>
    </w:tbl>
    <w:p>
      <w:pPr>
        <w:keepNext w:val="0"/>
        <w:keepLines w:val="0"/>
        <w:widowControl/>
        <w:suppressLineNumbers w:val="0"/>
        <w:ind w:firstLine="560" w:firstLineChars="200"/>
        <w:jc w:val="left"/>
        <w:rPr>
          <w:rFonts w:hint="default" w:ascii="仿宋" w:hAnsi="仿宋" w:eastAsia="仿宋" w:cs="仿宋"/>
          <w:kern w:val="2"/>
          <w:sz w:val="28"/>
          <w:szCs w:val="28"/>
          <w:lang w:val="en-US" w:eastAsia="zh-CN" w:bidi="ar-SA"/>
        </w:rPr>
      </w:pPr>
    </w:p>
    <w:sectPr>
      <w:pgSz w:w="11906" w:h="16838"/>
      <w:pgMar w:top="1100" w:right="1519" w:bottom="110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5NDA2MWNjZjE2YjU5OGY4Mjk0MGMxNjM1OWQ2NzgifQ=="/>
  </w:docVars>
  <w:rsids>
    <w:rsidRoot w:val="00000000"/>
    <w:rsid w:val="004446F5"/>
    <w:rsid w:val="00614978"/>
    <w:rsid w:val="06C64EA2"/>
    <w:rsid w:val="06CA12FF"/>
    <w:rsid w:val="07046C52"/>
    <w:rsid w:val="079C4983"/>
    <w:rsid w:val="07D554B4"/>
    <w:rsid w:val="0879567C"/>
    <w:rsid w:val="09505A5B"/>
    <w:rsid w:val="0E4F7A60"/>
    <w:rsid w:val="0F726336"/>
    <w:rsid w:val="10FF31B3"/>
    <w:rsid w:val="11A146A2"/>
    <w:rsid w:val="14477EC0"/>
    <w:rsid w:val="159B027D"/>
    <w:rsid w:val="173C0AD6"/>
    <w:rsid w:val="179B606A"/>
    <w:rsid w:val="18A759B3"/>
    <w:rsid w:val="19263A4B"/>
    <w:rsid w:val="1ADD03C2"/>
    <w:rsid w:val="1B3917F3"/>
    <w:rsid w:val="1B6818C2"/>
    <w:rsid w:val="1C2259B3"/>
    <w:rsid w:val="210A1A06"/>
    <w:rsid w:val="224107B5"/>
    <w:rsid w:val="235315D2"/>
    <w:rsid w:val="24745564"/>
    <w:rsid w:val="256C29D9"/>
    <w:rsid w:val="259555DC"/>
    <w:rsid w:val="26F54479"/>
    <w:rsid w:val="27341555"/>
    <w:rsid w:val="27C26185"/>
    <w:rsid w:val="2991601D"/>
    <w:rsid w:val="2ADB451B"/>
    <w:rsid w:val="2B274C57"/>
    <w:rsid w:val="2CA3150A"/>
    <w:rsid w:val="2D182FF0"/>
    <w:rsid w:val="33E33B65"/>
    <w:rsid w:val="376D26B9"/>
    <w:rsid w:val="37E15394"/>
    <w:rsid w:val="3AED4F0C"/>
    <w:rsid w:val="3C647F54"/>
    <w:rsid w:val="3DE1637B"/>
    <w:rsid w:val="3E5365B8"/>
    <w:rsid w:val="3F9D38CE"/>
    <w:rsid w:val="40060E95"/>
    <w:rsid w:val="40300E10"/>
    <w:rsid w:val="411377D7"/>
    <w:rsid w:val="42A81C5B"/>
    <w:rsid w:val="443B68AC"/>
    <w:rsid w:val="44576961"/>
    <w:rsid w:val="44EB199C"/>
    <w:rsid w:val="459F5CA0"/>
    <w:rsid w:val="460222FB"/>
    <w:rsid w:val="47FC5A7C"/>
    <w:rsid w:val="48A64DFE"/>
    <w:rsid w:val="49BE7197"/>
    <w:rsid w:val="4DB9497E"/>
    <w:rsid w:val="50CB36A2"/>
    <w:rsid w:val="52E33AC0"/>
    <w:rsid w:val="535D4DFC"/>
    <w:rsid w:val="575158B5"/>
    <w:rsid w:val="575618BE"/>
    <w:rsid w:val="58C21972"/>
    <w:rsid w:val="594F18E1"/>
    <w:rsid w:val="5BE36CC5"/>
    <w:rsid w:val="61673FEA"/>
    <w:rsid w:val="63FF6F0D"/>
    <w:rsid w:val="67B205BD"/>
    <w:rsid w:val="68AB3430"/>
    <w:rsid w:val="696C5805"/>
    <w:rsid w:val="6A47768E"/>
    <w:rsid w:val="6D7C29DA"/>
    <w:rsid w:val="6EB54C4E"/>
    <w:rsid w:val="6F2B051F"/>
    <w:rsid w:val="73C46754"/>
    <w:rsid w:val="75687D2E"/>
    <w:rsid w:val="76EB58A6"/>
    <w:rsid w:val="779E0348"/>
    <w:rsid w:val="78C212E0"/>
    <w:rsid w:val="7CE53EA4"/>
    <w:rsid w:val="7E7924D3"/>
    <w:rsid w:val="7F672C91"/>
    <w:rsid w:val="7FB23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cs="Times New Roman"/>
      <w:kern w:val="0"/>
      <w:sz w:val="24"/>
      <w:szCs w:val="24"/>
    </w:rPr>
  </w:style>
  <w:style w:type="paragraph" w:styleId="4">
    <w:name w:val="annotation text"/>
    <w:basedOn w:val="1"/>
    <w:qFormat/>
    <w:uiPriority w:val="0"/>
    <w:pPr>
      <w:jc w:val="left"/>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_Style 3"/>
    <w:qFormat/>
    <w:uiPriority w:val="1"/>
    <w:pPr>
      <w:widowControl w:val="0"/>
      <w:jc w:val="both"/>
    </w:pPr>
    <w:rPr>
      <w:rFonts w:ascii="Calibri" w:hAnsi="Calibri" w:eastAsia="宋体" w:cs="Times New Roman"/>
      <w:kern w:val="2"/>
      <w:sz w:val="21"/>
      <w:szCs w:val="22"/>
      <w:lang w:val="en-US" w:eastAsia="zh-CN" w:bidi="ar-SA"/>
    </w:rPr>
  </w:style>
  <w:style w:type="paragraph" w:customStyle="1" w:styleId="9">
    <w:name w:val="投标正文小四"/>
    <w:basedOn w:val="1"/>
    <w:qFormat/>
    <w:uiPriority w:val="0"/>
    <w:pPr>
      <w:spacing w:line="360" w:lineRule="auto"/>
      <w:ind w:firstLine="200" w:firstLineChars="200"/>
    </w:pPr>
    <w:rPr>
      <w:sz w:val="24"/>
    </w:rPr>
  </w:style>
  <w:style w:type="paragraph" w:customStyle="1" w:styleId="10">
    <w:name w:val="正文1"/>
    <w:qFormat/>
    <w:uiPriority w:val="0"/>
    <w:pPr>
      <w:widowControl w:val="0"/>
      <w:adjustRightInd w:val="0"/>
      <w:spacing w:line="360" w:lineRule="atLeast"/>
      <w:jc w:val="both"/>
      <w:textAlignment w:val="baseline"/>
    </w:pPr>
    <w:rPr>
      <w:rFonts w:ascii="宋体" w:hAnsi="Times New Roman" w:eastAsia="宋体" w:cs="Times New Roman"/>
      <w:sz w:val="24"/>
      <w:szCs w:val="22"/>
      <w:lang w:val="en-US" w:eastAsia="zh-CN" w:bidi="ar-SA"/>
    </w:rPr>
  </w:style>
  <w:style w:type="paragraph" w:customStyle="1" w:styleId="11">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1682</Words>
  <Characters>1727</Characters>
  <Lines>0</Lines>
  <Paragraphs>0</Paragraphs>
  <ScaleCrop>false</ScaleCrop>
  <LinksUpToDate>false</LinksUpToDate>
  <CharactersWithSpaces>1742</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2024-03-07T02:48:00Z</dcterms:created>
  <dc:creator>Administrator</dc:creator>
  <cp:lastModifiedBy>赖宇娟</cp:lastModifiedBy>
  <dcterms:modified xsi:type="dcterms:W3CDTF">2026-05-12T03:32:41Z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1DD6392584384DD4AC503FC2543C62B6_12</vt:lpwstr>
  </property>
  <property fmtid="{D5CDD505-2E9C-101B-9397-08002B2CF9AE}" pid="4" name="KSOTemplateDocerSaveRecord">
    <vt:lpwstr>eyJoZGlkIjoiMWVmZjBjODNiMjI1YTgzYTQ0YWU5YjdmMjFjOWI4MWUiLCJ1c2VySWQiOiI1MDEzNzQyOTUifQ==</vt:lpwstr>
  </property>
</Properties>
</file>