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eastAsia="zh-CN"/>
        </w:rPr>
        <w:t>附件</w:t>
      </w:r>
      <w:r>
        <w:rPr>
          <w:rFonts w:hint="eastAsia" w:ascii="Times New Roman" w:hAnsi="Times New Roman" w:eastAsia="宋体" w:cs="Times New Roman"/>
          <w:b w:val="0"/>
          <w:bCs/>
          <w:color w:val="auto"/>
          <w:sz w:val="24"/>
          <w:szCs w:val="24"/>
          <w:lang w:val="en-US" w:eastAsia="zh-CN"/>
        </w:rPr>
        <w:t>1：</w:t>
      </w:r>
    </w:p>
    <w:p>
      <w:pPr>
        <w:pageBreakBefore w:val="0"/>
        <w:kinsoku/>
        <w:wordWrap/>
        <w:overflowPunct/>
        <w:topLinePunct w:val="0"/>
        <w:autoSpaceDE/>
        <w:autoSpaceDN/>
        <w:bidi w:val="0"/>
        <w:adjustRightInd/>
        <w:snapToGrid/>
        <w:spacing w:line="560" w:lineRule="exact"/>
        <w:jc w:val="center"/>
        <w:textAlignment w:val="auto"/>
        <w:rPr>
          <w:rFonts w:hint="eastAsia"/>
          <w:sz w:val="24"/>
          <w:szCs w:val="24"/>
          <w:lang w:eastAsia="zh-CN"/>
        </w:rPr>
      </w:pPr>
      <w:r>
        <w:rPr>
          <w:rFonts w:hint="eastAsia" w:ascii="Times New Roman" w:hAnsi="Times New Roman" w:eastAsia="宋体" w:cs="Times New Roman"/>
          <w:b/>
          <w:color w:val="auto"/>
          <w:sz w:val="32"/>
          <w:szCs w:val="32"/>
        </w:rPr>
        <w:t>用户需求书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项目概况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项目名称：中山市黄圃人民医院DRG系统CMI数据服务。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项目概述：为更好地完成医院绩效考核数据的填报以及医院每月绩效的统计，提高医院运营效率，我院需购置DRG系统CMI分组器服务并部署在我院内网服务器上</w:t>
      </w:r>
      <w:bookmarkStart w:id="0" w:name="_Toc4762965"/>
      <w:r>
        <w:rPr>
          <w:rFonts w:hint="eastAsia" w:ascii="宋体" w:hAnsi="宋体" w:eastAsia="宋体" w:cs="宋体"/>
          <w:b w:val="0"/>
          <w:bCs w:val="0"/>
          <w:color w:val="auto"/>
          <w:kern w:val="2"/>
          <w:sz w:val="24"/>
          <w:szCs w:val="24"/>
          <w:lang w:val="en-US" w:eastAsia="zh-CN" w:bidi="ar-SA"/>
        </w:rPr>
        <w:t>。通过对接医院的HIS及病案数据，进行CMI值测算</w:t>
      </w:r>
      <w:bookmarkStart w:id="1" w:name="_Toc14360"/>
      <w:r>
        <w:rPr>
          <w:rFonts w:hint="eastAsia" w:ascii="宋体" w:hAnsi="宋体" w:eastAsia="宋体" w:cs="宋体"/>
          <w:b w:val="0"/>
          <w:bCs w:val="0"/>
          <w:color w:val="auto"/>
          <w:kern w:val="2"/>
          <w:sz w:val="24"/>
          <w:szCs w:val="24"/>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交付内容：</w:t>
      </w:r>
    </w:p>
    <w:tbl>
      <w:tblPr>
        <w:tblStyle w:val="15"/>
        <w:tblW w:w="8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93"/>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序号</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内容</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CMI测算服务</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b w:val="0"/>
                <w:bCs w:val="0"/>
                <w:color w:val="auto"/>
                <w:kern w:val="2"/>
                <w:sz w:val="24"/>
                <w:szCs w:val="24"/>
                <w:lang w:val="en-US" w:eastAsia="zh-CN" w:bidi="ar-SA"/>
              </w:rPr>
              <w:t>预计使用CMI分组器协助分析统计16次及以上数据(含2026年下半年1次，2025年及2026年一整年各1次，2026年7月-2027年6月每月1次，2027年上半年1次)。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DRG报表服务</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b w:val="0"/>
                <w:bCs w:val="0"/>
                <w:color w:val="auto"/>
                <w:kern w:val="2"/>
                <w:sz w:val="24"/>
                <w:szCs w:val="24"/>
                <w:lang w:val="en-US" w:eastAsia="zh-CN" w:bidi="ar-SA"/>
              </w:rPr>
              <w:t>提供对应服务的系统功能供医院查询及导出，如：医疗能力、服务效率、质量安全、学科建设、DRG入组费用、DRG病种监测等报表模块。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临床端入组</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b w:val="0"/>
                <w:bCs w:val="0"/>
                <w:color w:val="auto"/>
                <w:kern w:val="2"/>
                <w:sz w:val="24"/>
                <w:szCs w:val="24"/>
                <w:lang w:val="en-US" w:eastAsia="zh-CN" w:bidi="ar-SA"/>
              </w:rPr>
              <w:t>支持对接医院HIS工作站，能为医院提供在院患者的DRG入组测算，供临床医生在工作站点击查看。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DRG服务研发及维护</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服务期内结合医院需求及应用场景，提供相关配套的研发服务，并基于研发成果提供维护服务。</w:t>
            </w:r>
          </w:p>
        </w:tc>
      </w:tr>
      <w:bookmarkEnd w:id="0"/>
      <w:bookmarkEnd w:id="1"/>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二、项目内容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（一）采购内容：医院</w:t>
      </w:r>
      <w:r>
        <w:rPr>
          <w:rFonts w:hint="eastAsia" w:ascii="宋体" w:hAnsi="宋体" w:eastAsia="宋体" w:cs="宋体"/>
          <w:color w:val="auto"/>
          <w:kern w:val="2"/>
          <w:sz w:val="24"/>
          <w:szCs w:val="24"/>
          <w:lang w:val="en-US" w:eastAsia="zh-CN" w:bidi="ar-SA"/>
        </w:rPr>
        <w:t>DRG系统CMI数据服务</w:t>
      </w:r>
      <w:r>
        <w:rPr>
          <w:rFonts w:hint="eastAsia" w:ascii="宋体" w:hAnsi="宋体" w:eastAsia="宋体" w:cs="宋体"/>
          <w:color w:val="auto"/>
          <w:sz w:val="24"/>
          <w:szCs w:val="24"/>
          <w:highlight w:val="none"/>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（二）服务期限：自合同签订生效之日起1年（具体起止时间以合同约定为准）。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（三）项目实施地点：采购人指定地点。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三、技术要求</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系统运行的安全性和稳定性是业务系统正常运行的重要保障。在系统设计和建设中要符合国家有关信息安全方面的法律、法规及技术要求，强化信息安全管理，制定和完善相关的应急处理预案，保证系统稳定运行。</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（二）系统应建立数据备份和恢复机制，确保数据丢失时可以及时恢复。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（三）系统需支持在高并发大数据量情况下的运行效率和稳定性。本系统作为医院信息化系统中的关键业务系统之一，系统的稳定性和可靠性将关系到整个医院经营管理日常工作。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b/>
          <w:bCs/>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四）接口费用：成交供应商在项目系统上线前应完成与第三方系统接口对接，因对接产生的一切费用由成交供应商承担。对接接口方式、标准必须按采购人要求，上述内容所产生的费用均包含在响应报价内，不再另行收取其他费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（一）服务内容： 医院</w:t>
      </w:r>
      <w:r>
        <w:rPr>
          <w:rFonts w:hint="eastAsia" w:ascii="宋体" w:hAnsi="宋体" w:eastAsia="宋体" w:cs="宋体"/>
          <w:color w:val="auto"/>
          <w:kern w:val="2"/>
          <w:sz w:val="24"/>
          <w:szCs w:val="24"/>
          <w:lang w:val="en-US" w:eastAsia="zh-CN" w:bidi="ar-SA"/>
        </w:rPr>
        <w:t>DRG系统CMI数据</w:t>
      </w:r>
      <w:r>
        <w:rPr>
          <w:rFonts w:hint="eastAsia" w:ascii="宋体" w:hAnsi="宋体" w:eastAsia="宋体" w:cs="宋体"/>
          <w:color w:val="auto"/>
          <w:sz w:val="24"/>
          <w:szCs w:val="24"/>
          <w:highlight w:val="none"/>
          <w:lang w:val="en-US" w:eastAsia="zh-CN"/>
        </w:rPr>
        <w:t>服务及交付DRG系统</w:t>
      </w:r>
      <w:r>
        <w:rPr>
          <w:rFonts w:hint="eastAsia" w:ascii="宋体" w:hAnsi="宋体" w:eastAsia="宋体" w:cs="宋体"/>
          <w:b w:val="0"/>
          <w:bCs w:val="0"/>
          <w:color w:val="auto"/>
          <w:sz w:val="24"/>
          <w:szCs w:val="24"/>
          <w:highlight w:val="none"/>
          <w:lang w:val="en-US" w:eastAsia="zh-Hans"/>
        </w:rPr>
        <w:t>（</w:t>
      </w:r>
      <w:r>
        <w:rPr>
          <w:rFonts w:hint="eastAsia" w:ascii="宋体" w:hAnsi="宋体" w:eastAsia="宋体" w:cs="宋体"/>
          <w:b w:val="0"/>
          <w:bCs w:val="0"/>
          <w:color w:val="auto"/>
          <w:sz w:val="24"/>
          <w:szCs w:val="24"/>
          <w:highlight w:val="none"/>
          <w:lang w:val="en-US" w:eastAsia="zh-CN"/>
        </w:rPr>
        <w:t>内容详</w:t>
      </w:r>
      <w:r>
        <w:rPr>
          <w:rFonts w:hint="eastAsia" w:ascii="宋体" w:hAnsi="宋体" w:eastAsia="宋体" w:cs="宋体"/>
          <w:b w:val="0"/>
          <w:bCs w:val="0"/>
          <w:color w:val="auto"/>
          <w:kern w:val="2"/>
          <w:sz w:val="24"/>
          <w:szCs w:val="24"/>
          <w:lang w:val="en-US" w:eastAsia="zh-CN" w:bidi="ar-SA"/>
        </w:rPr>
        <w:t>见</w:t>
      </w:r>
      <w:r>
        <w:rPr>
          <w:rFonts w:hint="eastAsia" w:ascii="宋体" w:hAnsi="宋体" w:eastAsia="宋体" w:cs="宋体"/>
          <w:b w:val="0"/>
          <w:bCs w:val="0"/>
          <w:color w:val="auto"/>
          <w:kern w:val="2"/>
          <w:sz w:val="24"/>
          <w:szCs w:val="24"/>
          <w:lang w:val="en-US" w:eastAsia="zh-Hans" w:bidi="ar-SA"/>
        </w:rPr>
        <w:t>附</w:t>
      </w:r>
      <w:r>
        <w:rPr>
          <w:rFonts w:hint="eastAsia" w:ascii="宋体" w:hAnsi="宋体" w:eastAsia="宋体" w:cs="宋体"/>
          <w:b w:val="0"/>
          <w:bCs w:val="0"/>
          <w:color w:val="auto"/>
          <w:kern w:val="2"/>
          <w:sz w:val="24"/>
          <w:szCs w:val="24"/>
          <w:lang w:val="en-US" w:eastAsia="zh-CN" w:bidi="ar-SA"/>
        </w:rPr>
        <w:t>表</w:t>
      </w:r>
      <w:r>
        <w:rPr>
          <w:rFonts w:hint="eastAsia" w:ascii="宋体" w:hAnsi="宋体" w:eastAsia="宋体" w:cs="宋体"/>
          <w:b w:val="0"/>
          <w:bCs w:val="0"/>
          <w:color w:val="auto"/>
          <w:sz w:val="24"/>
          <w:szCs w:val="24"/>
          <w:highlight w:val="none"/>
          <w:lang w:val="en-US" w:eastAsia="zh-CN"/>
        </w:rPr>
        <w:t>：DRG系统CMI数据服务需求</w:t>
      </w:r>
      <w:r>
        <w:rPr>
          <w:rFonts w:hint="eastAsia" w:ascii="宋体" w:hAnsi="宋体" w:eastAsia="宋体" w:cs="宋体"/>
          <w:b w:val="0"/>
          <w:bCs w:val="0"/>
          <w:color w:val="auto"/>
          <w:sz w:val="24"/>
          <w:szCs w:val="24"/>
          <w:highlight w:val="none"/>
          <w:lang w:val="en-US" w:eastAsia="zh-Hans"/>
        </w:rPr>
        <w:t>）</w:t>
      </w:r>
      <w:r>
        <w:rPr>
          <w:rFonts w:hint="eastAsia" w:ascii="宋体" w:hAnsi="宋体" w:eastAsia="宋体" w:cs="宋体"/>
          <w:b w:val="0"/>
          <w:bCs w:val="0"/>
          <w:color w:val="auto"/>
          <w:sz w:val="24"/>
          <w:szCs w:val="24"/>
          <w:highlight w:val="none"/>
          <w:lang w:val="en-US" w:eastAsia="zh-CN"/>
        </w:rPr>
        <w:t>、培训、支撑维护工作。</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（二）服务要求： 供应商须按照合同约定的服务内容，按时按质完成相关系统服务工作，做好系统培训及交付工作，支撑采购人合理使用本系统。</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五、商务要求</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（一）报价要求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供应商的报价为完成项目所有服务内容的</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各项税费及合同实施过程中</w:t>
      </w:r>
      <w:r>
        <w:rPr>
          <w:rFonts w:hint="eastAsia" w:ascii="宋体" w:hAnsi="宋体" w:eastAsia="宋体" w:cs="宋体"/>
          <w:color w:val="auto"/>
          <w:sz w:val="24"/>
          <w:szCs w:val="24"/>
          <w:lang w:val="en-US" w:eastAsia="zh-CN"/>
        </w:rPr>
        <w:t>可预见和</w:t>
      </w:r>
      <w:r>
        <w:rPr>
          <w:rFonts w:hint="eastAsia" w:ascii="宋体" w:hAnsi="宋体" w:eastAsia="宋体" w:cs="宋体"/>
          <w:color w:val="auto"/>
          <w:sz w:val="24"/>
          <w:szCs w:val="24"/>
        </w:rPr>
        <w:t>不可预见</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合同履行期间采购人不再额外支付其他任何费用，</w:t>
      </w:r>
      <w:r>
        <w:rPr>
          <w:rFonts w:hint="eastAsia" w:ascii="宋体" w:hAnsi="宋体" w:eastAsia="宋体" w:cs="宋体"/>
          <w:color w:val="auto"/>
          <w:sz w:val="24"/>
          <w:szCs w:val="24"/>
          <w:lang w:val="en-US" w:eastAsia="zh-CN"/>
        </w:rPr>
        <w:t>合同价在</w:t>
      </w:r>
      <w:r>
        <w:rPr>
          <w:rFonts w:hint="eastAsia" w:ascii="宋体" w:hAnsi="宋体" w:eastAsia="宋体" w:cs="宋体"/>
          <w:color w:val="auto"/>
          <w:sz w:val="24"/>
          <w:szCs w:val="24"/>
        </w:rPr>
        <w:t>合同期内</w:t>
      </w:r>
      <w:r>
        <w:rPr>
          <w:rFonts w:hint="eastAsia" w:ascii="宋体" w:hAnsi="宋体" w:eastAsia="宋体" w:cs="宋体"/>
          <w:color w:val="auto"/>
          <w:sz w:val="24"/>
          <w:szCs w:val="24"/>
          <w:lang w:val="en-US" w:eastAsia="zh-CN"/>
        </w:rPr>
        <w:t>固定不变</w:t>
      </w:r>
      <w:r>
        <w:rPr>
          <w:rFonts w:hint="eastAsia" w:ascii="宋体" w:hAnsi="宋体" w:eastAsia="宋体" w:cs="宋体"/>
          <w:color w:val="auto"/>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付款方式</w:t>
      </w:r>
      <w:r>
        <w:rPr>
          <w:rFonts w:hint="eastAsia" w:ascii="宋体" w:hAnsi="宋体" w:eastAsia="宋体" w:cs="宋体"/>
          <w:b/>
          <w:bCs/>
          <w:color w:val="auto"/>
          <w:sz w:val="24"/>
          <w:szCs w:val="24"/>
          <w:lang w:val="en-US" w:eastAsia="zh-CN"/>
        </w:rPr>
        <w:t>及服务考核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以银行转账方式分两期支付</w:t>
      </w:r>
      <w:r>
        <w:rPr>
          <w:rFonts w:hint="eastAsia" w:asciiTheme="minorEastAsia" w:hAnsi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第一期付款：合同签订生效后【5】个工作日内，</w:t>
      </w:r>
      <w:r>
        <w:rPr>
          <w:rFonts w:hint="eastAsia" w:asciiTheme="minorEastAsia" w:hAnsiTheme="minorEastAsia" w:cstheme="minorEastAsia"/>
          <w:color w:val="auto"/>
          <w:sz w:val="24"/>
          <w:szCs w:val="24"/>
          <w:lang w:val="en-US" w:eastAsia="zh-CN"/>
        </w:rPr>
        <w:t>采购人在</w:t>
      </w:r>
      <w:r>
        <w:rPr>
          <w:rFonts w:hint="eastAsia" w:asciiTheme="minorEastAsia" w:hAnsiTheme="minorEastAsia" w:eastAsiaTheme="minorEastAsia" w:cstheme="minorEastAsia"/>
          <w:color w:val="auto"/>
          <w:sz w:val="24"/>
          <w:szCs w:val="24"/>
          <w:lang w:val="en-US" w:eastAsia="zh-CN"/>
        </w:rPr>
        <w:t>收到</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开具的合同总</w:t>
      </w:r>
      <w:r>
        <w:rPr>
          <w:rFonts w:hint="eastAsia" w:asciiTheme="minorEastAsia" w:hAnsiTheme="minorEastAsia" w:cstheme="minorEastAsia"/>
          <w:color w:val="auto"/>
          <w:sz w:val="24"/>
          <w:szCs w:val="24"/>
          <w:lang w:val="en-US" w:eastAsia="zh-CN"/>
        </w:rPr>
        <w:t>额</w:t>
      </w:r>
      <w:r>
        <w:rPr>
          <w:rFonts w:hint="eastAsia" w:asciiTheme="minorEastAsia" w:hAnsiTheme="minorEastAsia" w:eastAsiaTheme="minorEastAsia" w:cstheme="minorEastAsia"/>
          <w:color w:val="auto"/>
          <w:sz w:val="24"/>
          <w:szCs w:val="24"/>
          <w:lang w:val="en-US" w:eastAsia="zh-CN"/>
        </w:rPr>
        <w:t>的【40%】的正规发票后【60】日内</w:t>
      </w:r>
      <w:r>
        <w:rPr>
          <w:rFonts w:hint="eastAsia" w:ascii="宋体" w:hAnsi="宋体" w:eastAsia="宋体" w:cs="宋体"/>
          <w:color w:val="auto"/>
          <w:sz w:val="24"/>
          <w:szCs w:val="24"/>
          <w:lang w:val="en-US" w:eastAsia="zh-CN"/>
        </w:rPr>
        <w:t>向成交供应商支付该笔款项</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第二期付款：</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按合同要求完成本服务相关工作，</w:t>
      </w:r>
      <w:r>
        <w:rPr>
          <w:rFonts w:hint="eastAsia" w:asciiTheme="minorEastAsia" w:hAnsi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lang w:val="en-US" w:eastAsia="zh-CN"/>
        </w:rPr>
        <w:t>合同到期后</w:t>
      </w:r>
      <w:r>
        <w:rPr>
          <w:rFonts w:hint="eastAsia" w:asciiTheme="minorEastAsia" w:hAnsiTheme="minorEastAsia" w:cstheme="minorEastAsia"/>
          <w:color w:val="auto"/>
          <w:sz w:val="24"/>
          <w:szCs w:val="24"/>
          <w:lang w:val="en-US" w:eastAsia="zh-CN"/>
        </w:rPr>
        <w:t>1个月内由采购人组织</w:t>
      </w:r>
      <w:r>
        <w:rPr>
          <w:rFonts w:hint="eastAsia" w:asciiTheme="minorEastAsia" w:hAnsiTheme="minorEastAsia" w:eastAsiaTheme="minorEastAsia" w:cstheme="minorEastAsia"/>
          <w:color w:val="auto"/>
          <w:sz w:val="24"/>
          <w:szCs w:val="24"/>
          <w:lang w:val="en-US" w:eastAsia="zh-CN"/>
        </w:rPr>
        <w:t>服务考核评级</w:t>
      </w:r>
      <w:r>
        <w:rPr>
          <w:rFonts w:hint="eastAsia" w:asciiTheme="minorEastAsia" w:hAnsiTheme="minorEastAsia" w:cstheme="minorEastAsia"/>
          <w:color w:val="auto"/>
          <w:sz w:val="24"/>
          <w:szCs w:val="24"/>
          <w:lang w:val="en-US" w:eastAsia="zh-CN"/>
        </w:rPr>
        <w:t>，考核评级结果和第二期付款比例挂钩，第二期付款基数为</w:t>
      </w:r>
      <w:r>
        <w:rPr>
          <w:rFonts w:hint="eastAsia" w:asciiTheme="minorEastAsia" w:hAnsiTheme="minorEastAsia" w:eastAsiaTheme="minorEastAsia" w:cstheme="minorEastAsia"/>
          <w:color w:val="auto"/>
          <w:sz w:val="24"/>
          <w:szCs w:val="24"/>
          <w:lang w:val="en-US" w:eastAsia="zh-CN"/>
        </w:rPr>
        <w:t>合同总</w:t>
      </w:r>
      <w:r>
        <w:rPr>
          <w:rFonts w:hint="eastAsia" w:asciiTheme="minorEastAsia" w:hAnsiTheme="minorEastAsia" w:cstheme="minorEastAsia"/>
          <w:color w:val="auto"/>
          <w:sz w:val="24"/>
          <w:szCs w:val="24"/>
          <w:lang w:val="en-US" w:eastAsia="zh-CN"/>
        </w:rPr>
        <w:t>额</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经</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考核评级后【3】个工作日内，</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向</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提供</w:t>
      </w:r>
      <w:r>
        <w:rPr>
          <w:rFonts w:hint="eastAsia" w:asciiTheme="minorEastAsia" w:hAnsiTheme="minorEastAsia" w:cstheme="minorEastAsia"/>
          <w:color w:val="auto"/>
          <w:sz w:val="24"/>
          <w:szCs w:val="24"/>
          <w:lang w:val="en-US" w:eastAsia="zh-CN"/>
        </w:rPr>
        <w:t>支付金额等额</w:t>
      </w:r>
      <w:r>
        <w:rPr>
          <w:rFonts w:hint="eastAsia" w:asciiTheme="minorEastAsia" w:hAnsiTheme="minorEastAsia" w:eastAsiaTheme="minorEastAsia" w:cstheme="minorEastAsia"/>
          <w:color w:val="auto"/>
          <w:sz w:val="24"/>
          <w:szCs w:val="24"/>
          <w:lang w:val="en-US" w:eastAsia="zh-CN"/>
        </w:rPr>
        <w:t>的正规发票，</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在收到</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正规发票【60】日内向</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支付</w:t>
      </w:r>
      <w:r>
        <w:rPr>
          <w:rFonts w:hint="eastAsia" w:ascii="宋体" w:hAnsi="宋体" w:eastAsia="宋体" w:cs="宋体"/>
          <w:color w:val="auto"/>
          <w:sz w:val="24"/>
          <w:szCs w:val="24"/>
          <w:lang w:val="en-US" w:eastAsia="zh-CN"/>
        </w:rPr>
        <w:t>该笔款项</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服务考核评级方式：</w:t>
      </w:r>
      <w:r>
        <w:rPr>
          <w:rFonts w:hint="eastAsia" w:asciiTheme="minorEastAsia" w:hAnsiTheme="minorEastAsia" w:cstheme="minorEastAsia"/>
          <w:color w:val="auto"/>
          <w:sz w:val="24"/>
          <w:szCs w:val="24"/>
          <w:lang w:val="en-US" w:eastAsia="zh-CN"/>
        </w:rPr>
        <w:t>考核</w:t>
      </w:r>
      <w:r>
        <w:rPr>
          <w:rFonts w:hint="eastAsia" w:asciiTheme="minorEastAsia" w:hAnsiTheme="minorEastAsia" w:eastAsiaTheme="minorEastAsia" w:cstheme="minorEastAsia"/>
          <w:color w:val="auto"/>
          <w:sz w:val="24"/>
          <w:szCs w:val="24"/>
          <w:lang w:val="en-US" w:eastAsia="zh-CN"/>
        </w:rPr>
        <w:t>供应商提供给采购人的年度患者DRG入组与</w:t>
      </w:r>
      <w:r>
        <w:rPr>
          <w:rFonts w:hint="eastAsia" w:asciiTheme="minorEastAsia" w:hAnsiTheme="minorEastAsia" w:cstheme="minorEastAsia"/>
          <w:color w:val="auto"/>
          <w:sz w:val="24"/>
          <w:szCs w:val="24"/>
          <w:lang w:val="en-US" w:eastAsia="zh-CN"/>
        </w:rPr>
        <w:t>广东省</w:t>
      </w:r>
      <w:r>
        <w:rPr>
          <w:rFonts w:hint="eastAsia" w:asciiTheme="minorEastAsia" w:hAnsiTheme="minorEastAsia" w:eastAsiaTheme="minorEastAsia" w:cstheme="minorEastAsia"/>
          <w:color w:val="auto"/>
          <w:sz w:val="24"/>
          <w:szCs w:val="24"/>
          <w:lang w:val="en-US" w:eastAsia="zh-CN"/>
        </w:rPr>
        <w:t>卫</w:t>
      </w:r>
      <w:r>
        <w:rPr>
          <w:rFonts w:hint="eastAsia" w:asciiTheme="minorEastAsia" w:hAnsiTheme="minorEastAsia" w:cstheme="minorEastAsia"/>
          <w:color w:val="auto"/>
          <w:sz w:val="24"/>
          <w:szCs w:val="24"/>
          <w:lang w:val="en-US" w:eastAsia="zh-CN"/>
        </w:rPr>
        <w:t>生</w:t>
      </w:r>
      <w:r>
        <w:rPr>
          <w:rFonts w:hint="eastAsia" w:asciiTheme="minorEastAsia" w:hAnsiTheme="minorEastAsia" w:eastAsiaTheme="minorEastAsia" w:cstheme="minorEastAsia"/>
          <w:color w:val="auto"/>
          <w:sz w:val="24"/>
          <w:szCs w:val="24"/>
          <w:lang w:val="en-US" w:eastAsia="zh-CN"/>
        </w:rPr>
        <w:t>健</w:t>
      </w:r>
      <w:r>
        <w:rPr>
          <w:rFonts w:hint="eastAsia" w:asciiTheme="minorEastAsia" w:hAnsiTheme="minorEastAsia" w:cstheme="minorEastAsia"/>
          <w:color w:val="auto"/>
          <w:sz w:val="24"/>
          <w:szCs w:val="24"/>
          <w:lang w:val="en-US" w:eastAsia="zh-CN"/>
        </w:rPr>
        <w:t>康统计信息网络直报系统反馈</w:t>
      </w:r>
      <w:r>
        <w:rPr>
          <w:rFonts w:hint="eastAsia" w:asciiTheme="minorEastAsia" w:hAnsiTheme="minorEastAsia" w:eastAsiaTheme="minorEastAsia" w:cstheme="minorEastAsia"/>
          <w:color w:val="auto"/>
          <w:sz w:val="24"/>
          <w:szCs w:val="24"/>
          <w:lang w:val="en-US" w:eastAsia="zh-CN"/>
        </w:rPr>
        <w:t>的患者DRG入组是否一致，按符合率评级，具体如下：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(1)评级A：DRG入组符合率≥95%，</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付款</w:t>
      </w:r>
      <w:r>
        <w:rPr>
          <w:rFonts w:hint="eastAsia" w:asciiTheme="minorEastAsia" w:hAnsiTheme="minorEastAsia" w:eastAsiaTheme="minorEastAsia" w:cstheme="minorEastAsia"/>
          <w:color w:val="auto"/>
          <w:sz w:val="24"/>
          <w:szCs w:val="24"/>
          <w:lang w:val="en-US" w:eastAsia="zh-CN"/>
        </w:rPr>
        <w:t>比例100%。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(2)评级B：DRG入组符合率≥90%，</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付款</w:t>
      </w:r>
      <w:r>
        <w:rPr>
          <w:rFonts w:hint="eastAsia" w:asciiTheme="minorEastAsia" w:hAnsiTheme="minorEastAsia" w:eastAsiaTheme="minorEastAsia" w:cstheme="minorEastAsia"/>
          <w:color w:val="auto"/>
          <w:sz w:val="24"/>
          <w:szCs w:val="24"/>
          <w:lang w:val="en-US" w:eastAsia="zh-CN"/>
        </w:rPr>
        <w:t>支付比例70%。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(3)评级C：DRG入组符合率≥80%，</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付款</w:t>
      </w:r>
      <w:r>
        <w:rPr>
          <w:rFonts w:hint="eastAsia" w:asciiTheme="minorEastAsia" w:hAnsiTheme="minorEastAsia" w:eastAsiaTheme="minorEastAsia" w:cstheme="minorEastAsia"/>
          <w:color w:val="auto"/>
          <w:sz w:val="24"/>
          <w:szCs w:val="24"/>
          <w:lang w:val="en-US" w:eastAsia="zh-CN"/>
        </w:rPr>
        <w:t>支付比例50%。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(4)评级D：DRG入组符合率＜80%，不支付</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款项</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2、因采购人使用的是财政性资金，采购人申请汇款审批之日视为付款之日，若审批延迟则相应费用到账延迟，且不视为采购人违约。  </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（三）售后服务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default" w:eastAsiaTheme="minorEastAsia"/>
          <w:color w:val="auto"/>
          <w:sz w:val="24"/>
          <w:szCs w:val="24"/>
          <w:lang w:val="en-US" w:eastAsia="zh-CN"/>
        </w:rPr>
      </w:pPr>
      <w:r>
        <w:rPr>
          <w:rFonts w:hint="eastAsia" w:ascii="宋体" w:hAnsi="宋体" w:eastAsia="宋体" w:cs="宋体"/>
          <w:color w:val="auto"/>
          <w:sz w:val="24"/>
          <w:szCs w:val="24"/>
          <w:lang w:val="en-US" w:eastAsia="zh-CN"/>
        </w:rPr>
        <w:t>提供 7×24 小时热线电话、远程网络、现场等服务方式。热线电话和远程网络提供技术咨询和即时服务，1小时内给予明确的响应并提出解决方案；现场服务适用于排解重大故障，应在接到医院服务请求后 3 小时内到达现场解决。</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val="en-US"/>
        </w:rPr>
        <w:t>）</w:t>
      </w:r>
      <w:r>
        <w:rPr>
          <w:rFonts w:hint="eastAsia" w:ascii="宋体" w:hAnsi="宋体" w:eastAsia="宋体" w:cs="宋体"/>
          <w:b/>
          <w:bCs/>
          <w:color w:val="auto"/>
          <w:sz w:val="24"/>
          <w:szCs w:val="24"/>
          <w:lang w:val="en-US" w:eastAsia="zh-CN"/>
        </w:rPr>
        <w:t>违约责任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1、供应商如不履行合同条款或不按合同约定履行条款的其它情况，均属违约，由供应商承担违约责任，赔偿因其违约造成的损失，并支付合同价款总额 5 %的违约金。</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2、由于供应商的原因，导致双方签订的合同终止，供应商因此而遭受的损失，将由供应商独立承担，采购人对此不负任何责任，也不作任何赔偿。</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宋体" w:cs="Times New Roman"/>
          <w:b/>
          <w:bCs/>
          <w:color w:val="auto"/>
          <w:sz w:val="21"/>
          <w:szCs w:val="21"/>
          <w:highlight w:val="none"/>
        </w:rPr>
      </w:pPr>
      <w:r>
        <w:rPr>
          <w:rFonts w:hint="eastAsia" w:ascii="宋体" w:hAnsi="宋体" w:eastAsia="宋体" w:cs="宋体"/>
          <w:color w:val="auto"/>
          <w:sz w:val="24"/>
          <w:szCs w:val="24"/>
          <w:lang w:val="en-US" w:eastAsia="zh-CN"/>
        </w:rPr>
        <w:t>3、供应商未能按时完成合同项目内容，每有1次，须向采购人支付合同金额的1%的违约金。供应商超过5次不能履行合同约定的，采购人有权终止合同且供应商向采购人支付合同金额 10% 的违约金。</w:t>
      </w:r>
      <w:bookmarkStart w:id="12" w:name="_GoBack"/>
      <w:bookmarkEnd w:id="12"/>
    </w:p>
    <w:p>
      <w:pPr>
        <w:pStyle w:val="7"/>
        <w:pageBreakBefore w:val="0"/>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宋体" w:cs="Times New Roman"/>
          <w:b/>
          <w:bCs/>
          <w:color w:val="auto"/>
          <w:sz w:val="21"/>
          <w:szCs w:val="21"/>
          <w:highlight w:val="none"/>
        </w:rPr>
        <w:sectPr>
          <w:headerReference r:id="rId4" w:type="first"/>
          <w:footerReference r:id="rId7" w:type="first"/>
          <w:footerReference r:id="rId5" w:type="default"/>
          <w:headerReference r:id="rId3" w:type="even"/>
          <w:footerReference r:id="rId6" w:type="even"/>
          <w:pgSz w:w="11906" w:h="16838"/>
          <w:pgMar w:top="1100" w:right="1519" w:bottom="1100" w:left="1519" w:header="851" w:footer="992" w:gutter="0"/>
          <w:pgNumType w:fmt="decimal"/>
          <w:cols w:space="425" w:num="1"/>
          <w:docGrid w:type="lines" w:linePitch="312" w:charSpace="0"/>
        </w:sect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附表：</w:t>
      </w:r>
      <w:r>
        <w:rPr>
          <w:rFonts w:hint="eastAsia" w:ascii="宋体" w:hAnsi="宋体" w:eastAsia="宋体" w:cs="宋体"/>
          <w:b/>
          <w:bCs/>
          <w:color w:val="auto"/>
          <w:kern w:val="2"/>
          <w:sz w:val="28"/>
          <w:szCs w:val="28"/>
          <w:lang w:val="en-US" w:eastAsia="zh-CN" w:bidi="ar-SA"/>
        </w:rPr>
        <w:t>DRG系统CMI数据服务需求</w:t>
      </w:r>
    </w:p>
    <w:tbl>
      <w:tblPr>
        <w:tblStyle w:val="15"/>
        <w:tblW w:w="15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264"/>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201" w:type="dxa"/>
            <w:vAlign w:val="center"/>
          </w:tcPr>
          <w:p>
            <w:pPr>
              <w:pStyle w:val="5"/>
              <w:keepNext w:val="0"/>
              <w:keepLines w:val="0"/>
              <w:pageBreakBefore w:val="0"/>
              <w:widowControl w:val="0"/>
              <w:kinsoku/>
              <w:wordWrap/>
              <w:overflowPunct/>
              <w:topLinePunct w:val="0"/>
              <w:autoSpaceDE/>
              <w:autoSpaceDN/>
              <w:bidi w:val="0"/>
              <w:adjustRightInd/>
              <w:snapToGrid/>
              <w:spacing w:before="160" w:after="160" w:line="560" w:lineRule="exact"/>
              <w:ind w:firstLine="0" w:firstLineChars="0"/>
              <w:jc w:val="center"/>
              <w:textAlignment w:val="auto"/>
              <w:outlineLvl w:val="0"/>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功能</w:t>
            </w:r>
            <w:r>
              <w:rPr>
                <w:rFonts w:hint="eastAsia" w:asciiTheme="minorEastAsia" w:hAnsiTheme="minorEastAsia" w:cstheme="minorEastAsia"/>
                <w:b/>
                <w:bCs/>
                <w:color w:val="auto"/>
                <w:sz w:val="24"/>
                <w:szCs w:val="24"/>
                <w:vertAlign w:val="baseline"/>
                <w:lang w:val="en-US" w:eastAsia="zh-CN"/>
              </w:rPr>
              <w:t>要求</w:t>
            </w:r>
          </w:p>
        </w:tc>
        <w:tc>
          <w:tcPr>
            <w:tcW w:w="13846" w:type="dxa"/>
            <w:gridSpan w:val="2"/>
            <w:vAlign w:val="center"/>
          </w:tcPr>
          <w:p>
            <w:pPr>
              <w:pStyle w:val="5"/>
              <w:keepNext w:val="0"/>
              <w:keepLines w:val="0"/>
              <w:pageBreakBefore w:val="0"/>
              <w:widowControl w:val="0"/>
              <w:kinsoku/>
              <w:wordWrap/>
              <w:overflowPunct/>
              <w:topLinePunct w:val="0"/>
              <w:autoSpaceDE/>
              <w:autoSpaceDN/>
              <w:bidi w:val="0"/>
              <w:adjustRightInd/>
              <w:snapToGrid/>
              <w:spacing w:before="160" w:after="160" w:line="560" w:lineRule="exact"/>
              <w:ind w:firstLine="0" w:firstLineChars="0"/>
              <w:jc w:val="center"/>
              <w:textAlignment w:val="auto"/>
              <w:outlineLvl w:val="0"/>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具体</w:t>
            </w:r>
            <w:r>
              <w:rPr>
                <w:rFonts w:hint="eastAsia" w:asciiTheme="minorEastAsia" w:hAnsiTheme="minorEastAsia" w:eastAsiaTheme="minorEastAsia" w:cstheme="minorEastAsia"/>
                <w:b/>
                <w:bCs/>
                <w:color w:val="auto"/>
                <w:sz w:val="24"/>
                <w:szCs w:val="24"/>
                <w:vertAlign w:val="baseline"/>
                <w:lang w:val="en-US" w:eastAsia="zh-CN"/>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数据采集</w:t>
            </w:r>
          </w:p>
        </w:tc>
        <w:tc>
          <w:tcPr>
            <w:tcW w:w="526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数据采集是系统的基础性功能，DRG评价是基于医院病案管理系统中经质控的住院病案首页数据作为数据分析依据</w:t>
            </w:r>
            <w:r>
              <w:rPr>
                <w:rFonts w:hint="eastAsia" w:asciiTheme="minorEastAsia" w:hAnsiTheme="minorEastAsia" w:cstheme="minorEastAsia"/>
                <w:color w:val="auto"/>
                <w:sz w:val="24"/>
                <w:szCs w:val="24"/>
                <w:vertAlign w:val="baseline"/>
                <w:lang w:val="en-US" w:eastAsia="zh-CN"/>
              </w:rPr>
              <w:t>。</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病案首页数据</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：支持与院内病案系统</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HIS系统</w:t>
            </w:r>
            <w:r>
              <w:rPr>
                <w:rFonts w:hint="eastAsia" w:asciiTheme="minorEastAsia" w:hAnsiTheme="minorEastAsia" w:eastAsiaTheme="minorEastAsia" w:cstheme="minorEastAsia"/>
                <w:color w:val="auto"/>
                <w:sz w:val="24"/>
                <w:szCs w:val="24"/>
              </w:rPr>
              <w:t>对接，实现自动</w:t>
            </w:r>
            <w:r>
              <w:rPr>
                <w:rFonts w:hint="eastAsia" w:asciiTheme="minorEastAsia" w:hAnsiTheme="minorEastAsia" w:eastAsiaTheme="minorEastAsia" w:cstheme="minorEastAsia"/>
                <w:color w:val="auto"/>
                <w:sz w:val="24"/>
                <w:szCs w:val="24"/>
                <w:lang w:val="en-US" w:eastAsia="zh-CN"/>
              </w:rPr>
              <w:t>同步</w:t>
            </w:r>
            <w:r>
              <w:rPr>
                <w:rFonts w:hint="eastAsia" w:asciiTheme="minorEastAsia" w:hAnsiTheme="minorEastAsia" w:eastAsiaTheme="minorEastAsia" w:cstheme="minorEastAsia"/>
                <w:color w:val="auto"/>
                <w:sz w:val="24"/>
                <w:szCs w:val="24"/>
              </w:rPr>
              <w:t>功能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查看所有</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文件的信息，并可下载已</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的数据文件，方便医院进行查找和核对。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病案首页数据清洗：系统通过ETL工具自动对不合格数据进行清洗及校验。并对不合格病案数据进行自动提示。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数据量查询：按月进行统计，可查询院内病案首页的数据量。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DRG分组服务</w:t>
            </w:r>
          </w:p>
        </w:tc>
        <w:tc>
          <w:tcPr>
            <w:tcW w:w="5264" w:type="dxa"/>
            <w:vMerge w:val="restar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C</w:t>
            </w:r>
            <w:r>
              <w:rPr>
                <w:rFonts w:hint="eastAsia" w:asciiTheme="minorEastAsia" w:hAnsiTheme="minorEastAsia" w:cstheme="minorEastAsia"/>
                <w:color w:val="auto"/>
                <w:sz w:val="24"/>
                <w:szCs w:val="24"/>
                <w:vertAlign w:val="baseline"/>
                <w:lang w:val="en-US" w:eastAsia="zh-CN"/>
              </w:rPr>
              <w:t>HS</w:t>
            </w:r>
            <w:r>
              <w:rPr>
                <w:rFonts w:hint="eastAsia" w:asciiTheme="minorEastAsia" w:hAnsiTheme="minorEastAsia" w:eastAsiaTheme="minorEastAsia" w:cstheme="minorEastAsia"/>
                <w:color w:val="auto"/>
                <w:sz w:val="24"/>
                <w:szCs w:val="24"/>
                <w:vertAlign w:val="baseline"/>
                <w:lang w:val="en-US" w:eastAsia="zh-CN"/>
              </w:rPr>
              <w:t>_DR</w:t>
            </w:r>
            <w:r>
              <w:rPr>
                <w:rFonts w:hint="eastAsia" w:asciiTheme="minorEastAsia" w:hAnsiTheme="minorEastAsia" w:cstheme="minorEastAsia"/>
                <w:color w:val="auto"/>
                <w:sz w:val="24"/>
                <w:szCs w:val="24"/>
                <w:vertAlign w:val="baseline"/>
                <w:lang w:val="en-US" w:eastAsia="zh-CN"/>
              </w:rPr>
              <w:t>G及CN_DRG</w:t>
            </w:r>
            <w:r>
              <w:rPr>
                <w:rFonts w:hint="eastAsia" w:asciiTheme="minorEastAsia" w:hAnsiTheme="minorEastAsia" w:eastAsiaTheme="minorEastAsia" w:cstheme="minorEastAsia"/>
                <w:color w:val="auto"/>
                <w:sz w:val="24"/>
                <w:szCs w:val="24"/>
                <w:vertAlign w:val="baseline"/>
                <w:lang w:val="en-US" w:eastAsia="zh-CN"/>
              </w:rPr>
              <w:t>分组</w:t>
            </w:r>
            <w:r>
              <w:rPr>
                <w:rFonts w:hint="eastAsia" w:asciiTheme="minorEastAsia" w:hAnsiTheme="minorEastAsia" w:cstheme="minorEastAsia"/>
                <w:color w:val="auto"/>
                <w:sz w:val="24"/>
                <w:szCs w:val="24"/>
                <w:vertAlign w:val="baseline"/>
                <w:lang w:val="en-US" w:eastAsia="zh-CN"/>
              </w:rPr>
              <w:t>测算</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eastAsia="宋体" w:asciiTheme="minorEastAsia" w:hAnsi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部署院内分组器，提供稳定的分组服务，可以针对</w:t>
            </w:r>
            <w:r>
              <w:rPr>
                <w:rFonts w:hint="eastAsia" w:asciiTheme="minorEastAsia" w:hAnsiTheme="minorEastAsia" w:cstheme="minorEastAsia"/>
                <w:color w:val="auto"/>
                <w:sz w:val="24"/>
                <w:szCs w:val="24"/>
                <w:vertAlign w:val="baseline"/>
                <w:lang w:val="en-US" w:eastAsia="zh-CN"/>
              </w:rPr>
              <w:t>在院患者（HIS数据源）、出院患者（病案数据源）</w:t>
            </w:r>
            <w:r>
              <w:rPr>
                <w:rFonts w:hint="eastAsia" w:asciiTheme="minorEastAsia" w:hAnsiTheme="minorEastAsia" w:eastAsiaTheme="minorEastAsia" w:cstheme="minorEastAsia"/>
                <w:color w:val="auto"/>
                <w:sz w:val="24"/>
                <w:szCs w:val="24"/>
                <w:vertAlign w:val="baseline"/>
                <w:lang w:val="en-US" w:eastAsia="zh-CN"/>
              </w:rPr>
              <w:t>进行预分组，提前预测疾病所属DRG组。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eastAsia="宋体" w:asciiTheme="minorEastAsia" w:hAnsiTheme="minorEastAsia" w:cstheme="minorEastAsia"/>
                <w:color w:val="auto"/>
                <w:sz w:val="24"/>
                <w:szCs w:val="24"/>
                <w:vertAlign w:val="baseline"/>
                <w:lang w:val="en-US" w:eastAsia="zh-CN"/>
              </w:rPr>
            </w:pPr>
            <w:bookmarkStart w:id="2" w:name="_Toc61512736"/>
            <w:r>
              <w:rPr>
                <w:rFonts w:hint="eastAsia" w:ascii="宋体" w:hAnsi="宋体" w:eastAsia="宋体" w:cs="宋体"/>
                <w:color w:val="auto"/>
                <w:sz w:val="24"/>
                <w:szCs w:val="24"/>
              </w:rPr>
              <w:t>未入组病例分析</w:t>
            </w:r>
            <w:bookmarkEnd w:id="2"/>
            <w:r>
              <w:rPr>
                <w:rFonts w:hint="eastAsia" w:ascii="宋体" w:hAnsi="宋体" w:eastAsia="宋体" w:cs="宋体"/>
                <w:color w:val="auto"/>
                <w:sz w:val="24"/>
                <w:szCs w:val="24"/>
                <w:lang w:eastAsia="zh-CN"/>
              </w:rPr>
              <w:t>：通过系统批量逻辑校验功能，可根据维护的病案首页规则对首页错误进行提示，协助编码员对病案质量填写进行筛查。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4"/>
                <w:szCs w:val="24"/>
                <w:lang w:val="en-US" w:eastAsia="zh-CN"/>
              </w:rPr>
              <w:t>在院/出院患者</w:t>
            </w: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vertAlign w:val="baseline"/>
                <w:lang w:val="en-US" w:eastAsia="zh-CN"/>
              </w:rPr>
              <w:t>DRG组合查询</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患者DRG入组测算</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标杆值平均费用、平均住院日、药占比、耗材比指标对比</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风险等级提醒</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支持保存多个入组方案</w:t>
            </w:r>
            <w:r>
              <w:rPr>
                <w:rFonts w:hint="eastAsia" w:asciiTheme="minorEastAsia" w:hAnsiTheme="minorEastAsia" w:cstheme="minorEastAsia"/>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在院患者DIP/DRG联动</w:t>
            </w: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cstheme="minorEastAsia"/>
                <w:color w:val="auto"/>
                <w:sz w:val="24"/>
                <w:szCs w:val="24"/>
                <w:vertAlign w:val="baseline"/>
                <w:lang w:val="en-US" w:eastAsia="zh-CN"/>
              </w:rPr>
              <w:t>支持接入在院患者的DIP入组结果，在同一个界面内展示当前患者的DIP入组、DRG入组信息，供临床关注DIP结余及RW权重。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DRG绩效评价</w:t>
            </w:r>
          </w:p>
        </w:tc>
        <w:tc>
          <w:tcPr>
            <w:tcW w:w="526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医疗能力</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系统支持根据的病案首页数据对全院数据DRG指标</w:t>
            </w:r>
            <w:r>
              <w:rPr>
                <w:rFonts w:hint="eastAsia" w:ascii="宋体" w:hAnsi="宋体" w:eastAsia="宋体" w:cs="宋体"/>
                <w:color w:val="auto"/>
                <w:sz w:val="24"/>
                <w:szCs w:val="24"/>
                <w:lang w:val="en-US" w:eastAsia="zh-CN"/>
              </w:rPr>
              <w:t>统计</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支持图形快速展示，管理者通过点选不同指标值进行快速切换。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支持图片下载导出功能。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科室/医生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收费病种数量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住院术种数量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DRG组数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总权重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CMI</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时间消耗指数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费用消耗指数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低风险死亡率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异地疑难病例占比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CD型占比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三四级手术占比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支持同比、环比、标杆比等多种比较维度</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服务效率</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系统支持时间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科室/医生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CMI</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药占比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耗材占比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DRG组标杆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差额</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支持各科室手术分析，对于科室开展手术以DRG维度进行评价分析，自动计算手术率、各科室手术平均难度情况。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权重分布分析：</w:t>
            </w:r>
            <w:r>
              <w:rPr>
                <w:rFonts w:hint="eastAsia" w:ascii="宋体" w:hAnsi="宋体" w:eastAsia="宋体" w:cs="宋体"/>
                <w:color w:val="auto"/>
                <w:sz w:val="24"/>
                <w:szCs w:val="24"/>
              </w:rPr>
              <w:t>RW(0-1.5)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RW(1.5-5)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RW(5-10)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RW(10+)</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三级手术例数、三级手术占比、四级手术例数、四级手术占比。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质量安全</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系统支持逻辑下钻，支持下钻到内部病区，对于内部科室进行评价。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支持以DRG指标及工作指标对各个内部科室、病区进行评价比对。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支持显示DRG组数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低风险死亡率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中低风险死亡率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非医嘱离院率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未治愈率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回原住地率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重返人数</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支持无风险组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低风险组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中低风险组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中高风险组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高风险组</w:t>
            </w:r>
            <w:r>
              <w:rPr>
                <w:rFonts w:hint="eastAsia" w:ascii="宋体" w:hAnsi="宋体" w:eastAsia="宋体" w:cs="宋体"/>
                <w:color w:val="auto"/>
                <w:sz w:val="24"/>
                <w:szCs w:val="24"/>
                <w:lang w:val="en-US" w:eastAsia="zh-CN"/>
              </w:rPr>
              <w:t>等死亡率统计。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支持DRG组、风险值、权重系数、出院人数、死亡病例数、病死率、例均费用(元)、平均住院日、抗菌药物使用人数占比、重返人数占比。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学科建设</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系统支持逻辑下钻，支持下钻到主诊组，对于</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rPr>
              <w:t>内部各个诊疗组进行评价。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支持显示DRG组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权重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药占比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耗材占比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支持统计主要诊断大类(MDC)、入组病例数、入组占比、源盖DRG组数、覆盖占比、总权重、CMI、例均费用、平均住院日、低风险组死亡率、死亡率。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支持统计科室、未入组病例数、入组病例数、DRG组数、内科组、外科组、非手术操作组。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系统支持医师间进行按指标比对。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C</w:t>
            </w:r>
            <w:r>
              <w:rPr>
                <w:rFonts w:hint="eastAsia" w:asciiTheme="minorEastAsia" w:hAnsiTheme="minorEastAsia" w:cstheme="minorEastAsia"/>
                <w:color w:val="auto"/>
                <w:sz w:val="24"/>
                <w:szCs w:val="24"/>
                <w:vertAlign w:val="baseline"/>
                <w:lang w:val="en-US" w:eastAsia="zh-CN"/>
              </w:rPr>
              <w:t>HS</w:t>
            </w:r>
            <w:r>
              <w:rPr>
                <w:rFonts w:hint="eastAsia" w:asciiTheme="minorEastAsia" w:hAnsiTheme="minorEastAsia" w:eastAsiaTheme="minorEastAsia" w:cstheme="minorEastAsia"/>
                <w:color w:val="auto"/>
                <w:sz w:val="24"/>
                <w:szCs w:val="24"/>
                <w:vertAlign w:val="baseline"/>
                <w:lang w:val="en-US" w:eastAsia="zh-CN"/>
              </w:rPr>
              <w:t>_DR</w:t>
            </w:r>
            <w:r>
              <w:rPr>
                <w:rFonts w:hint="eastAsia" w:asciiTheme="minorEastAsia" w:hAnsiTheme="minorEastAsia" w:cstheme="minorEastAsia"/>
                <w:color w:val="auto"/>
                <w:sz w:val="24"/>
                <w:szCs w:val="24"/>
                <w:vertAlign w:val="baseline"/>
                <w:lang w:val="en-US" w:eastAsia="zh-CN"/>
              </w:rPr>
              <w:t>G及CN_DRG</w:t>
            </w:r>
            <w:r>
              <w:rPr>
                <w:rFonts w:hint="eastAsia" w:asciiTheme="minorEastAsia" w:hAnsiTheme="minorEastAsia" w:eastAsiaTheme="minorEastAsia" w:cstheme="minorEastAsia"/>
                <w:color w:val="auto"/>
                <w:sz w:val="24"/>
                <w:szCs w:val="24"/>
                <w:vertAlign w:val="baseline"/>
                <w:lang w:val="en-US" w:eastAsia="zh-CN"/>
              </w:rPr>
              <w:t>分组</w:t>
            </w:r>
            <w:r>
              <w:rPr>
                <w:rFonts w:hint="eastAsia" w:asciiTheme="minorEastAsia" w:hAnsiTheme="minorEastAsia" w:cstheme="minorEastAsia"/>
                <w:color w:val="auto"/>
                <w:sz w:val="24"/>
                <w:szCs w:val="24"/>
                <w:vertAlign w:val="baseline"/>
                <w:lang w:val="en-US" w:eastAsia="zh-CN"/>
              </w:rPr>
              <w:t>测算</w:t>
            </w:r>
            <w:r>
              <w:rPr>
                <w:rFonts w:hint="eastAsia" w:asciiTheme="minorEastAsia" w:hAnsiTheme="minorEastAsia" w:eastAsiaTheme="minorEastAsia" w:cstheme="minorEastAsia"/>
                <w:color w:val="auto"/>
                <w:sz w:val="24"/>
                <w:szCs w:val="24"/>
                <w:vertAlign w:val="baseline"/>
                <w:lang w:val="en-US" w:eastAsia="zh-CN"/>
              </w:rPr>
              <w:t>入组费用</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支持科室费用分析、科室费用分布。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w:t>
            </w:r>
            <w:r>
              <w:rPr>
                <w:rFonts w:hint="eastAsia" w:ascii="宋体" w:hAnsi="宋体" w:eastAsia="宋体" w:cs="宋体"/>
                <w:color w:val="auto"/>
                <w:sz w:val="24"/>
                <w:szCs w:val="24"/>
                <w:lang w:val="en-US" w:eastAsia="zh-CN"/>
              </w:rPr>
              <w:t>病例</w:t>
            </w:r>
            <w:r>
              <w:rPr>
                <w:rFonts w:hint="eastAsia" w:ascii="宋体" w:hAnsi="宋体" w:eastAsia="宋体" w:cs="宋体"/>
                <w:color w:val="auto"/>
                <w:sz w:val="24"/>
                <w:szCs w:val="24"/>
              </w:rPr>
              <w:t>费用与</w:t>
            </w:r>
            <w:r>
              <w:rPr>
                <w:rFonts w:hint="eastAsia" w:ascii="宋体" w:hAnsi="宋体" w:eastAsia="宋体" w:cs="宋体"/>
                <w:color w:val="auto"/>
                <w:sz w:val="24"/>
                <w:szCs w:val="24"/>
                <w:lang w:val="en-US" w:eastAsia="zh-CN"/>
              </w:rPr>
              <w:t>病组</w:t>
            </w:r>
            <w:r>
              <w:rPr>
                <w:rFonts w:hint="eastAsia" w:ascii="宋体" w:hAnsi="宋体" w:eastAsia="宋体" w:cs="宋体"/>
                <w:color w:val="auto"/>
                <w:sz w:val="24"/>
                <w:szCs w:val="24"/>
              </w:rPr>
              <w:t>标杆</w:t>
            </w:r>
            <w:r>
              <w:rPr>
                <w:rFonts w:hint="eastAsia" w:ascii="宋体" w:hAnsi="宋体" w:eastAsia="宋体" w:cs="宋体"/>
                <w:color w:val="auto"/>
                <w:sz w:val="24"/>
                <w:szCs w:val="24"/>
                <w:lang w:val="en-US" w:eastAsia="zh-CN"/>
              </w:rPr>
              <w:t>数值</w:t>
            </w:r>
            <w:r>
              <w:rPr>
                <w:rFonts w:hint="eastAsia" w:ascii="宋体" w:hAnsi="宋体" w:eastAsia="宋体" w:cs="宋体"/>
                <w:color w:val="auto"/>
                <w:sz w:val="24"/>
                <w:szCs w:val="24"/>
              </w:rPr>
              <w:t>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支持与</w:t>
            </w:r>
            <w:r>
              <w:rPr>
                <w:rFonts w:hint="eastAsia" w:ascii="宋体" w:hAnsi="宋体" w:eastAsia="宋体" w:cs="宋体"/>
                <w:color w:val="auto"/>
                <w:sz w:val="24"/>
                <w:szCs w:val="24"/>
                <w:lang w:val="en-US" w:eastAsia="zh-CN"/>
              </w:rPr>
              <w:t>DIP</w:t>
            </w:r>
            <w:r>
              <w:rPr>
                <w:rFonts w:hint="eastAsia" w:ascii="宋体" w:hAnsi="宋体" w:eastAsia="宋体" w:cs="宋体"/>
                <w:color w:val="auto"/>
                <w:sz w:val="24"/>
                <w:szCs w:val="24"/>
              </w:rPr>
              <w:t>系统无缝对接，</w:t>
            </w:r>
            <w:r>
              <w:rPr>
                <w:rFonts w:hint="eastAsia" w:ascii="宋体" w:hAnsi="宋体" w:eastAsia="宋体" w:cs="宋体"/>
                <w:color w:val="auto"/>
                <w:sz w:val="24"/>
                <w:szCs w:val="24"/>
                <w:lang w:val="en-US" w:eastAsia="zh-CN"/>
              </w:rPr>
              <w:t>测算</w:t>
            </w:r>
            <w:r>
              <w:rPr>
                <w:rFonts w:hint="eastAsia" w:ascii="宋体" w:hAnsi="宋体" w:eastAsia="宋体" w:cs="宋体"/>
                <w:color w:val="auto"/>
                <w:sz w:val="24"/>
                <w:szCs w:val="24"/>
                <w:lang w:eastAsia="zh-CN"/>
              </w:rPr>
              <w:t>DRG</w:t>
            </w:r>
            <w:r>
              <w:rPr>
                <w:rFonts w:hint="eastAsia" w:ascii="宋体" w:hAnsi="宋体" w:eastAsia="宋体" w:cs="宋体"/>
                <w:color w:val="auto"/>
                <w:sz w:val="24"/>
                <w:szCs w:val="24"/>
                <w:lang w:val="en-US" w:eastAsia="zh-CN"/>
              </w:rPr>
              <w:t>组结余</w:t>
            </w:r>
            <w:r>
              <w:rPr>
                <w:rFonts w:hint="eastAsia" w:ascii="宋体" w:hAnsi="宋体" w:eastAsia="宋体" w:cs="宋体"/>
                <w:color w:val="auto"/>
                <w:sz w:val="24"/>
                <w:szCs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DRG病种监测</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系统支持按DRG病种监测。以病种角度分析全院各科室、病区、主诊组、医师覆盖情况。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支持按照相同DRG病组各科室、病区、主诊组、医师存在的差异。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支持分析不同DRG病组按不同指标存在的差异，有利于医院优化DRG病组。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系统设置</w:t>
            </w:r>
          </w:p>
        </w:tc>
        <w:tc>
          <w:tcPr>
            <w:tcW w:w="5264"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权限管理</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支持按照权限将账户分配至临床科室，供临床科室调阅分析本科室费用构成及盈亏情况，追踪本科室问题病例。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bookmarkStart w:id="3" w:name="_Toc1315983307"/>
            <w:bookmarkStart w:id="4" w:name="_Toc545208369"/>
            <w:bookmarkStart w:id="5" w:name="_Toc4414734"/>
            <w:bookmarkStart w:id="6" w:name="_Toc61512741"/>
            <w:bookmarkStart w:id="7" w:name="_Toc516074407"/>
            <w:r>
              <w:rPr>
                <w:rFonts w:hint="eastAsia" w:ascii="宋体" w:hAnsi="宋体" w:eastAsia="宋体" w:cs="宋体"/>
                <w:color w:val="auto"/>
                <w:sz w:val="24"/>
                <w:szCs w:val="24"/>
              </w:rPr>
              <w:t>日志管理</w:t>
            </w:r>
            <w:bookmarkEnd w:id="3"/>
            <w:bookmarkEnd w:id="4"/>
            <w:bookmarkEnd w:id="5"/>
            <w:bookmarkEnd w:id="6"/>
            <w:bookmarkEnd w:id="7"/>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系统支持记录完备的日志，对于在编码过程中的操作在后台均有日志进行记录，保障操作过程有据可循。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bookmarkStart w:id="8" w:name="_Toc797360296"/>
            <w:bookmarkStart w:id="9" w:name="_Toc4414735"/>
            <w:bookmarkStart w:id="10" w:name="_Toc4336034"/>
            <w:bookmarkStart w:id="11" w:name="_Toc61512742"/>
            <w:r>
              <w:rPr>
                <w:rFonts w:hint="eastAsia" w:ascii="宋体" w:hAnsi="宋体" w:eastAsia="宋体" w:cs="宋体"/>
                <w:color w:val="auto"/>
                <w:sz w:val="24"/>
                <w:szCs w:val="24"/>
              </w:rPr>
              <w:t>系统设置</w:t>
            </w:r>
            <w:bookmarkEnd w:id="8"/>
            <w:bookmarkEnd w:id="9"/>
            <w:bookmarkEnd w:id="10"/>
            <w:bookmarkEnd w:id="11"/>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0"/>
                <w:sz w:val="24"/>
                <w:szCs w:val="24"/>
              </w:rPr>
              <w:t>系统支持维护医师信息，内部科室病房信息，</w:t>
            </w:r>
            <w:r>
              <w:rPr>
                <w:rFonts w:hint="eastAsia" w:ascii="宋体" w:hAnsi="宋体" w:eastAsia="宋体" w:cs="宋体"/>
                <w:color w:val="auto"/>
                <w:kern w:val="0"/>
                <w:sz w:val="24"/>
                <w:szCs w:val="24"/>
                <w:lang w:eastAsia="zh-CN"/>
              </w:rPr>
              <w:t>医院</w:t>
            </w:r>
            <w:r>
              <w:rPr>
                <w:rFonts w:hint="eastAsia" w:ascii="宋体" w:hAnsi="宋体" w:eastAsia="宋体" w:cs="宋体"/>
                <w:color w:val="auto"/>
                <w:kern w:val="0"/>
                <w:sz w:val="24"/>
                <w:szCs w:val="24"/>
              </w:rPr>
              <w:t>信息等。</w:t>
            </w:r>
          </w:p>
        </w:tc>
      </w:tr>
    </w:tbl>
    <w:p>
      <w:pPr>
        <w:pStyle w:val="19"/>
        <w:pageBreakBefore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Times New Roman"/>
          <w:color w:val="auto"/>
          <w:szCs w:val="24"/>
        </w:rPr>
      </w:pPr>
    </w:p>
    <w:sectPr>
      <w:pgSz w:w="16838" w:h="11906" w:orient="landscape"/>
      <w:pgMar w:top="1519" w:right="1100" w:bottom="1519" w:left="11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82481"/>
    <w:multiLevelType w:val="singleLevel"/>
    <w:tmpl w:val="80882481"/>
    <w:lvl w:ilvl="0" w:tentative="0">
      <w:start w:val="1"/>
      <w:numFmt w:val="chineseCounting"/>
      <w:suff w:val="nothing"/>
      <w:lvlText w:val="%1、"/>
      <w:lvlJc w:val="left"/>
      <w:rPr>
        <w:rFonts w:hint="eastAsia"/>
      </w:rPr>
    </w:lvl>
  </w:abstractNum>
  <w:abstractNum w:abstractNumId="1">
    <w:nsid w:val="E97428CB"/>
    <w:multiLevelType w:val="singleLevel"/>
    <w:tmpl w:val="E97428CB"/>
    <w:lvl w:ilvl="0" w:tentative="0">
      <w:start w:val="2"/>
      <w:numFmt w:val="chineseCounting"/>
      <w:suff w:val="nothing"/>
      <w:lvlText w:val="（%1）"/>
      <w:lvlJc w:val="left"/>
      <w:rPr>
        <w:rFonts w:hint="eastAsia"/>
      </w:rPr>
    </w:lvl>
  </w:abstractNum>
  <w:abstractNum w:abstractNumId="2">
    <w:nsid w:val="0E8A5C3A"/>
    <w:multiLevelType w:val="multilevel"/>
    <w:tmpl w:val="0E8A5C3A"/>
    <w:lvl w:ilvl="0" w:tentative="0">
      <w:start w:val="1"/>
      <w:numFmt w:val="chineseCounting"/>
      <w:suff w:val="nothing"/>
      <w:lvlText w:val="（%1）"/>
      <w:lvlJc w:val="left"/>
      <w:rPr>
        <w:rFonts w:hint="eastAsia"/>
      </w:rPr>
    </w:lvl>
    <w:lvl w:ilvl="1" w:tentative="0">
      <w:start w:val="1"/>
      <w:numFmt w:val="decimal"/>
      <w:suff w:val="nothing"/>
      <w:lvlText w:val="%2．"/>
      <w:lvlJc w:val="left"/>
      <w:pPr>
        <w:ind w:left="-60"/>
      </w:pPr>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822D4F"/>
    <w:rsid w:val="000560B3"/>
    <w:rsid w:val="00090AA6"/>
    <w:rsid w:val="000E35AF"/>
    <w:rsid w:val="00145444"/>
    <w:rsid w:val="0029666E"/>
    <w:rsid w:val="002B6923"/>
    <w:rsid w:val="002E5F3C"/>
    <w:rsid w:val="002F47DE"/>
    <w:rsid w:val="00526DC1"/>
    <w:rsid w:val="005D67A0"/>
    <w:rsid w:val="00692A32"/>
    <w:rsid w:val="00694F6B"/>
    <w:rsid w:val="006A69E7"/>
    <w:rsid w:val="006F554E"/>
    <w:rsid w:val="00744C62"/>
    <w:rsid w:val="00781DA5"/>
    <w:rsid w:val="00822D4F"/>
    <w:rsid w:val="008829B4"/>
    <w:rsid w:val="00886E8D"/>
    <w:rsid w:val="00960E14"/>
    <w:rsid w:val="00B5642E"/>
    <w:rsid w:val="00BD2AAC"/>
    <w:rsid w:val="00C53CAC"/>
    <w:rsid w:val="00C741E9"/>
    <w:rsid w:val="00C9524B"/>
    <w:rsid w:val="00CA5DA1"/>
    <w:rsid w:val="00CD7AB4"/>
    <w:rsid w:val="00DA6876"/>
    <w:rsid w:val="00E36BC5"/>
    <w:rsid w:val="00E37063"/>
    <w:rsid w:val="00F13008"/>
    <w:rsid w:val="00FE6788"/>
    <w:rsid w:val="01ED7C74"/>
    <w:rsid w:val="03F17DB7"/>
    <w:rsid w:val="042D5A2E"/>
    <w:rsid w:val="04A153BA"/>
    <w:rsid w:val="04FD2717"/>
    <w:rsid w:val="06195D42"/>
    <w:rsid w:val="06CA12FF"/>
    <w:rsid w:val="07B94814"/>
    <w:rsid w:val="081027DD"/>
    <w:rsid w:val="087921F6"/>
    <w:rsid w:val="09505A5B"/>
    <w:rsid w:val="09CA47C0"/>
    <w:rsid w:val="09DB6762"/>
    <w:rsid w:val="0A2763AD"/>
    <w:rsid w:val="0A5A3B10"/>
    <w:rsid w:val="0B5A00BC"/>
    <w:rsid w:val="0B677345"/>
    <w:rsid w:val="0DA92B1E"/>
    <w:rsid w:val="0EF435EA"/>
    <w:rsid w:val="0F3F5F11"/>
    <w:rsid w:val="10D12BCF"/>
    <w:rsid w:val="10EC7A09"/>
    <w:rsid w:val="10FF31B3"/>
    <w:rsid w:val="118366C2"/>
    <w:rsid w:val="11B90A62"/>
    <w:rsid w:val="12DB0E22"/>
    <w:rsid w:val="139B3968"/>
    <w:rsid w:val="13A50343"/>
    <w:rsid w:val="14156E36"/>
    <w:rsid w:val="14CF5677"/>
    <w:rsid w:val="14F37FDD"/>
    <w:rsid w:val="1528122B"/>
    <w:rsid w:val="16FDA1F2"/>
    <w:rsid w:val="19263A4B"/>
    <w:rsid w:val="19683D7C"/>
    <w:rsid w:val="1A3D5A7A"/>
    <w:rsid w:val="1A8C400A"/>
    <w:rsid w:val="1ADD03C2"/>
    <w:rsid w:val="1B2E31A6"/>
    <w:rsid w:val="1C13722B"/>
    <w:rsid w:val="1C2F6749"/>
    <w:rsid w:val="1C56667E"/>
    <w:rsid w:val="1D1A58FD"/>
    <w:rsid w:val="1E1A1819"/>
    <w:rsid w:val="1E4F15D7"/>
    <w:rsid w:val="1E98459B"/>
    <w:rsid w:val="1EA322E1"/>
    <w:rsid w:val="1F761A29"/>
    <w:rsid w:val="1F811C64"/>
    <w:rsid w:val="1FBF3557"/>
    <w:rsid w:val="20F9556E"/>
    <w:rsid w:val="22537CBD"/>
    <w:rsid w:val="23052BAC"/>
    <w:rsid w:val="241412F8"/>
    <w:rsid w:val="243F09D3"/>
    <w:rsid w:val="25D00DCE"/>
    <w:rsid w:val="26345C82"/>
    <w:rsid w:val="26634159"/>
    <w:rsid w:val="270D53BE"/>
    <w:rsid w:val="27341555"/>
    <w:rsid w:val="279F712B"/>
    <w:rsid w:val="27FF5E55"/>
    <w:rsid w:val="28301E89"/>
    <w:rsid w:val="28463A4A"/>
    <w:rsid w:val="28F6721F"/>
    <w:rsid w:val="290613CD"/>
    <w:rsid w:val="290C7FF0"/>
    <w:rsid w:val="29671BF0"/>
    <w:rsid w:val="2977459E"/>
    <w:rsid w:val="2991601D"/>
    <w:rsid w:val="2ADB451B"/>
    <w:rsid w:val="2AF85332"/>
    <w:rsid w:val="2B255819"/>
    <w:rsid w:val="2E6D2EC1"/>
    <w:rsid w:val="30030473"/>
    <w:rsid w:val="30033658"/>
    <w:rsid w:val="307A6987"/>
    <w:rsid w:val="333746BC"/>
    <w:rsid w:val="35083162"/>
    <w:rsid w:val="36123AA7"/>
    <w:rsid w:val="36A72B76"/>
    <w:rsid w:val="36FA437E"/>
    <w:rsid w:val="37EA0F92"/>
    <w:rsid w:val="3A167394"/>
    <w:rsid w:val="3B131EB2"/>
    <w:rsid w:val="3BEE1E82"/>
    <w:rsid w:val="3C680495"/>
    <w:rsid w:val="3CFB2BFE"/>
    <w:rsid w:val="3D1B32A0"/>
    <w:rsid w:val="3E2241BA"/>
    <w:rsid w:val="3E4E4FAF"/>
    <w:rsid w:val="3E5C147A"/>
    <w:rsid w:val="3F1E6BC6"/>
    <w:rsid w:val="40060E95"/>
    <w:rsid w:val="40300E10"/>
    <w:rsid w:val="403966BC"/>
    <w:rsid w:val="411377D7"/>
    <w:rsid w:val="423E4ABC"/>
    <w:rsid w:val="42925DB2"/>
    <w:rsid w:val="42F65526"/>
    <w:rsid w:val="43917E18"/>
    <w:rsid w:val="43D877F5"/>
    <w:rsid w:val="44576961"/>
    <w:rsid w:val="44EB199C"/>
    <w:rsid w:val="45034C93"/>
    <w:rsid w:val="459F5CA0"/>
    <w:rsid w:val="45D65FB6"/>
    <w:rsid w:val="460222FB"/>
    <w:rsid w:val="479D4C60"/>
    <w:rsid w:val="47FC5A7C"/>
    <w:rsid w:val="481C178D"/>
    <w:rsid w:val="48A64DFE"/>
    <w:rsid w:val="490B4844"/>
    <w:rsid w:val="4AC918A8"/>
    <w:rsid w:val="4CE60C68"/>
    <w:rsid w:val="4D4C4DB0"/>
    <w:rsid w:val="4D551EB6"/>
    <w:rsid w:val="4D9B488E"/>
    <w:rsid w:val="4F2C30EB"/>
    <w:rsid w:val="50CB36A2"/>
    <w:rsid w:val="51AC698D"/>
    <w:rsid w:val="51C46959"/>
    <w:rsid w:val="52756B57"/>
    <w:rsid w:val="52E33AC0"/>
    <w:rsid w:val="547215A0"/>
    <w:rsid w:val="55701603"/>
    <w:rsid w:val="56C1236A"/>
    <w:rsid w:val="574014E1"/>
    <w:rsid w:val="578515EA"/>
    <w:rsid w:val="58704048"/>
    <w:rsid w:val="58C21972"/>
    <w:rsid w:val="592B61C1"/>
    <w:rsid w:val="5A7C57E7"/>
    <w:rsid w:val="5AC02939"/>
    <w:rsid w:val="5B0141D7"/>
    <w:rsid w:val="5B694059"/>
    <w:rsid w:val="5B810FD4"/>
    <w:rsid w:val="5BBA3E20"/>
    <w:rsid w:val="5BC20CB8"/>
    <w:rsid w:val="5C10224C"/>
    <w:rsid w:val="5CFFE526"/>
    <w:rsid w:val="5D1E39F9"/>
    <w:rsid w:val="5DE47F72"/>
    <w:rsid w:val="5DE66B5A"/>
    <w:rsid w:val="5F9E16EE"/>
    <w:rsid w:val="5FFC9F6E"/>
    <w:rsid w:val="60367925"/>
    <w:rsid w:val="60B13450"/>
    <w:rsid w:val="61DA0784"/>
    <w:rsid w:val="626B762E"/>
    <w:rsid w:val="63B12CEF"/>
    <w:rsid w:val="63DA2CBD"/>
    <w:rsid w:val="676C00D0"/>
    <w:rsid w:val="678C0773"/>
    <w:rsid w:val="67E31A1D"/>
    <w:rsid w:val="68580D47"/>
    <w:rsid w:val="699114B3"/>
    <w:rsid w:val="69A01157"/>
    <w:rsid w:val="6B81580A"/>
    <w:rsid w:val="6BA918F3"/>
    <w:rsid w:val="6BE04BE9"/>
    <w:rsid w:val="6C0A57C2"/>
    <w:rsid w:val="6C904861"/>
    <w:rsid w:val="6CB55D80"/>
    <w:rsid w:val="6CDB2BA3"/>
    <w:rsid w:val="6D367A39"/>
    <w:rsid w:val="6EB613C5"/>
    <w:rsid w:val="6F060E0B"/>
    <w:rsid w:val="6F8F4C98"/>
    <w:rsid w:val="6FBE7937"/>
    <w:rsid w:val="703303C1"/>
    <w:rsid w:val="70C46E67"/>
    <w:rsid w:val="733D6483"/>
    <w:rsid w:val="73C46754"/>
    <w:rsid w:val="749F162E"/>
    <w:rsid w:val="76051E1C"/>
    <w:rsid w:val="767B3E8C"/>
    <w:rsid w:val="76B61368"/>
    <w:rsid w:val="76DF1025"/>
    <w:rsid w:val="770245AD"/>
    <w:rsid w:val="773A343B"/>
    <w:rsid w:val="779E0348"/>
    <w:rsid w:val="78134086"/>
    <w:rsid w:val="78691E39"/>
    <w:rsid w:val="78C212E0"/>
    <w:rsid w:val="78E44168"/>
    <w:rsid w:val="79D270C0"/>
    <w:rsid w:val="7A1B542C"/>
    <w:rsid w:val="7A6FA67D"/>
    <w:rsid w:val="7D7B1AFF"/>
    <w:rsid w:val="7DDFFA2B"/>
    <w:rsid w:val="7E7924D3"/>
    <w:rsid w:val="7EC9775F"/>
    <w:rsid w:val="7EE40A6F"/>
    <w:rsid w:val="7F7D1D6A"/>
    <w:rsid w:val="7F8E6E32"/>
    <w:rsid w:val="7FFB2C86"/>
    <w:rsid w:val="7FFE735D"/>
    <w:rsid w:val="9FF20F9F"/>
    <w:rsid w:val="AB7DA87D"/>
    <w:rsid w:val="ADEE52A4"/>
    <w:rsid w:val="B9F823CA"/>
    <w:rsid w:val="BB2AF70E"/>
    <w:rsid w:val="D74FD8CE"/>
    <w:rsid w:val="DCFDD65E"/>
    <w:rsid w:val="DFAE0003"/>
    <w:rsid w:val="E5EA9312"/>
    <w:rsid w:val="EAFF4E98"/>
    <w:rsid w:val="EFD591EB"/>
    <w:rsid w:val="F57F6E10"/>
    <w:rsid w:val="F5BD7C3E"/>
    <w:rsid w:val="F97723F9"/>
    <w:rsid w:val="FD1F6DD8"/>
    <w:rsid w:val="FF5D2705"/>
    <w:rsid w:val="FFFE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5">
    <w:name w:val="Body Text First Indent"/>
    <w:basedOn w:val="2"/>
    <w:next w:val="1"/>
    <w:qFormat/>
    <w:uiPriority w:val="0"/>
    <w:pPr>
      <w:tabs>
        <w:tab w:val="decimal" w:pos="315"/>
        <w:tab w:val="left" w:pos="630"/>
      </w:tabs>
      <w:spacing w:after="120"/>
      <w:ind w:firstLine="420" w:firstLineChars="100"/>
    </w:pPr>
  </w:style>
  <w:style w:type="paragraph" w:styleId="6">
    <w:name w:val="annotation text"/>
    <w:basedOn w:val="1"/>
    <w:semiHidden/>
    <w:qFormat/>
    <w:uiPriority w:val="0"/>
    <w:pPr>
      <w:jc w:val="left"/>
    </w:pPr>
    <w:rPr>
      <w:color w:val="0000FF"/>
      <w:sz w:val="24"/>
    </w:rPr>
  </w:style>
  <w:style w:type="paragraph" w:styleId="7">
    <w:name w:val="Body Text Indent"/>
    <w:basedOn w:val="1"/>
    <w:qFormat/>
    <w:uiPriority w:val="0"/>
    <w:pPr>
      <w:spacing w:line="360" w:lineRule="auto"/>
      <w:ind w:firstLine="420"/>
    </w:pPr>
    <w:rPr>
      <w:bCs/>
      <w:szCs w:val="24"/>
    </w:rPr>
  </w:style>
  <w:style w:type="paragraph" w:styleId="8">
    <w:name w:val="toc 5"/>
    <w:basedOn w:val="1"/>
    <w:next w:val="1"/>
    <w:qFormat/>
    <w:uiPriority w:val="0"/>
    <w:pPr>
      <w:ind w:left="840"/>
      <w:jc w:val="left"/>
    </w:pPr>
    <w:rPr>
      <w:szCs w:val="21"/>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tabs>
        <w:tab w:val="center" w:pos="4153"/>
        <w:tab w:val="right" w:pos="8306"/>
      </w:tabs>
      <w:snapToGrid w:val="0"/>
      <w:jc w:val="center"/>
    </w:pPr>
    <w:rPr>
      <w:sz w:val="18"/>
      <w:szCs w:val="18"/>
    </w:rPr>
  </w:style>
  <w:style w:type="paragraph" w:styleId="11">
    <w:name w:val="Normal (Web)"/>
    <w:basedOn w:val="1"/>
    <w:qFormat/>
    <w:uiPriority w:val="0"/>
    <w:rPr>
      <w:sz w:val="24"/>
    </w:rPr>
  </w:style>
  <w:style w:type="character" w:styleId="13">
    <w:name w:val="Strong"/>
    <w:basedOn w:val="12"/>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19">
    <w:name w:val="投标正文小四"/>
    <w:basedOn w:val="1"/>
    <w:qFormat/>
    <w:uiPriority w:val="0"/>
    <w:pPr>
      <w:spacing w:line="360" w:lineRule="auto"/>
      <w:ind w:firstLine="200" w:firstLineChars="200"/>
    </w:pPr>
    <w:rPr>
      <w:sz w:val="24"/>
    </w:rPr>
  </w:style>
  <w:style w:type="paragraph" w:customStyle="1" w:styleId="20">
    <w:name w:val="正文1"/>
    <w:qFormat/>
    <w:uiPriority w:val="0"/>
    <w:pPr>
      <w:widowControl w:val="0"/>
      <w:jc w:val="both"/>
    </w:pPr>
    <w:rPr>
      <w:rFonts w:ascii="Calibri" w:hAnsi="Calibri" w:eastAsia="宋体" w:cs="Times New Roman"/>
      <w:sz w:val="21"/>
      <w:szCs w:val="22"/>
      <w:lang w:val="en-US" w:eastAsia="zh-CN" w:bidi="ar-SA"/>
    </w:rPr>
  </w:style>
  <w:style w:type="character" w:customStyle="1" w:styleId="21">
    <w:name w:val="页眉 字符"/>
    <w:basedOn w:val="12"/>
    <w:link w:val="10"/>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页脚 字符"/>
    <w:basedOn w:val="12"/>
    <w:link w:val="9"/>
    <w:qFormat/>
    <w:uiPriority w:val="99"/>
    <w:rPr>
      <w:rFonts w:asciiTheme="minorHAnsi" w:hAnsiTheme="minorHAnsi" w:eastAsiaTheme="minorEastAsia" w:cstheme="minorBidi"/>
      <w:kern w:val="2"/>
      <w:sz w:val="18"/>
      <w:szCs w:val="18"/>
    </w:rPr>
  </w:style>
  <w:style w:type="character" w:customStyle="1" w:styleId="24">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2167</Words>
  <Characters>2282</Characters>
  <Lines>128</Lines>
  <Paragraphs>126</Paragraphs>
  <ScaleCrop>false</ScaleCrop>
  <LinksUpToDate>false</LinksUpToDate>
  <CharactersWithSpaces>2294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2024-03-07T18:48:00Z</dcterms:created>
  <dc:creator>Administrator</dc:creator>
  <cp:lastModifiedBy>赖宇娟</cp:lastModifiedBy>
  <dcterms:modified xsi:type="dcterms:W3CDTF">2026-04-30T07:20:04Z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4B095C592D686097DC85F06980E18874_43</vt:lpwstr>
  </property>
  <property fmtid="{D5CDD505-2E9C-101B-9397-08002B2CF9AE}" pid="4" name="KSOTemplateDocerSaveRecord">
    <vt:lpwstr>eyJoZGlkIjoiY2YxNTJiOTNhZjAwNGZmNTNhNmJmZmZlYmY3YTYyNDEiLCJ1c2VySWQiOiIxNzE4ODc4In0=</vt:lpwstr>
  </property>
</Properties>
</file>