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bCs/>
          <w:i w:val="0"/>
          <w:caps w:val="0"/>
          <w:color w:val="000000"/>
          <w:spacing w:val="0"/>
          <w:sz w:val="30"/>
          <w:szCs w:val="30"/>
          <w:shd w:val="clear" w:color="auto" w:fill="FFFFFF"/>
          <w:lang w:val="en-US" w:eastAsia="zh-CN"/>
        </w:rPr>
      </w:pPr>
      <w:r>
        <w:rPr>
          <w:rFonts w:hint="eastAsia" w:ascii="宋体" w:hAnsi="宋体" w:cs="宋体"/>
          <w:b/>
          <w:bCs/>
          <w:i w:val="0"/>
          <w:caps w:val="0"/>
          <w:color w:val="000000"/>
          <w:spacing w:val="0"/>
          <w:sz w:val="30"/>
          <w:szCs w:val="30"/>
          <w:shd w:val="clear" w:color="auto" w:fill="FFFFFF"/>
          <w:lang w:eastAsia="zh-CN"/>
        </w:rPr>
        <w:t>附件</w:t>
      </w:r>
      <w:r>
        <w:rPr>
          <w:rFonts w:hint="eastAsia" w:ascii="宋体" w:hAnsi="宋体" w:cs="宋体"/>
          <w:b/>
          <w:bCs/>
          <w:i w:val="0"/>
          <w:caps w:val="0"/>
          <w:color w:val="000000"/>
          <w:spacing w:val="0"/>
          <w:sz w:val="30"/>
          <w:szCs w:val="30"/>
          <w:shd w:val="clear" w:color="auto" w:fill="FFFFFF"/>
          <w:lang w:val="en-US" w:eastAsia="zh-CN"/>
        </w:rPr>
        <w:t>3</w:t>
      </w:r>
      <w:bookmarkStart w:id="1" w:name="_GoBack"/>
      <w:bookmarkEnd w:id="1"/>
      <w:r>
        <w:rPr>
          <w:rFonts w:hint="eastAsia" w:ascii="宋体" w:hAnsi="宋体" w:cs="宋体"/>
          <w:b/>
          <w:bCs/>
          <w:i w:val="0"/>
          <w:caps w:val="0"/>
          <w:color w:val="000000"/>
          <w:spacing w:val="0"/>
          <w:sz w:val="30"/>
          <w:szCs w:val="30"/>
          <w:shd w:val="clear" w:color="auto" w:fill="FFFFFF"/>
          <w:lang w:val="en-US" w:eastAsia="zh-CN"/>
        </w:rPr>
        <w:t>：                  评审方案</w:t>
      </w:r>
    </w:p>
    <w:p>
      <w:pPr>
        <w:spacing w:line="360" w:lineRule="auto"/>
        <w:ind w:firstLine="422" w:firstLineChars="200"/>
        <w:rPr>
          <w:rFonts w:hint="eastAsia" w:ascii="宋体" w:hAnsi="宋体"/>
          <w:b w:val="0"/>
          <w:bCs w:val="0"/>
          <w:szCs w:val="21"/>
          <w:highlight w:val="none"/>
          <w:lang w:val="en-US" w:eastAsia="zh-CN"/>
        </w:rPr>
      </w:pPr>
      <w:r>
        <w:rPr>
          <w:rFonts w:hint="eastAsia" w:ascii="宋体" w:hAnsi="宋体"/>
          <w:b/>
          <w:bCs/>
          <w:szCs w:val="21"/>
          <w:highlight w:val="none"/>
          <w:lang w:val="en-US" w:eastAsia="zh-CN"/>
        </w:rPr>
        <w:t>1、评审步骤：</w:t>
      </w:r>
      <w:r>
        <w:rPr>
          <w:rFonts w:hint="eastAsia" w:ascii="宋体" w:hAnsi="宋体"/>
          <w:b w:val="0"/>
          <w:bCs w:val="0"/>
          <w:szCs w:val="21"/>
          <w:highlight w:val="none"/>
          <w:lang w:val="en-US" w:eastAsia="zh-CN"/>
        </w:rPr>
        <w:t>评审小组对响应文件的评审分为初审（资格性和符合性审查，详见响应文件模版参考内容）和详细评审，初审通过才进入详细评审环节。</w:t>
      </w:r>
    </w:p>
    <w:p>
      <w:pPr>
        <w:spacing w:line="360" w:lineRule="auto"/>
        <w:ind w:firstLine="420" w:firstLineChars="200"/>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2、详细评审时，根据评分表的内容，评审小组各成员应当独立对每个有效响应的文件进行评价、打分，从商务技术和价格方面进行综合评审。各成员评分的算术平均值即为该供应商的商务技术得分。得分按四舍五入规则，精确到小数点后2位。</w:t>
      </w:r>
    </w:p>
    <w:p>
      <w:pPr>
        <w:spacing w:line="360" w:lineRule="auto"/>
        <w:ind w:firstLine="422" w:firstLineChars="200"/>
        <w:rPr>
          <w:rFonts w:hint="eastAsia" w:ascii="宋体" w:hAnsi="宋体"/>
          <w:b w:val="0"/>
          <w:bCs w:val="0"/>
          <w:szCs w:val="21"/>
          <w:highlight w:val="none"/>
          <w:lang w:val="en-US" w:eastAsia="zh-CN"/>
        </w:rPr>
      </w:pPr>
      <w:r>
        <w:rPr>
          <w:rFonts w:hint="eastAsia" w:ascii="宋体" w:hAnsi="宋体"/>
          <w:b/>
          <w:bCs/>
          <w:szCs w:val="21"/>
          <w:highlight w:val="none"/>
          <w:lang w:val="en-US" w:eastAsia="zh-CN"/>
        </w:rPr>
        <w:t>3、评审总得分＝商务技术得分+响应报价得分</w:t>
      </w:r>
      <w:r>
        <w:rPr>
          <w:rFonts w:hint="eastAsia" w:ascii="宋体" w:hAnsi="宋体"/>
          <w:b w:val="0"/>
          <w:bCs w:val="0"/>
          <w:szCs w:val="21"/>
          <w:highlight w:val="none"/>
          <w:lang w:val="en-US" w:eastAsia="zh-CN"/>
        </w:rPr>
        <w:t>　　</w:t>
      </w:r>
    </w:p>
    <w:p>
      <w:pPr>
        <w:spacing w:line="360" w:lineRule="auto"/>
        <w:ind w:firstLine="422" w:firstLineChars="200"/>
        <w:rPr>
          <w:rFonts w:hint="eastAsia" w:ascii="宋体" w:hAnsi="宋体"/>
          <w:b w:val="0"/>
          <w:bCs w:val="0"/>
          <w:szCs w:val="21"/>
          <w:highlight w:val="none"/>
          <w:lang w:val="en-US" w:eastAsia="zh-CN"/>
        </w:rPr>
      </w:pPr>
      <w:r>
        <w:rPr>
          <w:rFonts w:hint="eastAsia" w:ascii="宋体" w:hAnsi="宋体"/>
          <w:b/>
          <w:bCs/>
          <w:szCs w:val="21"/>
          <w:highlight w:val="none"/>
          <w:lang w:val="en-US" w:eastAsia="zh-CN"/>
        </w:rPr>
        <w:t>4、</w:t>
      </w:r>
      <w:r>
        <w:rPr>
          <w:rFonts w:hint="eastAsia" w:ascii="宋体" w:hAnsi="宋体"/>
          <w:b w:val="0"/>
          <w:bCs w:val="0"/>
          <w:szCs w:val="21"/>
          <w:highlight w:val="none"/>
          <w:lang w:val="en-US" w:eastAsia="zh-CN"/>
        </w:rPr>
        <w:t>评审小组按评审得分由高到低进行排序，排名第一的推荐为拟成交供应商，排名第二的供应商为第二成交候选人，排名第三的供应商为第三成交候选人。出现综合总得分并列时，评审报价低的供应商名次靠前；若综合得分和评审报价都相同，按商务技术得分高的供应商名次靠前；若综合得分、评审报价和商务技术得分都相同，由全体评审专家投票确定名次。</w:t>
      </w:r>
    </w:p>
    <w:p>
      <w:pPr>
        <w:spacing w:line="360" w:lineRule="auto"/>
        <w:ind w:firstLine="422" w:firstLineChars="200"/>
        <w:rPr>
          <w:rFonts w:hint="eastAsia" w:ascii="宋体" w:hAnsi="宋体"/>
          <w:b/>
          <w:bCs/>
          <w:szCs w:val="21"/>
          <w:highlight w:val="none"/>
          <w:lang w:val="en-US" w:eastAsia="zh-CN"/>
        </w:rPr>
      </w:pPr>
      <w:r>
        <w:rPr>
          <w:rFonts w:hint="eastAsia" w:ascii="宋体" w:hAnsi="宋体"/>
          <w:b/>
          <w:bCs/>
          <w:szCs w:val="21"/>
          <w:highlight w:val="none"/>
          <w:lang w:val="en-US" w:eastAsia="zh-CN"/>
        </w:rPr>
        <w:t>5、响应文件的澄清</w:t>
      </w:r>
    </w:p>
    <w:p>
      <w:pPr>
        <w:spacing w:line="360" w:lineRule="auto"/>
        <w:ind w:firstLine="420" w:firstLineChars="200"/>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评审期间，对响应文件中含义不明确、同类问题表述不一致或者有明显文字和计算错误的内容，评审小组可以书面形式（应当由评审小组专家签字）要求供应商作出必要的澄清、说明或者纠正，但不得允许供应商对响应报价等实质性内容做任何更改。供应商的澄清、说明或者纠正应当采用书面形式，由其授权的代表签字，并不得超出响应文件的范围或者改变响应文件的实质性内容。有关澄清的答复均应由供应商的法定代表人或授权代表签名的书面形式作出。供应商的澄清文件是其响应文件的组成部分。</w:t>
      </w:r>
    </w:p>
    <w:p>
      <w:pPr>
        <w:numPr>
          <w:ilvl w:val="0"/>
          <w:numId w:val="0"/>
        </w:numPr>
        <w:spacing w:line="360" w:lineRule="auto"/>
        <w:ind w:firstLine="422" w:firstLineChars="200"/>
        <w:rPr>
          <w:rFonts w:hint="eastAsia" w:ascii="宋体" w:hAnsi="宋体"/>
          <w:b w:val="0"/>
          <w:bCs w:val="0"/>
          <w:szCs w:val="21"/>
          <w:highlight w:val="none"/>
          <w:lang w:val="en-US" w:eastAsia="zh-CN"/>
        </w:rPr>
      </w:pPr>
      <w:r>
        <w:rPr>
          <w:rFonts w:hint="eastAsia" w:ascii="宋体" w:hAnsi="宋体" w:eastAsia="宋体" w:cs="Times New Roman"/>
          <w:b/>
          <w:bCs/>
          <w:kern w:val="2"/>
          <w:sz w:val="21"/>
          <w:szCs w:val="21"/>
          <w:lang w:val="en-US" w:eastAsia="zh-CN" w:bidi="ar-SA"/>
        </w:rPr>
        <w:t>6、</w:t>
      </w:r>
      <w:r>
        <w:rPr>
          <w:rFonts w:hint="eastAsia" w:ascii="宋体" w:hAnsi="宋体"/>
          <w:b w:val="0"/>
          <w:bCs w:val="0"/>
          <w:szCs w:val="21"/>
          <w:highlight w:val="none"/>
          <w:lang w:val="en-US" w:eastAsia="zh-CN"/>
        </w:rPr>
        <w:t>评审专家按照总得分由高到低的顺序推荐中选人名单。排名第一的推荐为拟成交供应商。如果推荐的成交供应商向采购人来书面函退出或违反采购文件规定或不能履行合同的，则采购人视为该成交供应商放弃成交资格。则采购人在法律法规允许的情况下可按中选人排名顺序依次确定递补中选人资格，或重新组织采购。</w:t>
      </w:r>
    </w:p>
    <w:p>
      <w:pPr>
        <w:pStyle w:val="2"/>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pPr>
        <w:pStyle w:val="2"/>
        <w:jc w:val="left"/>
        <w:rPr>
          <w:b/>
          <w:bCs/>
        </w:rPr>
      </w:pPr>
      <w:r>
        <w:rPr>
          <w:rFonts w:hint="eastAsia" w:ascii="宋体" w:hAnsi="宋体" w:cs="宋体"/>
          <w:b/>
          <w:bCs/>
          <w:sz w:val="28"/>
          <w:szCs w:val="28"/>
          <w:lang w:val="en-US" w:eastAsia="zh-CN"/>
        </w:rPr>
        <w:t>附表：</w:t>
      </w:r>
      <w:r>
        <w:rPr>
          <w:rFonts w:hint="eastAsia" w:ascii="宋体" w:hAnsi="宋体" w:eastAsia="宋体" w:cs="宋体"/>
          <w:b/>
          <w:color w:val="auto"/>
          <w:sz w:val="28"/>
          <w:szCs w:val="28"/>
        </w:rPr>
        <w:t>中山市黄圃人民医院202</w:t>
      </w:r>
      <w:r>
        <w:rPr>
          <w:rFonts w:hint="eastAsia" w:cs="宋体"/>
          <w:b/>
          <w:color w:val="auto"/>
          <w:sz w:val="28"/>
          <w:szCs w:val="28"/>
          <w:lang w:val="en-US" w:eastAsia="zh-CN"/>
        </w:rPr>
        <w:t>6</w:t>
      </w:r>
      <w:r>
        <w:rPr>
          <w:rFonts w:hint="eastAsia" w:ascii="宋体" w:hAnsi="宋体" w:eastAsia="宋体" w:cs="宋体"/>
          <w:b/>
          <w:color w:val="auto"/>
          <w:sz w:val="28"/>
          <w:szCs w:val="28"/>
        </w:rPr>
        <w:t>年护士节纪念品采购项目</w:t>
      </w:r>
      <w:r>
        <w:rPr>
          <w:rFonts w:hint="eastAsia" w:ascii="宋体" w:hAnsi="宋体" w:eastAsia="宋体" w:cs="宋体"/>
          <w:b/>
          <w:bCs/>
          <w:sz w:val="28"/>
          <w:szCs w:val="28"/>
        </w:rPr>
        <w:t>评分表</w:t>
      </w:r>
    </w:p>
    <w:p>
      <w:pPr>
        <w:pStyle w:val="7"/>
      </w:pPr>
    </w:p>
    <w:p/>
    <w:tbl>
      <w:tblPr>
        <w:tblStyle w:val="13"/>
        <w:tblW w:w="92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087"/>
        <w:gridCol w:w="6443"/>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jc w:val="center"/>
        </w:trPr>
        <w:tc>
          <w:tcPr>
            <w:tcW w:w="916" w:type="dxa"/>
            <w:vAlign w:val="center"/>
          </w:tcPr>
          <w:p>
            <w:pPr>
              <w:pStyle w:val="9"/>
              <w:tabs>
                <w:tab w:val="clear" w:pos="4153"/>
                <w:tab w:val="clear" w:pos="8306"/>
              </w:tabs>
              <w:snapToGrid/>
              <w:spacing w:line="360" w:lineRule="auto"/>
              <w:jc w:val="center"/>
              <w:rPr>
                <w:rFonts w:hint="eastAsia" w:ascii="宋体" w:hAnsi="宋体" w:eastAsia="宋体" w:cs="宋体"/>
                <w:b/>
                <w:bCs/>
                <w:color w:val="auto"/>
                <w:sz w:val="21"/>
                <w:szCs w:val="21"/>
                <w:lang w:eastAsia="zh-CN"/>
              </w:rPr>
            </w:pPr>
            <w:bookmarkStart w:id="0" w:name="OLE_LINK2"/>
            <w:r>
              <w:rPr>
                <w:rFonts w:hint="eastAsia" w:ascii="宋体" w:hAnsi="宋体" w:cs="宋体"/>
                <w:b/>
                <w:bCs/>
                <w:color w:val="auto"/>
                <w:sz w:val="21"/>
                <w:szCs w:val="21"/>
                <w:lang w:eastAsia="zh-CN"/>
              </w:rPr>
              <w:t>项目</w:t>
            </w:r>
          </w:p>
        </w:tc>
        <w:tc>
          <w:tcPr>
            <w:tcW w:w="1087" w:type="dxa"/>
            <w:vAlign w:val="center"/>
          </w:tcPr>
          <w:p>
            <w:pPr>
              <w:pStyle w:val="9"/>
              <w:tabs>
                <w:tab w:val="clear" w:pos="4153"/>
                <w:tab w:val="clear" w:pos="8306"/>
              </w:tabs>
              <w:snapToGrid/>
              <w:spacing w:line="360" w:lineRule="auto"/>
              <w:jc w:val="center"/>
              <w:rPr>
                <w:rFonts w:ascii="宋体" w:hAnsi="宋体" w:cs="宋体"/>
                <w:b/>
                <w:bCs/>
                <w:color w:val="auto"/>
                <w:sz w:val="21"/>
                <w:szCs w:val="21"/>
              </w:rPr>
            </w:pPr>
            <w:r>
              <w:rPr>
                <w:rFonts w:hint="eastAsia" w:ascii="宋体" w:hAnsi="宋体" w:cs="宋体"/>
                <w:b/>
                <w:bCs/>
                <w:color w:val="auto"/>
                <w:sz w:val="21"/>
                <w:szCs w:val="21"/>
              </w:rPr>
              <w:t>评审因素</w:t>
            </w:r>
          </w:p>
        </w:tc>
        <w:tc>
          <w:tcPr>
            <w:tcW w:w="6443" w:type="dxa"/>
            <w:vAlign w:val="center"/>
          </w:tcPr>
          <w:p>
            <w:pPr>
              <w:pStyle w:val="9"/>
              <w:tabs>
                <w:tab w:val="clear" w:pos="4153"/>
                <w:tab w:val="clear" w:pos="8306"/>
              </w:tabs>
              <w:snapToGrid/>
              <w:spacing w:line="360" w:lineRule="auto"/>
              <w:jc w:val="center"/>
              <w:rPr>
                <w:rFonts w:ascii="宋体" w:hAnsi="宋体" w:cs="宋体"/>
                <w:b/>
                <w:bCs/>
                <w:color w:val="auto"/>
                <w:sz w:val="21"/>
                <w:szCs w:val="21"/>
              </w:rPr>
            </w:pPr>
            <w:r>
              <w:rPr>
                <w:rFonts w:hint="eastAsia" w:ascii="宋体" w:hAnsi="宋体" w:cs="宋体"/>
                <w:b/>
                <w:bCs/>
                <w:color w:val="auto"/>
                <w:sz w:val="21"/>
                <w:szCs w:val="21"/>
              </w:rPr>
              <w:t>评分细则</w:t>
            </w:r>
          </w:p>
        </w:tc>
        <w:tc>
          <w:tcPr>
            <w:tcW w:w="809" w:type="dxa"/>
            <w:vAlign w:val="center"/>
          </w:tcPr>
          <w:p>
            <w:pPr>
              <w:pStyle w:val="9"/>
              <w:tabs>
                <w:tab w:val="clear" w:pos="4153"/>
                <w:tab w:val="clear" w:pos="8306"/>
              </w:tabs>
              <w:snapToGrid/>
              <w:spacing w:line="360" w:lineRule="auto"/>
              <w:jc w:val="center"/>
              <w:rPr>
                <w:rFonts w:ascii="宋体" w:hAnsi="宋体" w:cs="宋体"/>
                <w:b/>
                <w:bCs/>
                <w:color w:val="auto"/>
                <w:sz w:val="21"/>
                <w:szCs w:val="21"/>
              </w:rPr>
            </w:pPr>
            <w:r>
              <w:rPr>
                <w:rFonts w:hint="eastAsia" w:ascii="宋体" w:hAnsi="宋体" w:cs="宋体"/>
                <w:b/>
                <w:bCs/>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jc w:val="center"/>
        </w:trPr>
        <w:tc>
          <w:tcPr>
            <w:tcW w:w="916" w:type="dxa"/>
            <w:vMerge w:val="restart"/>
            <w:vAlign w:val="center"/>
          </w:tcPr>
          <w:p>
            <w:pPr>
              <w:widowControl/>
              <w:spacing w:line="360" w:lineRule="auto"/>
              <w:jc w:val="center"/>
              <w:rPr>
                <w:rFonts w:hint="eastAsia" w:ascii="宋体" w:hAnsi="宋体" w:eastAsia="宋体" w:cs="宋体"/>
                <w:color w:val="auto"/>
                <w:spacing w:val="15"/>
                <w:kern w:val="0"/>
                <w:szCs w:val="21"/>
                <w:shd w:val="clear" w:color="auto" w:fill="FFFFFF"/>
                <w:lang w:val="en-US" w:eastAsia="zh-CN"/>
              </w:rPr>
            </w:pPr>
            <w:r>
              <w:rPr>
                <w:rFonts w:hint="eastAsia" w:ascii="宋体" w:hAnsi="宋体" w:cs="宋体"/>
                <w:b/>
                <w:bCs/>
                <w:color w:val="auto"/>
                <w:spacing w:val="15"/>
                <w:kern w:val="0"/>
                <w:szCs w:val="21"/>
                <w:shd w:val="clear" w:color="auto" w:fill="FFFFFF"/>
                <w:lang w:val="en-US" w:eastAsia="zh-CN"/>
              </w:rPr>
              <w:t>商务技术部分</w:t>
            </w:r>
          </w:p>
        </w:tc>
        <w:tc>
          <w:tcPr>
            <w:tcW w:w="1087" w:type="dxa"/>
            <w:vAlign w:val="center"/>
          </w:tcPr>
          <w:p>
            <w:pPr>
              <w:spacing w:line="240" w:lineRule="auto"/>
              <w:jc w:val="center"/>
              <w:rPr>
                <w:rFonts w:hint="eastAsia" w:ascii="Times New Roman" w:hAnsi="宋体" w:eastAsia="宋体" w:cs="Times New Roman"/>
                <w:bCs/>
                <w:szCs w:val="21"/>
                <w:highlight w:val="none"/>
              </w:rPr>
            </w:pPr>
            <w:r>
              <w:rPr>
                <w:rFonts w:hint="eastAsia" w:ascii="宋体" w:hAnsi="宋体" w:eastAsia="宋体" w:cs="宋体"/>
                <w:color w:val="auto"/>
                <w:sz w:val="21"/>
                <w:szCs w:val="21"/>
                <w:highlight w:val="none"/>
                <w:lang w:eastAsia="zh-CN"/>
              </w:rPr>
              <w:t>企业认证</w:t>
            </w:r>
          </w:p>
        </w:tc>
        <w:tc>
          <w:tcPr>
            <w:tcW w:w="6443" w:type="dxa"/>
            <w:vAlign w:val="center"/>
          </w:tcPr>
          <w:p>
            <w:pPr>
              <w:spacing w:line="240" w:lineRule="auto"/>
              <w:ind w:left="0" w:leftChars="0" w:right="0" w:rightChars="0"/>
              <w:rPr>
                <w:rFonts w:hint="eastAsia" w:eastAsia="宋体"/>
                <w:color w:val="auto"/>
                <w:sz w:val="22"/>
                <w:szCs w:val="22"/>
                <w:highlight w:val="none"/>
                <w:lang w:eastAsia="zh-CN"/>
              </w:rPr>
            </w:pPr>
            <w:r>
              <w:rPr>
                <w:rFonts w:hint="eastAsia" w:eastAsia="宋体"/>
                <w:color w:val="auto"/>
                <w:sz w:val="22"/>
                <w:szCs w:val="22"/>
                <w:highlight w:val="none"/>
                <w:lang w:eastAsia="zh-CN"/>
              </w:rPr>
              <w:t>供应商具有有效的质量管理体系认证证书、环境管理体系认证证书、职业健康安全管理体系认证证书，每提供一个得</w:t>
            </w:r>
            <w:r>
              <w:rPr>
                <w:rFonts w:hint="eastAsia" w:eastAsia="宋体"/>
                <w:color w:val="auto"/>
                <w:sz w:val="22"/>
                <w:szCs w:val="22"/>
                <w:highlight w:val="none"/>
                <w:lang w:val="en-US" w:eastAsia="zh-CN"/>
              </w:rPr>
              <w:t>2</w:t>
            </w:r>
            <w:r>
              <w:rPr>
                <w:rFonts w:hint="eastAsia" w:eastAsia="宋体"/>
                <w:color w:val="auto"/>
                <w:sz w:val="22"/>
                <w:szCs w:val="22"/>
                <w:highlight w:val="none"/>
                <w:lang w:eastAsia="zh-CN"/>
              </w:rPr>
              <w:t>分，满分</w:t>
            </w:r>
            <w:r>
              <w:rPr>
                <w:rFonts w:hint="eastAsia" w:eastAsia="宋体"/>
                <w:color w:val="auto"/>
                <w:sz w:val="22"/>
                <w:szCs w:val="22"/>
                <w:highlight w:val="none"/>
                <w:lang w:val="en-US" w:eastAsia="zh-CN"/>
              </w:rPr>
              <w:t>6</w:t>
            </w:r>
            <w:r>
              <w:rPr>
                <w:rFonts w:hint="eastAsia" w:eastAsia="宋体"/>
                <w:color w:val="auto"/>
                <w:sz w:val="22"/>
                <w:szCs w:val="22"/>
                <w:highlight w:val="none"/>
                <w:lang w:eastAsia="zh-CN"/>
              </w:rPr>
              <w:t>分。</w:t>
            </w:r>
          </w:p>
          <w:p>
            <w:pPr>
              <w:spacing w:line="240" w:lineRule="auto"/>
              <w:ind w:left="0" w:leftChars="0" w:right="0" w:rightChars="0"/>
              <w:rPr>
                <w:rFonts w:hint="eastAsia" w:ascii="宋体" w:hAnsi="宋体" w:eastAsia="宋体" w:cs="Times New Roman"/>
                <w:kern w:val="2"/>
                <w:sz w:val="21"/>
                <w:szCs w:val="21"/>
                <w:highlight w:val="none"/>
              </w:rPr>
            </w:pPr>
            <w:r>
              <w:rPr>
                <w:rFonts w:hint="eastAsia" w:eastAsia="宋体"/>
                <w:b/>
                <w:bCs/>
                <w:color w:val="auto"/>
                <w:sz w:val="22"/>
                <w:szCs w:val="22"/>
                <w:highlight w:val="none"/>
                <w:lang w:eastAsia="zh-CN"/>
              </w:rPr>
              <w:t>注：</w:t>
            </w:r>
            <w:r>
              <w:rPr>
                <w:rFonts w:hint="eastAsia"/>
                <w:b/>
                <w:bCs/>
                <w:color w:val="auto"/>
                <w:sz w:val="22"/>
                <w:szCs w:val="22"/>
                <w:highlight w:val="none"/>
                <w:lang w:val="en-US" w:eastAsia="zh-CN"/>
              </w:rPr>
              <w:t>响应</w:t>
            </w:r>
            <w:r>
              <w:rPr>
                <w:rFonts w:hint="eastAsia" w:eastAsia="宋体"/>
                <w:b/>
                <w:bCs/>
                <w:color w:val="auto"/>
                <w:sz w:val="22"/>
                <w:szCs w:val="22"/>
                <w:highlight w:val="none"/>
                <w:lang w:eastAsia="zh-CN"/>
              </w:rPr>
              <w:t>文件附有中国国家认证认可监督管理委员会查询平台（网址：http://www.cnca.gov.cn/）的相关查询记录及有效期内的证书复印件加盖供应商公章，不提供不得分，证书不在有效期内不得分。</w:t>
            </w:r>
          </w:p>
        </w:tc>
        <w:tc>
          <w:tcPr>
            <w:tcW w:w="809" w:type="dxa"/>
            <w:vAlign w:val="center"/>
          </w:tcPr>
          <w:p>
            <w:pPr>
              <w:spacing w:line="360" w:lineRule="auto"/>
              <w:jc w:val="center"/>
              <w:rPr>
                <w:rFonts w:hint="eastAsia" w:cs="Times New Roman"/>
                <w:lang w:val="en-US" w:eastAsia="zh-CN"/>
              </w:rPr>
            </w:pPr>
            <w:r>
              <w:rPr>
                <w:rFonts w:hint="eastAsia" w:cs="Times New Roman"/>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16" w:type="dxa"/>
            <w:vMerge w:val="continue"/>
            <w:vAlign w:val="center"/>
          </w:tcPr>
          <w:p>
            <w:pPr>
              <w:widowControl/>
              <w:spacing w:line="360" w:lineRule="auto"/>
              <w:jc w:val="center"/>
              <w:rPr>
                <w:rFonts w:hint="eastAsia" w:ascii="宋体" w:hAnsi="宋体" w:cs="宋体"/>
                <w:b/>
                <w:bCs/>
                <w:color w:val="auto"/>
                <w:spacing w:val="15"/>
                <w:kern w:val="0"/>
                <w:szCs w:val="21"/>
                <w:shd w:val="clear" w:color="auto" w:fill="FFFFFF"/>
                <w:lang w:val="en-US" w:eastAsia="zh-CN"/>
              </w:rPr>
            </w:pPr>
          </w:p>
        </w:tc>
        <w:tc>
          <w:tcPr>
            <w:tcW w:w="1087" w:type="dxa"/>
            <w:vAlign w:val="center"/>
          </w:tcPr>
          <w:p>
            <w:pPr>
              <w:spacing w:line="240" w:lineRule="auto"/>
              <w:ind w:left="0" w:leftChars="0" w:right="0" w:rightChars="0"/>
              <w:jc w:val="center"/>
              <w:rPr>
                <w:rFonts w:hint="eastAsia" w:ascii="Times New Roman" w:hAnsi="宋体" w:eastAsia="宋体" w:cs="Times New Roman"/>
                <w:bCs/>
                <w:szCs w:val="21"/>
                <w:highlight w:val="none"/>
              </w:rPr>
            </w:pPr>
            <w:r>
              <w:rPr>
                <w:rFonts w:hint="eastAsia" w:ascii="宋体" w:hAnsi="宋体" w:eastAsia="宋体" w:cs="宋体"/>
                <w:color w:val="auto"/>
                <w:sz w:val="21"/>
                <w:szCs w:val="21"/>
                <w:highlight w:val="none"/>
                <w:lang w:eastAsia="zh-CN"/>
              </w:rPr>
              <w:t>同类业绩</w:t>
            </w:r>
          </w:p>
        </w:tc>
        <w:tc>
          <w:tcPr>
            <w:tcW w:w="6443" w:type="dxa"/>
            <w:vAlign w:val="top"/>
          </w:tcPr>
          <w:p>
            <w:pPr>
              <w:spacing w:line="240" w:lineRule="auto"/>
              <w:ind w:left="0"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年1月1日至今（以合同签订时间为准）具有同类项目业绩，每项得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分，最高</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pPr>
              <w:spacing w:line="240" w:lineRule="auto"/>
              <w:ind w:left="0" w:leftChars="0" w:right="0" w:rightChars="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b/>
                <w:bCs/>
                <w:color w:val="auto"/>
                <w:sz w:val="21"/>
                <w:szCs w:val="21"/>
                <w:highlight w:val="none"/>
                <w:lang w:val="en-US" w:eastAsia="zh-CN"/>
              </w:rPr>
              <w:t>1.响应</w:t>
            </w:r>
            <w:r>
              <w:rPr>
                <w:rFonts w:hint="eastAsia" w:ascii="宋体" w:hAnsi="宋体" w:eastAsia="宋体" w:cs="宋体"/>
                <w:b/>
                <w:bCs/>
                <w:color w:val="auto"/>
                <w:sz w:val="21"/>
                <w:szCs w:val="21"/>
                <w:highlight w:val="none"/>
                <w:lang w:eastAsia="zh-CN"/>
              </w:rPr>
              <w:t>文件中提供业绩的合同关键页复印件</w:t>
            </w:r>
            <w:r>
              <w:rPr>
                <w:rFonts w:hint="eastAsia" w:ascii="宋体" w:hAnsi="宋体" w:eastAsia="宋体" w:cs="宋体"/>
                <w:b/>
                <w:bCs/>
                <w:color w:val="auto"/>
                <w:sz w:val="21"/>
                <w:szCs w:val="21"/>
                <w:highlight w:val="none"/>
                <w:lang w:val="en-US" w:eastAsia="zh-CN"/>
              </w:rPr>
              <w:t>（含合同首页、盖章页、项目内容）并加盖供应商公章。</w:t>
            </w:r>
            <w:r>
              <w:rPr>
                <w:rFonts w:hint="eastAsia" w:ascii="宋体" w:hAnsi="宋体" w:eastAsia="宋体" w:cs="宋体"/>
                <w:b/>
                <w:bCs/>
                <w:color w:val="auto"/>
                <w:sz w:val="21"/>
                <w:szCs w:val="21"/>
                <w:highlight w:val="none"/>
                <w:lang w:eastAsia="zh-CN"/>
              </w:rPr>
              <w:t>未按要求提供的同类项目业绩不得分。</w:t>
            </w:r>
          </w:p>
          <w:p>
            <w:pPr>
              <w:spacing w:line="240" w:lineRule="auto"/>
              <w:ind w:left="0" w:leftChars="0" w:right="0" w:rightChars="0"/>
              <w:rPr>
                <w:rFonts w:hint="default"/>
                <w:lang w:val="en-US"/>
              </w:rPr>
            </w:pPr>
            <w:r>
              <w:rPr>
                <w:rFonts w:hint="eastAsia" w:ascii="宋体" w:hAnsi="宋体" w:eastAsia="宋体" w:cs="宋体"/>
                <w:b/>
                <w:bCs/>
                <w:color w:val="auto"/>
                <w:sz w:val="21"/>
                <w:szCs w:val="21"/>
                <w:highlight w:val="none"/>
                <w:lang w:val="en-US" w:eastAsia="zh-CN"/>
              </w:rPr>
              <w:t>2.未按要求提供证明材料或证明材料未能有效证明满足相应参数要求的，该条款将视为负偏离。</w:t>
            </w:r>
          </w:p>
        </w:tc>
        <w:tc>
          <w:tcPr>
            <w:tcW w:w="809" w:type="dxa"/>
            <w:vAlign w:val="center"/>
          </w:tcPr>
          <w:p>
            <w:pPr>
              <w:spacing w:line="360" w:lineRule="auto"/>
              <w:jc w:val="center"/>
              <w:rPr>
                <w:rFonts w:hint="eastAsia" w:cs="Times New Roman"/>
                <w:color w:val="auto"/>
                <w:lang w:val="en-US" w:eastAsia="zh-CN"/>
              </w:rPr>
            </w:pPr>
            <w:r>
              <w:rPr>
                <w:rFonts w:hint="eastAsia" w:cs="Times New Roman"/>
                <w:color w:val="auto"/>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jc w:val="center"/>
        </w:trPr>
        <w:tc>
          <w:tcPr>
            <w:tcW w:w="916" w:type="dxa"/>
            <w:vMerge w:val="continue"/>
            <w:vAlign w:val="center"/>
          </w:tcPr>
          <w:p>
            <w:pPr>
              <w:widowControl/>
              <w:spacing w:line="360" w:lineRule="auto"/>
              <w:jc w:val="center"/>
              <w:rPr>
                <w:rFonts w:hint="eastAsia" w:ascii="宋体" w:hAnsi="宋体" w:cs="宋体"/>
                <w:b/>
                <w:bCs/>
                <w:color w:val="auto"/>
                <w:spacing w:val="15"/>
                <w:kern w:val="0"/>
                <w:szCs w:val="21"/>
                <w:shd w:val="clear" w:color="auto" w:fill="FFFFFF"/>
                <w:lang w:val="en-US" w:eastAsia="zh-CN"/>
              </w:rPr>
            </w:pPr>
          </w:p>
        </w:tc>
        <w:tc>
          <w:tcPr>
            <w:tcW w:w="1087" w:type="dxa"/>
            <w:vAlign w:val="center"/>
          </w:tcPr>
          <w:p>
            <w:pPr>
              <w:spacing w:line="240" w:lineRule="auto"/>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SA"/>
              </w:rPr>
              <w:t>重要条款响应程度</w:t>
            </w:r>
          </w:p>
        </w:tc>
        <w:tc>
          <w:tcPr>
            <w:tcW w:w="6443" w:type="dxa"/>
            <w:vAlign w:val="top"/>
          </w:tcPr>
          <w:p>
            <w:pPr>
              <w:spacing w:line="240" w:lineRule="auto"/>
              <w:ind w:left="0" w:leftChars="0" w:right="0" w:rightChars="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根据供应商</w:t>
            </w:r>
            <w:r>
              <w:rPr>
                <w:rFonts w:hint="eastAsia" w:ascii="宋体" w:hAnsi="宋体" w:eastAsia="宋体" w:cs="宋体"/>
                <w:color w:val="auto"/>
                <w:sz w:val="21"/>
                <w:szCs w:val="21"/>
                <w:highlight w:val="none"/>
                <w:lang w:val="en-US" w:eastAsia="en-US" w:bidi="ar-SA"/>
              </w:rPr>
              <w:t>对</w:t>
            </w:r>
            <w:r>
              <w:rPr>
                <w:rFonts w:hint="eastAsia" w:ascii="宋体" w:hAnsi="宋体" w:eastAsia="宋体" w:cs="宋体"/>
                <w:color w:val="auto"/>
                <w:sz w:val="21"/>
                <w:szCs w:val="21"/>
                <w:highlight w:val="none"/>
                <w:lang w:val="en-US" w:eastAsia="zh-CN" w:bidi="ar-SA"/>
              </w:rPr>
              <w:t>附件1：用户需求书中带</w:t>
            </w:r>
            <w:r>
              <w:rPr>
                <w:rFonts w:hint="eastAsia" w:ascii="宋体" w:hAnsi="宋体" w:eastAsia="宋体" w:cs="宋体"/>
                <w:color w:val="auto"/>
                <w:sz w:val="21"/>
                <w:szCs w:val="21"/>
                <w:highlight w:val="none"/>
                <w:lang w:val="en-US" w:eastAsia="en-US" w:bidi="ar-SA"/>
              </w:rPr>
              <w:t>“▲”的重要技术参数的响应情况进行评审：完全响应或优于要求的，得</w:t>
            </w:r>
            <w:r>
              <w:rPr>
                <w:rFonts w:hint="eastAsia" w:ascii="宋体" w:hAnsi="宋体" w:cs="宋体"/>
                <w:color w:val="auto"/>
                <w:sz w:val="21"/>
                <w:szCs w:val="21"/>
                <w:highlight w:val="none"/>
                <w:lang w:val="en-US" w:eastAsia="zh-CN" w:bidi="ar-SA"/>
              </w:rPr>
              <w:t>9</w:t>
            </w:r>
            <w:r>
              <w:rPr>
                <w:rFonts w:hint="eastAsia" w:ascii="宋体" w:hAnsi="宋体" w:eastAsia="宋体" w:cs="宋体"/>
                <w:color w:val="auto"/>
                <w:sz w:val="21"/>
                <w:szCs w:val="21"/>
                <w:highlight w:val="none"/>
                <w:lang w:val="en-US" w:eastAsia="en-US" w:bidi="ar-SA"/>
              </w:rPr>
              <w:t>分；每负偏离一项扣</w:t>
            </w:r>
            <w:r>
              <w:rPr>
                <w:rFonts w:hint="eastAsia" w:ascii="宋体" w:hAnsi="宋体" w:eastAsia="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en-US" w:bidi="ar-SA"/>
              </w:rPr>
              <w:t>分，最低得0分。</w:t>
            </w:r>
          </w:p>
          <w:p>
            <w:pPr>
              <w:spacing w:line="240" w:lineRule="auto"/>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bidi="ar-SA"/>
              </w:rPr>
              <w:t>注：</w:t>
            </w:r>
            <w:r>
              <w:rPr>
                <w:rFonts w:hint="eastAsia" w:ascii="宋体" w:hAnsi="宋体" w:cs="宋体"/>
                <w:b/>
                <w:bCs/>
                <w:color w:val="auto"/>
                <w:sz w:val="21"/>
                <w:szCs w:val="21"/>
                <w:highlight w:val="none"/>
                <w:lang w:val="en-US" w:eastAsia="zh-CN" w:bidi="ar-SA"/>
              </w:rPr>
              <w:t>1.</w:t>
            </w:r>
            <w:r>
              <w:rPr>
                <w:rFonts w:hint="eastAsia" w:ascii="宋体" w:hAnsi="宋体" w:eastAsia="宋体" w:cs="宋体"/>
                <w:b/>
                <w:bCs/>
                <w:color w:val="auto"/>
                <w:sz w:val="21"/>
                <w:szCs w:val="21"/>
                <w:highlight w:val="none"/>
                <w:lang w:val="en-US" w:eastAsia="zh-CN" w:bidi="ar-SA"/>
              </w:rPr>
              <w:t>提供相关证明材料，加盖供应商公章。2.未按要求提供证明材料或证明材料未能有效证明满足相应参数要求的，该条款将视为负偏离。</w:t>
            </w:r>
          </w:p>
        </w:tc>
        <w:tc>
          <w:tcPr>
            <w:tcW w:w="809" w:type="dxa"/>
            <w:vAlign w:val="center"/>
          </w:tcPr>
          <w:p>
            <w:pPr>
              <w:spacing w:line="360" w:lineRule="auto"/>
              <w:jc w:val="center"/>
              <w:rPr>
                <w:rFonts w:hint="eastAsia" w:cs="Times New Roman"/>
                <w:color w:val="auto"/>
                <w:lang w:val="en-US" w:eastAsia="zh-CN"/>
              </w:rPr>
            </w:pPr>
            <w:r>
              <w:rPr>
                <w:rFonts w:hint="eastAsia" w:cs="Times New Roman"/>
                <w:color w:val="auto"/>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9" w:hRule="atLeast"/>
          <w:jc w:val="center"/>
        </w:trPr>
        <w:tc>
          <w:tcPr>
            <w:tcW w:w="916" w:type="dxa"/>
            <w:vMerge w:val="continue"/>
            <w:vAlign w:val="center"/>
          </w:tcPr>
          <w:p>
            <w:pPr>
              <w:widowControl/>
              <w:spacing w:line="360" w:lineRule="auto"/>
              <w:jc w:val="center"/>
              <w:rPr>
                <w:rFonts w:hint="eastAsia" w:ascii="宋体" w:hAnsi="宋体" w:cs="宋体"/>
                <w:b/>
                <w:bCs/>
                <w:color w:val="auto"/>
                <w:spacing w:val="15"/>
                <w:kern w:val="0"/>
                <w:szCs w:val="21"/>
                <w:shd w:val="clear" w:color="auto" w:fill="FFFFFF"/>
                <w:lang w:val="en-US" w:eastAsia="zh-CN"/>
              </w:rPr>
            </w:pPr>
          </w:p>
        </w:tc>
        <w:tc>
          <w:tcPr>
            <w:tcW w:w="1087" w:type="dxa"/>
            <w:vAlign w:val="center"/>
          </w:tcPr>
          <w:p>
            <w:pPr>
              <w:spacing w:line="240" w:lineRule="auto"/>
              <w:jc w:val="center"/>
              <w:rPr>
                <w:rFonts w:hint="eastAsia" w:ascii="Times New Roman" w:hAnsi="宋体" w:eastAsia="宋体" w:cs="Times New Roman"/>
                <w:bCs/>
                <w:szCs w:val="21"/>
                <w:highlight w:val="none"/>
              </w:rPr>
            </w:pPr>
            <w:r>
              <w:rPr>
                <w:rFonts w:hint="eastAsia" w:ascii="宋体" w:hAnsi="宋体" w:eastAsia="宋体" w:cs="宋体"/>
                <w:color w:val="auto"/>
                <w:sz w:val="21"/>
                <w:szCs w:val="21"/>
                <w:highlight w:val="none"/>
                <w:lang w:eastAsia="zh-CN"/>
              </w:rPr>
              <w:t>售后服务方案</w:t>
            </w:r>
          </w:p>
        </w:tc>
        <w:tc>
          <w:tcPr>
            <w:tcW w:w="6443" w:type="dxa"/>
            <w:vAlign w:val="top"/>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提供的售后服务方案（包含但不限于服务内容、服务范围、服务计划、服务响应时间）等进行评审：</w:t>
            </w:r>
          </w:p>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1.方案科学合理、内容完整、详细、切实可行，得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2.方案比较科学合理、内容比较完整、详细、可行，得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3.方案合理</w:t>
            </w:r>
            <w:r>
              <w:rPr>
                <w:rFonts w:hint="eastAsia" w:ascii="宋体" w:hAnsi="宋体" w:eastAsia="宋体" w:cs="宋体"/>
                <w:color w:val="auto"/>
                <w:sz w:val="21"/>
                <w:szCs w:val="21"/>
                <w:highlight w:val="none"/>
                <w:lang w:eastAsia="zh-CN"/>
              </w:rPr>
              <w:t>性一般</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eastAsia="zh-CN"/>
              </w:rPr>
              <w:t>一般</w:t>
            </w:r>
            <w:r>
              <w:rPr>
                <w:rFonts w:hint="eastAsia" w:ascii="宋体" w:hAnsi="宋体" w:eastAsia="宋体" w:cs="宋体"/>
                <w:color w:val="auto"/>
                <w:sz w:val="21"/>
                <w:szCs w:val="21"/>
                <w:highlight w:val="none"/>
              </w:rPr>
              <w:t>、可行</w:t>
            </w:r>
            <w:r>
              <w:rPr>
                <w:rFonts w:hint="eastAsia" w:ascii="宋体" w:hAnsi="宋体" w:eastAsia="宋体" w:cs="宋体"/>
                <w:color w:val="auto"/>
                <w:sz w:val="21"/>
                <w:szCs w:val="21"/>
                <w:highlight w:val="none"/>
                <w:lang w:eastAsia="zh-CN"/>
              </w:rPr>
              <w:t>性一般的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spacing w:line="240" w:lineRule="auto"/>
              <w:jc w:val="left"/>
              <w:rPr>
                <w:rFonts w:hint="eastAsia" w:ascii="宋体" w:hAnsi="宋体" w:eastAsia="宋体" w:cs="Times New Roman"/>
                <w:kern w:val="2"/>
                <w:sz w:val="21"/>
                <w:szCs w:val="21"/>
                <w:highlight w:val="none"/>
              </w:rPr>
            </w:pPr>
            <w:r>
              <w:rPr>
                <w:rFonts w:hint="eastAsia" w:ascii="宋体" w:hAnsi="宋体" w:eastAsia="宋体" w:cs="宋体"/>
                <w:color w:val="auto"/>
                <w:sz w:val="21"/>
                <w:szCs w:val="21"/>
                <w:highlight w:val="none"/>
              </w:rPr>
              <w:t>4.无提供方案不得分。</w:t>
            </w:r>
          </w:p>
        </w:tc>
        <w:tc>
          <w:tcPr>
            <w:tcW w:w="809" w:type="dxa"/>
            <w:vAlign w:val="center"/>
          </w:tcPr>
          <w:p>
            <w:pPr>
              <w:spacing w:line="360" w:lineRule="auto"/>
              <w:jc w:val="center"/>
              <w:rPr>
                <w:rFonts w:hint="eastAsia" w:cs="Times New Roman"/>
                <w:color w:val="auto"/>
                <w:lang w:val="en-US" w:eastAsia="zh-CN"/>
              </w:rPr>
            </w:pPr>
            <w:r>
              <w:rPr>
                <w:rFonts w:hint="eastAsia" w:cs="Times New Roman"/>
                <w:color w:val="auto"/>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916" w:type="dxa"/>
            <w:vMerge w:val="continue"/>
            <w:vAlign w:val="center"/>
          </w:tcPr>
          <w:p>
            <w:pPr>
              <w:widowControl/>
              <w:spacing w:line="360" w:lineRule="auto"/>
              <w:jc w:val="center"/>
              <w:rPr>
                <w:rFonts w:hint="eastAsia" w:ascii="宋体" w:hAnsi="宋体" w:cs="宋体"/>
                <w:b/>
                <w:bCs/>
                <w:color w:val="auto"/>
                <w:spacing w:val="15"/>
                <w:kern w:val="0"/>
                <w:szCs w:val="21"/>
                <w:shd w:val="clear" w:color="auto" w:fill="FFFFFF"/>
                <w:lang w:val="en-US" w:eastAsia="zh-CN"/>
              </w:rPr>
            </w:pPr>
          </w:p>
        </w:tc>
        <w:tc>
          <w:tcPr>
            <w:tcW w:w="1087" w:type="dxa"/>
            <w:vAlign w:val="center"/>
          </w:tcPr>
          <w:p>
            <w:pPr>
              <w:spacing w:line="240" w:lineRule="auto"/>
              <w:ind w:left="0" w:leftChars="0" w:right="0" w:rightChars="0"/>
              <w:jc w:val="center"/>
              <w:rPr>
                <w:rFonts w:hint="eastAsia" w:ascii="Times New Roman" w:hAnsi="宋体" w:eastAsia="宋体" w:cs="Times New Roman"/>
                <w:bCs/>
                <w:szCs w:val="21"/>
                <w:highlight w:val="none"/>
              </w:rPr>
            </w:pPr>
            <w:r>
              <w:rPr>
                <w:rFonts w:hint="eastAsia" w:ascii="宋体" w:hAnsi="宋体" w:eastAsia="宋体" w:cs="宋体"/>
                <w:color w:val="auto"/>
                <w:sz w:val="21"/>
                <w:szCs w:val="21"/>
                <w:highlight w:val="none"/>
                <w:lang w:val="en-US" w:eastAsia="zh-CN" w:bidi="ar-SA"/>
              </w:rPr>
              <w:t>样品所体现的质量情况</w:t>
            </w:r>
          </w:p>
        </w:tc>
        <w:tc>
          <w:tcPr>
            <w:tcW w:w="6443" w:type="dxa"/>
            <w:vAlign w:val="top"/>
          </w:tcPr>
          <w:p>
            <w:pPr>
              <w:numPr>
                <w:ilvl w:val="0"/>
                <w:numId w:val="0"/>
              </w:numPr>
              <w:spacing w:line="240" w:lineRule="auto"/>
              <w:ind w:left="0" w:leftChars="0" w:right="0" w:rightChars="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kern w:val="2"/>
                <w:sz w:val="21"/>
                <w:szCs w:val="21"/>
                <w:lang w:val="en-US" w:eastAsia="zh-CN" w:bidi="ar-SA"/>
              </w:rPr>
              <w:t>（一）</w:t>
            </w:r>
            <w:r>
              <w:rPr>
                <w:rFonts w:hint="eastAsia" w:ascii="宋体" w:hAnsi="宋体" w:eastAsia="宋体" w:cs="宋体"/>
                <w:b/>
                <w:bCs/>
                <w:color w:val="auto"/>
                <w:kern w:val="2"/>
                <w:sz w:val="21"/>
                <w:szCs w:val="21"/>
                <w:lang w:val="en-US" w:eastAsia="zh-CN" w:bidi="ar-SA"/>
              </w:rPr>
              <w:t>保温杯</w:t>
            </w:r>
            <w:r>
              <w:rPr>
                <w:rFonts w:hint="eastAsia" w:ascii="宋体" w:hAnsi="宋体" w:eastAsia="宋体" w:cs="宋体"/>
                <w:b/>
                <w:bCs/>
                <w:kern w:val="2"/>
                <w:sz w:val="21"/>
                <w:szCs w:val="21"/>
                <w:lang w:val="en-US" w:eastAsia="zh-CN" w:bidi="ar-SA"/>
              </w:rPr>
              <w:t>：</w:t>
            </w:r>
          </w:p>
          <w:p>
            <w:pPr>
              <w:spacing w:line="240" w:lineRule="auto"/>
              <w:ind w:left="0" w:leftChars="0" w:right="0" w:righ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en-US" w:bidi="ar-SA"/>
              </w:rPr>
              <w:t>工艺精湛，杯身无划痕、变形，密封性能极佳不漏水，内胆材质符合国家食品级标准，保温效果达到产品标注顶级标准，外观精致无瑕疵，得15分；</w:t>
            </w:r>
          </w:p>
          <w:p>
            <w:pPr>
              <w:spacing w:line="240" w:lineRule="auto"/>
              <w:ind w:left="0" w:leftChars="0" w:right="0" w:righ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t>2. 工艺较好，杯身无明显划痕，密封性能良好，内胆材质符合食品级标准，保温效果符合产品标注标准，外观基本无瑕疵，得11分；</w:t>
            </w:r>
          </w:p>
          <w:p>
            <w:pPr>
              <w:spacing w:line="240" w:lineRule="auto"/>
              <w:ind w:left="0" w:leftChars="0" w:right="0" w:righ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t>3. 工艺一般，杯身有轻微划痕，密封性能尚可，内胆材质符合基础标准，保温效果基本达标，外观有轻微瑕疵但不影响使用，得7分；</w:t>
            </w:r>
          </w:p>
          <w:p>
            <w:pPr>
              <w:spacing w:line="240" w:lineRule="auto"/>
              <w:ind w:left="0" w:leftChars="0" w:right="0" w:rightChars="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en-US" w:bidi="ar-SA"/>
              </w:rPr>
              <w:t>4. 工艺较差，杯身有明显划痕/变形，密封性能差易漏水，内胆材质不达标，保温效果未达标注要求，外观瑕疵明显，得3分</w:t>
            </w:r>
            <w:r>
              <w:rPr>
                <w:rFonts w:hint="eastAsia" w:ascii="宋体" w:hAnsi="宋体" w:cs="宋体"/>
                <w:color w:val="auto"/>
                <w:sz w:val="21"/>
                <w:szCs w:val="21"/>
                <w:highlight w:val="none"/>
                <w:lang w:val="en-US" w:eastAsia="zh-CN" w:bidi="ar-SA"/>
              </w:rPr>
              <w:t>。</w:t>
            </w:r>
          </w:p>
          <w:p>
            <w:pPr>
              <w:numPr>
                <w:ilvl w:val="0"/>
                <w:numId w:val="0"/>
              </w:numPr>
              <w:spacing w:line="240" w:lineRule="auto"/>
              <w:ind w:left="0" w:leftChars="0" w:right="0" w:rightChars="0" w:firstLine="0" w:firstLineChars="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（二）充电宝：</w:t>
            </w:r>
          </w:p>
          <w:p>
            <w:pPr>
              <w:numPr>
                <w:ilvl w:val="0"/>
                <w:numId w:val="0"/>
              </w:numPr>
              <w:spacing w:line="240" w:lineRule="auto"/>
              <w:ind w:left="0" w:leftChars="0" w:right="0" w:rightChars="0"/>
              <w:jc w:val="both"/>
              <w:rPr>
                <w:rFonts w:hint="eastAsia" w:ascii="宋体" w:hAnsi="宋体" w:eastAsia="宋体" w:cs="宋体"/>
                <w:sz w:val="21"/>
                <w:szCs w:val="21"/>
              </w:rPr>
            </w:pPr>
            <w:r>
              <w:rPr>
                <w:rFonts w:hint="eastAsia" w:ascii="宋体" w:hAnsi="宋体" w:eastAsia="宋体" w:cs="宋体"/>
                <w:sz w:val="21"/>
                <w:szCs w:val="21"/>
              </w:rPr>
              <w:t>1. 做工精良，外壳无破损、划痕，电芯为正品原装，充电速度、续航能力达到产品标注顶级标准，接口接触良好无松动，便携性佳，得15分；</w:t>
            </w:r>
          </w:p>
          <w:p>
            <w:pPr>
              <w:numPr>
                <w:ilvl w:val="0"/>
                <w:numId w:val="0"/>
              </w:numPr>
              <w:spacing w:line="240" w:lineRule="auto"/>
              <w:ind w:left="0" w:leftChars="0" w:right="0" w:rightChars="0"/>
              <w:jc w:val="both"/>
              <w:rPr>
                <w:rFonts w:hint="eastAsia" w:ascii="宋体" w:hAnsi="宋体" w:eastAsia="宋体" w:cs="宋体"/>
                <w:sz w:val="21"/>
                <w:szCs w:val="21"/>
              </w:rPr>
            </w:pPr>
            <w:r>
              <w:rPr>
                <w:rFonts w:hint="eastAsia" w:ascii="宋体" w:hAnsi="宋体" w:eastAsia="宋体" w:cs="宋体"/>
                <w:sz w:val="21"/>
                <w:szCs w:val="21"/>
              </w:rPr>
              <w:t>2. 做工较好，外壳无明显破损，电芯为正品，充电速度、续航能力符合产品标注标准，接口接触良好，便携性较好，得11分；</w:t>
            </w:r>
          </w:p>
          <w:p>
            <w:pPr>
              <w:numPr>
                <w:ilvl w:val="0"/>
                <w:numId w:val="0"/>
              </w:numPr>
              <w:spacing w:line="240" w:lineRule="auto"/>
              <w:ind w:left="0" w:leftChars="0" w:right="0" w:rightChars="0"/>
              <w:jc w:val="both"/>
              <w:rPr>
                <w:rFonts w:hint="eastAsia" w:ascii="宋体" w:hAnsi="宋体" w:eastAsia="宋体" w:cs="宋体"/>
                <w:sz w:val="21"/>
                <w:szCs w:val="21"/>
              </w:rPr>
            </w:pPr>
            <w:r>
              <w:rPr>
                <w:rFonts w:hint="eastAsia" w:ascii="宋体" w:hAnsi="宋体" w:eastAsia="宋体" w:cs="宋体"/>
                <w:sz w:val="21"/>
                <w:szCs w:val="21"/>
              </w:rPr>
              <w:t>3. 做工一般，外壳有轻微划痕，电芯为合格产品，充电速度、续航能力基本达标，接口无明显松动，便携性一般，得7分；</w:t>
            </w:r>
          </w:p>
          <w:p>
            <w:pPr>
              <w:numPr>
                <w:ilvl w:val="0"/>
                <w:numId w:val="0"/>
              </w:numPr>
              <w:spacing w:line="240" w:lineRule="auto"/>
              <w:ind w:left="0" w:leftChars="0" w:right="0" w:rightChars="0"/>
              <w:jc w:val="both"/>
              <w:rPr>
                <w:rFonts w:hint="eastAsia" w:ascii="宋体" w:hAnsi="宋体" w:eastAsia="宋体" w:cs="宋体"/>
                <w:sz w:val="21"/>
                <w:szCs w:val="21"/>
                <w:lang w:val="en-US" w:eastAsia="zh-CN"/>
              </w:rPr>
            </w:pPr>
            <w:r>
              <w:rPr>
                <w:rFonts w:hint="eastAsia" w:ascii="宋体" w:hAnsi="宋体" w:eastAsia="宋体" w:cs="宋体"/>
                <w:sz w:val="21"/>
                <w:szCs w:val="21"/>
              </w:rPr>
              <w:t>4. 做工较差，外壳有破损/划痕，电芯非正品，充电速度/续航能力未达标注要求，接口松动接触不良，便携性差，得3分。</w:t>
            </w:r>
          </w:p>
          <w:p>
            <w:pPr>
              <w:spacing w:line="240" w:lineRule="auto"/>
              <w:ind w:left="0" w:leftChars="0" w:right="0" w:rightChars="0"/>
              <w:jc w:val="both"/>
              <w:rPr>
                <w:rFonts w:hint="eastAsia" w:ascii="宋体" w:hAnsi="宋体" w:eastAsia="宋体" w:cs="宋体"/>
                <w:color w:val="auto"/>
                <w:sz w:val="21"/>
                <w:szCs w:val="21"/>
                <w:highlight w:val="none"/>
                <w:lang w:val="en-US" w:eastAsia="en-US" w:bidi="ar-SA"/>
              </w:rPr>
            </w:pPr>
          </w:p>
          <w:p>
            <w:pPr>
              <w:spacing w:line="240" w:lineRule="auto"/>
              <w:ind w:left="0" w:leftChars="0" w:right="0" w:rightChars="0"/>
              <w:jc w:val="both"/>
              <w:rPr>
                <w:rFonts w:hint="eastAsia" w:ascii="宋体" w:hAnsi="宋体" w:eastAsia="宋体" w:cs="Times New Roman"/>
                <w:kern w:val="2"/>
                <w:sz w:val="21"/>
                <w:szCs w:val="21"/>
                <w:highlight w:val="none"/>
              </w:rPr>
            </w:pPr>
            <w:r>
              <w:rPr>
                <w:rFonts w:hint="eastAsia" w:ascii="宋体" w:hAnsi="宋体" w:eastAsia="宋体" w:cs="宋体"/>
                <w:color w:val="auto"/>
                <w:sz w:val="21"/>
                <w:szCs w:val="21"/>
                <w:highlight w:val="none"/>
                <w:lang w:val="en-US" w:eastAsia="zh-CN" w:bidi="ar-SA"/>
              </w:rPr>
              <w:t>注：</w:t>
            </w:r>
            <w:r>
              <w:rPr>
                <w:rFonts w:hint="eastAsia" w:ascii="宋体" w:hAnsi="宋体" w:eastAsia="宋体" w:cs="宋体"/>
                <w:color w:val="auto"/>
                <w:sz w:val="21"/>
                <w:szCs w:val="21"/>
                <w:highlight w:val="none"/>
                <w:lang w:val="en-US" w:eastAsia="en-US" w:bidi="ar-SA"/>
              </w:rPr>
              <w:t>无提供样品或提供不全或其他情况，</w:t>
            </w:r>
            <w:r>
              <w:rPr>
                <w:rFonts w:hint="eastAsia" w:ascii="宋体" w:hAnsi="宋体" w:eastAsia="宋体" w:cs="宋体"/>
                <w:color w:val="auto"/>
                <w:sz w:val="21"/>
                <w:szCs w:val="21"/>
                <w:highlight w:val="none"/>
                <w:lang w:val="en-US" w:eastAsia="zh-CN" w:bidi="ar-SA"/>
              </w:rPr>
              <w:t>不得分</w:t>
            </w:r>
            <w:r>
              <w:rPr>
                <w:rFonts w:hint="eastAsia" w:ascii="宋体" w:hAnsi="宋体" w:eastAsia="宋体" w:cs="宋体"/>
                <w:color w:val="auto"/>
                <w:sz w:val="21"/>
                <w:szCs w:val="21"/>
                <w:highlight w:val="none"/>
                <w:lang w:val="en-US" w:eastAsia="en-US" w:bidi="ar-SA"/>
              </w:rPr>
              <w:t>。</w:t>
            </w:r>
          </w:p>
        </w:tc>
        <w:tc>
          <w:tcPr>
            <w:tcW w:w="809" w:type="dxa"/>
            <w:vAlign w:val="center"/>
          </w:tcPr>
          <w:p>
            <w:pPr>
              <w:spacing w:line="360" w:lineRule="auto"/>
              <w:jc w:val="center"/>
              <w:rPr>
                <w:rFonts w:hint="eastAsia" w:cs="Times New Roman"/>
                <w:lang w:val="en-US" w:eastAsia="zh-CN"/>
              </w:rPr>
            </w:pPr>
            <w:r>
              <w:rPr>
                <w:rFonts w:hint="eastAsia" w:cs="Times New Roman"/>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jc w:val="center"/>
        </w:trPr>
        <w:tc>
          <w:tcPr>
            <w:tcW w:w="916" w:type="dxa"/>
            <w:vMerge w:val="continue"/>
            <w:vAlign w:val="center"/>
          </w:tcPr>
          <w:p>
            <w:pPr>
              <w:widowControl/>
              <w:spacing w:line="360" w:lineRule="auto"/>
              <w:jc w:val="center"/>
              <w:rPr>
                <w:rFonts w:hint="eastAsia" w:ascii="宋体" w:hAnsi="宋体" w:eastAsia="宋体" w:cs="宋体"/>
                <w:color w:val="auto"/>
                <w:spacing w:val="15"/>
                <w:kern w:val="0"/>
                <w:szCs w:val="21"/>
                <w:shd w:val="clear" w:color="auto" w:fill="FFFFFF"/>
                <w:lang w:val="en-US" w:eastAsia="zh-CN"/>
              </w:rPr>
            </w:pPr>
          </w:p>
        </w:tc>
        <w:tc>
          <w:tcPr>
            <w:tcW w:w="1087" w:type="dxa"/>
            <w:vAlign w:val="center"/>
          </w:tcPr>
          <w:p>
            <w:pPr>
              <w:spacing w:line="240" w:lineRule="auto"/>
              <w:ind w:left="0" w:leftChars="0" w:right="0" w:rightChars="0"/>
              <w:jc w:val="center"/>
              <w:rPr>
                <w:rFonts w:hint="eastAsia" w:ascii="宋体" w:hAnsi="宋体" w:eastAsia="宋体"/>
                <w:color w:val="auto"/>
                <w:szCs w:val="21"/>
                <w:lang w:eastAsia="zh-CN"/>
              </w:rPr>
            </w:pPr>
            <w:r>
              <w:rPr>
                <w:rFonts w:hint="eastAsia"/>
                <w:highlight w:val="none"/>
                <w:lang w:val="en-US" w:eastAsia="zh-CN"/>
              </w:rPr>
              <w:t>供货方案</w:t>
            </w:r>
          </w:p>
        </w:tc>
        <w:tc>
          <w:tcPr>
            <w:tcW w:w="6443" w:type="dxa"/>
            <w:vAlign w:val="top"/>
          </w:tcPr>
          <w:p>
            <w:pPr>
              <w:spacing w:line="240" w:lineRule="auto"/>
              <w:ind w:left="0" w:leftChars="0" w:right="0" w:rightChars="0"/>
              <w:jc w:val="both"/>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根据供应商提供的</w:t>
            </w:r>
            <w:r>
              <w:rPr>
                <w:rFonts w:hint="eastAsia" w:ascii="宋体" w:hAnsi="宋体" w:eastAsia="宋体" w:cs="宋体"/>
                <w:color w:val="auto"/>
                <w:sz w:val="21"/>
                <w:szCs w:val="21"/>
                <w:highlight w:val="none"/>
                <w:lang w:val="en-US" w:eastAsia="en-US" w:bidi="ar-SA"/>
              </w:rPr>
              <w:t>供货方案</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en-US" w:bidi="ar-SA"/>
              </w:rPr>
              <w:t>包括</w:t>
            </w:r>
            <w:r>
              <w:rPr>
                <w:rFonts w:hint="eastAsia" w:ascii="宋体" w:hAnsi="宋体" w:cs="宋体"/>
                <w:color w:val="auto"/>
                <w:sz w:val="21"/>
                <w:szCs w:val="21"/>
                <w:highlight w:val="none"/>
                <w:lang w:val="en-US" w:eastAsia="zh-CN" w:bidi="ar-SA"/>
              </w:rPr>
              <w:t>为保证本项目按时供货所采用的措施、计划，</w:t>
            </w:r>
            <w:r>
              <w:rPr>
                <w:rFonts w:hint="eastAsia" w:ascii="宋体" w:hAnsi="宋体" w:eastAsia="宋体" w:cs="宋体"/>
                <w:color w:val="auto"/>
                <w:sz w:val="21"/>
                <w:szCs w:val="21"/>
                <w:highlight w:val="none"/>
                <w:lang w:val="en-US" w:eastAsia="en-US" w:bidi="ar-SA"/>
              </w:rPr>
              <w:t>包装运输等内容</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进行评审：</w:t>
            </w:r>
          </w:p>
          <w:p>
            <w:pPr>
              <w:spacing w:line="240" w:lineRule="auto"/>
              <w:ind w:left="0" w:leftChars="0" w:right="0" w:righ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t>1.供货方案详细完整有针对性，切实可行，详尽、合理周全，得</w:t>
            </w:r>
            <w:r>
              <w:rPr>
                <w:rFonts w:hint="eastAsia" w:ascii="宋体" w:hAnsi="宋体" w:cs="宋体"/>
                <w:color w:val="auto"/>
                <w:sz w:val="21"/>
                <w:szCs w:val="21"/>
                <w:highlight w:val="none"/>
                <w:lang w:val="en-US" w:eastAsia="zh-CN" w:bidi="ar-SA"/>
              </w:rPr>
              <w:t>10</w:t>
            </w:r>
            <w:r>
              <w:rPr>
                <w:rFonts w:hint="eastAsia" w:ascii="宋体" w:hAnsi="宋体" w:eastAsia="宋体" w:cs="宋体"/>
                <w:color w:val="auto"/>
                <w:sz w:val="21"/>
                <w:szCs w:val="21"/>
                <w:highlight w:val="none"/>
                <w:lang w:val="en-US" w:eastAsia="en-US" w:bidi="ar-SA"/>
              </w:rPr>
              <w:t xml:space="preserve">分； </w:t>
            </w:r>
          </w:p>
          <w:p>
            <w:pPr>
              <w:spacing w:line="240" w:lineRule="auto"/>
              <w:ind w:left="0" w:leftChars="0" w:right="0" w:righ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t>2.供货方案较为详细完整，较切实可行，较详尽、合理得当，得</w:t>
            </w:r>
            <w:r>
              <w:rPr>
                <w:rFonts w:hint="eastAsia" w:ascii="宋体" w:hAnsi="宋体" w:cs="宋体"/>
                <w:color w:val="auto"/>
                <w:sz w:val="21"/>
                <w:szCs w:val="21"/>
                <w:highlight w:val="none"/>
                <w:lang w:val="en-US" w:eastAsia="zh-CN" w:bidi="ar-SA"/>
              </w:rPr>
              <w:t>7.5</w:t>
            </w:r>
            <w:r>
              <w:rPr>
                <w:rFonts w:hint="eastAsia" w:ascii="宋体" w:hAnsi="宋体" w:eastAsia="宋体" w:cs="宋体"/>
                <w:color w:val="auto"/>
                <w:sz w:val="21"/>
                <w:szCs w:val="21"/>
                <w:highlight w:val="none"/>
                <w:lang w:val="en-US" w:eastAsia="en-US" w:bidi="ar-SA"/>
              </w:rPr>
              <w:t xml:space="preserve">分； </w:t>
            </w:r>
          </w:p>
          <w:p>
            <w:pPr>
              <w:spacing w:line="240" w:lineRule="auto"/>
              <w:ind w:left="0" w:leftChars="0" w:right="0" w:righ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t>3.供货方案</w:t>
            </w:r>
            <w:r>
              <w:rPr>
                <w:rFonts w:hint="eastAsia" w:ascii="宋体" w:hAnsi="宋体" w:cs="宋体"/>
                <w:color w:val="auto"/>
                <w:sz w:val="21"/>
                <w:szCs w:val="21"/>
                <w:highlight w:val="none"/>
                <w:lang w:val="en-US" w:eastAsia="zh-CN" w:bidi="ar-SA"/>
              </w:rPr>
              <w:t>一般</w:t>
            </w:r>
            <w:r>
              <w:rPr>
                <w:rFonts w:hint="eastAsia" w:ascii="宋体" w:hAnsi="宋体" w:eastAsia="宋体" w:cs="宋体"/>
                <w:color w:val="auto"/>
                <w:sz w:val="21"/>
                <w:szCs w:val="21"/>
                <w:highlight w:val="none"/>
                <w:lang w:val="en-US" w:eastAsia="en-US" w:bidi="ar-SA"/>
              </w:rPr>
              <w:t>，</w:t>
            </w:r>
            <w:r>
              <w:rPr>
                <w:rFonts w:hint="eastAsia" w:ascii="宋体" w:hAnsi="宋体" w:cs="宋体"/>
                <w:color w:val="auto"/>
                <w:sz w:val="21"/>
                <w:szCs w:val="21"/>
                <w:highlight w:val="none"/>
                <w:lang w:val="en-US" w:eastAsia="zh-CN" w:bidi="ar-SA"/>
              </w:rPr>
              <w:t>可行性一般</w:t>
            </w:r>
            <w:r>
              <w:rPr>
                <w:rFonts w:hint="eastAsia" w:ascii="宋体" w:hAnsi="宋体" w:eastAsia="宋体" w:cs="宋体"/>
                <w:color w:val="auto"/>
                <w:sz w:val="21"/>
                <w:szCs w:val="21"/>
                <w:highlight w:val="none"/>
                <w:lang w:val="en-US" w:eastAsia="en-US" w:bidi="ar-SA"/>
              </w:rPr>
              <w:t>、</w:t>
            </w:r>
            <w:r>
              <w:rPr>
                <w:rFonts w:hint="eastAsia" w:ascii="宋体" w:hAnsi="宋体" w:cs="宋体"/>
                <w:color w:val="auto"/>
                <w:sz w:val="21"/>
                <w:szCs w:val="21"/>
                <w:highlight w:val="none"/>
                <w:lang w:val="en-US" w:eastAsia="zh-CN" w:bidi="ar-SA"/>
              </w:rPr>
              <w:t>合理性一般</w:t>
            </w:r>
            <w:r>
              <w:rPr>
                <w:rFonts w:hint="eastAsia" w:ascii="宋体" w:hAnsi="宋体" w:eastAsia="宋体" w:cs="宋体"/>
                <w:color w:val="auto"/>
                <w:sz w:val="21"/>
                <w:szCs w:val="21"/>
                <w:highlight w:val="none"/>
                <w:lang w:val="en-US" w:eastAsia="en-US" w:bidi="ar-SA"/>
              </w:rPr>
              <w:t>，得</w:t>
            </w:r>
            <w:r>
              <w:rPr>
                <w:rFonts w:hint="eastAsia" w:ascii="宋体" w:hAnsi="宋体" w:cs="宋体"/>
                <w:color w:val="auto"/>
                <w:sz w:val="21"/>
                <w:szCs w:val="21"/>
                <w:highlight w:val="none"/>
                <w:lang w:val="en-US" w:eastAsia="zh-CN" w:bidi="ar-SA"/>
              </w:rPr>
              <w:t>5</w:t>
            </w:r>
            <w:r>
              <w:rPr>
                <w:rFonts w:hint="eastAsia" w:ascii="宋体" w:hAnsi="宋体" w:eastAsia="宋体" w:cs="宋体"/>
                <w:color w:val="auto"/>
                <w:sz w:val="21"/>
                <w:szCs w:val="21"/>
                <w:highlight w:val="none"/>
                <w:lang w:val="en-US" w:eastAsia="en-US" w:bidi="ar-SA"/>
              </w:rPr>
              <w:t xml:space="preserve">分； </w:t>
            </w:r>
          </w:p>
          <w:p>
            <w:pPr>
              <w:spacing w:line="240" w:lineRule="auto"/>
              <w:ind w:left="0" w:leftChars="0" w:right="0" w:rightChars="0"/>
              <w:jc w:val="both"/>
              <w:rPr>
                <w:rFonts w:hint="eastAsia" w:ascii="宋体" w:hAnsi="宋体" w:eastAsia="宋体" w:cs="宋体"/>
                <w:color w:val="auto"/>
                <w:sz w:val="21"/>
                <w:szCs w:val="21"/>
                <w:highlight w:val="none"/>
                <w:lang w:val="en-US" w:eastAsia="en-US" w:bidi="ar-SA"/>
              </w:rPr>
            </w:pPr>
            <w:r>
              <w:rPr>
                <w:rFonts w:hint="eastAsia" w:ascii="宋体" w:hAnsi="宋体" w:cs="宋体"/>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en-US" w:bidi="ar-SA"/>
              </w:rPr>
              <w:t>供货方案不够，不够可行，不够合理，得</w:t>
            </w:r>
            <w:r>
              <w:rPr>
                <w:rFonts w:hint="eastAsia" w:ascii="宋体" w:hAnsi="宋体" w:cs="宋体"/>
                <w:color w:val="auto"/>
                <w:sz w:val="21"/>
                <w:szCs w:val="21"/>
                <w:highlight w:val="none"/>
                <w:lang w:val="en-US" w:eastAsia="zh-CN" w:bidi="ar-SA"/>
              </w:rPr>
              <w:t>2.5</w:t>
            </w:r>
            <w:r>
              <w:rPr>
                <w:rFonts w:hint="eastAsia" w:ascii="宋体" w:hAnsi="宋体" w:eastAsia="宋体" w:cs="宋体"/>
                <w:color w:val="auto"/>
                <w:sz w:val="21"/>
                <w:szCs w:val="21"/>
                <w:highlight w:val="none"/>
                <w:lang w:val="en-US" w:eastAsia="en-US" w:bidi="ar-SA"/>
              </w:rPr>
              <w:t xml:space="preserve">分； </w:t>
            </w:r>
          </w:p>
          <w:p>
            <w:pPr>
              <w:spacing w:line="240" w:lineRule="auto"/>
              <w:ind w:left="0" w:leftChars="0" w:right="0" w:rightChars="0"/>
              <w:jc w:val="both"/>
              <w:rPr>
                <w:rFonts w:hint="eastAsia" w:ascii="Times New Roman" w:hAnsi="Times New Roman" w:eastAsia="宋体" w:cs="Times New Roman"/>
                <w:kern w:val="2"/>
                <w:sz w:val="21"/>
                <w:szCs w:val="24"/>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.无提供方案不得分。</w:t>
            </w:r>
          </w:p>
        </w:tc>
        <w:tc>
          <w:tcPr>
            <w:tcW w:w="809" w:type="dxa"/>
            <w:vAlign w:val="center"/>
          </w:tcPr>
          <w:p>
            <w:pPr>
              <w:spacing w:line="360" w:lineRule="auto"/>
              <w:jc w:val="center"/>
              <w:rPr>
                <w:rFonts w:hint="eastAsia" w:cs="Times New Roman"/>
                <w:lang w:val="en-US" w:eastAsia="zh-CN"/>
              </w:rPr>
            </w:pPr>
            <w:r>
              <w:rPr>
                <w:rFonts w:hint="eastAsia" w:cs="Times New Roman"/>
                <w:color w:val="auto"/>
                <w:lang w:val="en-US" w:eastAsia="zh-CN"/>
              </w:rPr>
              <w:t>10</w:t>
            </w:r>
            <w:r>
              <w:rPr>
                <w:rFonts w:hint="eastAsia" w:cs="Times New Roman"/>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jc w:val="center"/>
        </w:trPr>
        <w:tc>
          <w:tcPr>
            <w:tcW w:w="916" w:type="dxa"/>
            <w:vMerge w:val="continue"/>
            <w:vAlign w:val="center"/>
          </w:tcPr>
          <w:p>
            <w:pPr>
              <w:widowControl/>
              <w:spacing w:line="360" w:lineRule="auto"/>
              <w:jc w:val="center"/>
              <w:rPr>
                <w:rFonts w:hint="default" w:ascii="宋体" w:hAnsi="宋体" w:cs="宋体"/>
                <w:color w:val="auto"/>
                <w:spacing w:val="15"/>
                <w:kern w:val="0"/>
                <w:szCs w:val="21"/>
                <w:shd w:val="clear" w:color="auto" w:fill="FFFFFF"/>
                <w:lang w:val="en-US" w:eastAsia="zh-CN"/>
              </w:rPr>
            </w:pPr>
          </w:p>
        </w:tc>
        <w:tc>
          <w:tcPr>
            <w:tcW w:w="1087" w:type="dxa"/>
            <w:vAlign w:val="center"/>
          </w:tcPr>
          <w:p>
            <w:pPr>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r>
              <w:rPr>
                <w:rFonts w:hint="eastAsia"/>
                <w:highlight w:val="none"/>
                <w:lang w:eastAsia="zh-CN"/>
              </w:rPr>
              <w:t>质量保证方案</w:t>
            </w:r>
          </w:p>
        </w:tc>
        <w:tc>
          <w:tcPr>
            <w:tcW w:w="6443" w:type="dxa"/>
            <w:vAlign w:val="top"/>
          </w:tcPr>
          <w:p>
            <w:pPr>
              <w:spacing w:line="240" w:lineRule="auto"/>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供应商</w:t>
            </w:r>
            <w:r>
              <w:rPr>
                <w:rFonts w:hint="default" w:ascii="宋体" w:hAnsi="宋体" w:eastAsia="宋体" w:cs="宋体"/>
                <w:color w:val="auto"/>
                <w:sz w:val="21"/>
                <w:szCs w:val="21"/>
                <w:highlight w:val="none"/>
                <w:lang w:val="en-US" w:eastAsia="zh-CN"/>
              </w:rPr>
              <w:t>针对本项目制定的质量保证方案（包括但不限于质量保障体系及质量控制措施等内容）进行</w:t>
            </w:r>
            <w:r>
              <w:rPr>
                <w:rFonts w:hint="eastAsia" w:ascii="宋体" w:hAnsi="宋体" w:eastAsia="宋体" w:cs="宋体"/>
                <w:color w:val="auto"/>
                <w:sz w:val="21"/>
                <w:szCs w:val="21"/>
                <w:highlight w:val="none"/>
                <w:lang w:val="en-US" w:eastAsia="zh-CN"/>
              </w:rPr>
              <w:t>评审</w:t>
            </w:r>
            <w:r>
              <w:rPr>
                <w:rFonts w:hint="default" w:ascii="宋体" w:hAnsi="宋体" w:eastAsia="宋体" w:cs="宋体"/>
                <w:color w:val="auto"/>
                <w:sz w:val="21"/>
                <w:szCs w:val="21"/>
                <w:highlight w:val="none"/>
                <w:lang w:val="en-US" w:eastAsia="zh-CN"/>
              </w:rPr>
              <w:t>：</w:t>
            </w:r>
          </w:p>
          <w:p>
            <w:pPr>
              <w:spacing w:line="24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针对本项目所采购的</w:t>
            </w:r>
            <w:r>
              <w:rPr>
                <w:rFonts w:hint="eastAsia" w:ascii="宋体" w:hAnsi="宋体" w:eastAsia="宋体" w:cs="宋体"/>
                <w:color w:val="auto"/>
                <w:sz w:val="21"/>
                <w:szCs w:val="21"/>
                <w:highlight w:val="none"/>
                <w:lang w:val="en-US" w:eastAsia="zh-CN"/>
              </w:rPr>
              <w:t>货物</w:t>
            </w:r>
            <w:r>
              <w:rPr>
                <w:rFonts w:hint="default" w:ascii="宋体" w:hAnsi="宋体" w:eastAsia="宋体" w:cs="宋体"/>
                <w:color w:val="auto"/>
                <w:sz w:val="21"/>
                <w:szCs w:val="21"/>
                <w:highlight w:val="none"/>
                <w:lang w:val="en-US" w:eastAsia="zh-CN"/>
              </w:rPr>
              <w:t>构建完整的质量保证体系，列举出严谨规范的</w:t>
            </w:r>
            <w:r>
              <w:rPr>
                <w:rFonts w:hint="eastAsia" w:ascii="宋体" w:hAnsi="宋体" w:cs="宋体"/>
                <w:color w:val="auto"/>
                <w:sz w:val="21"/>
                <w:szCs w:val="21"/>
                <w:highlight w:val="none"/>
                <w:lang w:val="en-US" w:eastAsia="zh-CN"/>
              </w:rPr>
              <w:t>产品</w:t>
            </w:r>
            <w:r>
              <w:rPr>
                <w:rFonts w:hint="default" w:ascii="宋体" w:hAnsi="宋体" w:eastAsia="宋体" w:cs="宋体"/>
                <w:color w:val="auto"/>
                <w:sz w:val="21"/>
                <w:szCs w:val="21"/>
                <w:highlight w:val="none"/>
                <w:lang w:val="en-US" w:eastAsia="zh-CN"/>
              </w:rPr>
              <w:t>质量控制措施，完全满足或优于采购需求，得</w:t>
            </w: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分；</w:t>
            </w:r>
          </w:p>
          <w:p>
            <w:pPr>
              <w:spacing w:line="24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针对本项目所采购的</w:t>
            </w:r>
            <w:r>
              <w:rPr>
                <w:rFonts w:hint="eastAsia" w:ascii="宋体" w:hAnsi="宋体" w:eastAsia="宋体" w:cs="宋体"/>
                <w:color w:val="auto"/>
                <w:sz w:val="21"/>
                <w:szCs w:val="21"/>
                <w:highlight w:val="none"/>
                <w:lang w:val="en-US" w:eastAsia="zh-CN"/>
              </w:rPr>
              <w:t>货物</w:t>
            </w:r>
            <w:r>
              <w:rPr>
                <w:rFonts w:hint="default" w:ascii="宋体" w:hAnsi="宋体" w:eastAsia="宋体" w:cs="宋体"/>
                <w:color w:val="auto"/>
                <w:sz w:val="21"/>
                <w:szCs w:val="21"/>
                <w:highlight w:val="none"/>
                <w:lang w:val="en-US" w:eastAsia="zh-CN"/>
              </w:rPr>
              <w:t>构建</w:t>
            </w:r>
            <w:r>
              <w:rPr>
                <w:rFonts w:hint="eastAsia" w:ascii="宋体" w:hAnsi="宋体" w:cs="宋体"/>
                <w:color w:val="auto"/>
                <w:sz w:val="21"/>
                <w:szCs w:val="21"/>
                <w:highlight w:val="none"/>
                <w:lang w:val="en-US" w:eastAsia="zh-CN"/>
              </w:rPr>
              <w:t>较完整的</w:t>
            </w:r>
            <w:r>
              <w:rPr>
                <w:rFonts w:hint="default" w:ascii="宋体" w:hAnsi="宋体" w:eastAsia="宋体" w:cs="宋体"/>
                <w:color w:val="auto"/>
                <w:sz w:val="21"/>
                <w:szCs w:val="21"/>
                <w:highlight w:val="none"/>
                <w:lang w:val="en-US" w:eastAsia="zh-CN"/>
              </w:rPr>
              <w:t>质量保证体系，列举出</w:t>
            </w:r>
            <w:r>
              <w:rPr>
                <w:rFonts w:hint="eastAsia" w:ascii="宋体" w:hAnsi="宋体" w:cs="宋体"/>
                <w:color w:val="auto"/>
                <w:sz w:val="21"/>
                <w:szCs w:val="21"/>
                <w:highlight w:val="none"/>
                <w:lang w:val="en-US" w:eastAsia="zh-CN"/>
              </w:rPr>
              <w:t>较完整严谨的产品</w:t>
            </w:r>
            <w:r>
              <w:rPr>
                <w:rFonts w:hint="default" w:ascii="宋体" w:hAnsi="宋体" w:eastAsia="宋体" w:cs="宋体"/>
                <w:color w:val="auto"/>
                <w:sz w:val="21"/>
                <w:szCs w:val="21"/>
                <w:highlight w:val="none"/>
                <w:lang w:val="en-US" w:eastAsia="zh-CN"/>
              </w:rPr>
              <w:t>质量控制措施，部分满足采购需求，得</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分；</w:t>
            </w:r>
          </w:p>
          <w:p>
            <w:pPr>
              <w:spacing w:line="24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3.针对本项目所采购的货物构建</w:t>
            </w:r>
            <w:r>
              <w:rPr>
                <w:rFonts w:hint="default" w:ascii="宋体" w:hAnsi="宋体" w:eastAsia="宋体" w:cs="宋体"/>
                <w:color w:val="auto"/>
                <w:sz w:val="21"/>
                <w:szCs w:val="21"/>
                <w:highlight w:val="none"/>
                <w:lang w:val="en-US" w:eastAsia="zh-CN"/>
              </w:rPr>
              <w:t>简单、不具体的质量保证体系，列举出的</w:t>
            </w:r>
            <w:r>
              <w:rPr>
                <w:rFonts w:hint="eastAsia" w:ascii="宋体" w:hAnsi="宋体" w:cs="宋体"/>
                <w:color w:val="auto"/>
                <w:sz w:val="21"/>
                <w:szCs w:val="21"/>
                <w:highlight w:val="none"/>
                <w:lang w:val="en-US" w:eastAsia="zh-CN"/>
              </w:rPr>
              <w:t>产品</w:t>
            </w:r>
            <w:r>
              <w:rPr>
                <w:rFonts w:hint="default" w:ascii="宋体" w:hAnsi="宋体" w:eastAsia="宋体" w:cs="宋体"/>
                <w:color w:val="auto"/>
                <w:sz w:val="21"/>
                <w:szCs w:val="21"/>
                <w:highlight w:val="none"/>
                <w:lang w:val="en-US" w:eastAsia="zh-CN"/>
              </w:rPr>
              <w:t>质量控制措施简单、不具体，无法满足采购需求，得</w:t>
            </w: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分。</w:t>
            </w:r>
          </w:p>
          <w:p>
            <w:pPr>
              <w:spacing w:line="240" w:lineRule="auto"/>
              <w:jc w:val="both"/>
              <w:rPr>
                <w:rFonts w:hint="eastAsia" w:ascii="宋体" w:hAnsi="宋体" w:eastAsia="宋体" w:cs="Times New Roman"/>
                <w:kern w:val="2"/>
                <w:sz w:val="21"/>
                <w:szCs w:val="21"/>
                <w:highlight w:val="none"/>
                <w:lang w:val="en-US" w:eastAsia="zh-CN"/>
              </w:rPr>
            </w:pPr>
            <w:r>
              <w:rPr>
                <w:rFonts w:hint="eastAsia" w:ascii="宋体" w:hAnsi="宋体" w:eastAsia="宋体" w:cs="宋体"/>
                <w:color w:val="auto"/>
                <w:sz w:val="21"/>
                <w:szCs w:val="21"/>
                <w:highlight w:val="none"/>
              </w:rPr>
              <w:t>4.无提供方案不得分。</w:t>
            </w:r>
          </w:p>
        </w:tc>
        <w:tc>
          <w:tcPr>
            <w:tcW w:w="809" w:type="dxa"/>
            <w:vAlign w:val="center"/>
          </w:tcPr>
          <w:p>
            <w:pPr>
              <w:spacing w:line="360" w:lineRule="auto"/>
              <w:jc w:val="center"/>
              <w:rPr>
                <w:rFonts w:hint="eastAsia" w:cs="Times New Roman"/>
                <w:lang w:val="en-US" w:eastAsia="zh-CN"/>
              </w:rPr>
            </w:pPr>
            <w:r>
              <w:rPr>
                <w:rFonts w:hint="eastAsia" w:cs="Times New Roman"/>
                <w:color w:val="auto"/>
                <w:lang w:val="en-US" w:eastAsia="zh-CN"/>
              </w:rPr>
              <w:t>5</w:t>
            </w:r>
            <w:r>
              <w:rPr>
                <w:rFonts w:hint="eastAsia" w:cs="Times New Roman"/>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jc w:val="center"/>
        </w:trPr>
        <w:tc>
          <w:tcPr>
            <w:tcW w:w="916" w:type="dxa"/>
            <w:vAlign w:val="center"/>
          </w:tcPr>
          <w:p>
            <w:pPr>
              <w:widowControl/>
              <w:spacing w:line="360" w:lineRule="auto"/>
              <w:jc w:val="center"/>
              <w:rPr>
                <w:rFonts w:hint="default" w:ascii="宋体" w:hAnsi="宋体" w:cs="宋体"/>
                <w:color w:val="auto"/>
                <w:spacing w:val="15"/>
                <w:kern w:val="0"/>
                <w:szCs w:val="21"/>
                <w:shd w:val="clear" w:color="auto" w:fill="FFFFFF"/>
                <w:lang w:val="en-US" w:eastAsia="zh-CN"/>
              </w:rPr>
            </w:pPr>
            <w:r>
              <w:rPr>
                <w:rFonts w:hint="eastAsia" w:ascii="宋体" w:hAnsi="宋体" w:cs="宋体"/>
                <w:b/>
                <w:bCs/>
                <w:color w:val="auto"/>
                <w:spacing w:val="15"/>
                <w:kern w:val="0"/>
                <w:szCs w:val="21"/>
                <w:shd w:val="clear" w:color="auto" w:fill="FFFFFF"/>
                <w:lang w:val="en-US" w:eastAsia="zh-CN"/>
              </w:rPr>
              <w:t>价格部分</w:t>
            </w:r>
          </w:p>
        </w:tc>
        <w:tc>
          <w:tcPr>
            <w:tcW w:w="1087" w:type="dxa"/>
            <w:vAlign w:val="center"/>
          </w:tcPr>
          <w:p>
            <w:pPr>
              <w:jc w:val="center"/>
              <w:rPr>
                <w:rFonts w:hint="eastAsia"/>
                <w:color w:val="auto"/>
                <w:szCs w:val="21"/>
                <w:highlight w:val="none"/>
              </w:rPr>
            </w:pPr>
            <w:r>
              <w:rPr>
                <w:rFonts w:hint="eastAsia" w:ascii="宋体" w:hAnsi="宋体" w:eastAsia="宋体" w:cs="宋体"/>
                <w:color w:val="auto"/>
                <w:szCs w:val="21"/>
              </w:rPr>
              <w:t>响应报价</w:t>
            </w:r>
          </w:p>
        </w:tc>
        <w:tc>
          <w:tcPr>
            <w:tcW w:w="6443" w:type="dxa"/>
            <w:vAlign w:val="top"/>
          </w:tcPr>
          <w:p>
            <w:pPr>
              <w:pStyle w:val="25"/>
              <w:keepNext w:val="0"/>
              <w:keepLines w:val="0"/>
              <w:widowControl/>
              <w:suppressLineNumbers w:val="0"/>
              <w:spacing w:before="0" w:beforeAutospacing="0" w:after="0" w:afterAutospacing="0" w:line="216" w:lineRule="auto"/>
              <w:ind w:left="0" w:right="0" w:firstLine="0" w:firstLineChars="0"/>
              <w:rPr>
                <w:rFonts w:hint="eastAsia" w:ascii="宋体" w:hAnsi="宋体" w:eastAsia="宋体" w:cs="宋体"/>
                <w:bCs/>
                <w:color w:val="000000"/>
                <w:sz w:val="21"/>
                <w:szCs w:val="21"/>
                <w:lang w:val="zh-CN"/>
              </w:rPr>
            </w:pPr>
            <w:r>
              <w:rPr>
                <w:rFonts w:hint="eastAsia" w:ascii="宋体" w:hAnsi="宋体" w:eastAsia="宋体" w:cs="宋体"/>
                <w:bCs/>
                <w:color w:val="000000"/>
                <w:sz w:val="21"/>
                <w:szCs w:val="21"/>
                <w:lang w:val="zh-CN"/>
              </w:rPr>
              <w:t>响应报价得分＝（评审基准价/响应报价）×价格分值</w:t>
            </w:r>
          </w:p>
          <w:p>
            <w:pPr>
              <w:pStyle w:val="25"/>
              <w:keepNext w:val="0"/>
              <w:keepLines w:val="0"/>
              <w:widowControl/>
              <w:suppressLineNumbers w:val="0"/>
              <w:spacing w:before="0" w:beforeAutospacing="0" w:after="0" w:afterAutospacing="0" w:line="216" w:lineRule="auto"/>
              <w:ind w:left="0" w:right="0" w:firstLine="0" w:firstLineChars="0"/>
              <w:rPr>
                <w:rFonts w:hint="eastAsia"/>
                <w:color w:val="auto"/>
                <w:lang w:val="en-US" w:eastAsia="zh-CN"/>
              </w:rPr>
            </w:pPr>
            <w:r>
              <w:rPr>
                <w:rFonts w:hint="eastAsia" w:ascii="宋体" w:hAnsi="宋体" w:eastAsia="宋体" w:cs="宋体"/>
                <w:bCs/>
                <w:color w:val="000000"/>
                <w:sz w:val="21"/>
                <w:szCs w:val="21"/>
                <w:lang w:val="zh-CN"/>
              </w:rPr>
              <w:t>（注：满足采购文件要求且响应价格最低的响应报价为评审基准价。最低报价不是成交的唯一依据。）</w:t>
            </w:r>
          </w:p>
        </w:tc>
        <w:tc>
          <w:tcPr>
            <w:tcW w:w="809" w:type="dxa"/>
            <w:vAlign w:val="center"/>
          </w:tcPr>
          <w:p>
            <w:pPr>
              <w:spacing w:line="360" w:lineRule="auto"/>
              <w:jc w:val="center"/>
              <w:rPr>
                <w:rFonts w:hint="default" w:ascii="宋体" w:hAnsi="宋体" w:cs="宋体"/>
                <w:color w:val="auto"/>
                <w:szCs w:val="21"/>
                <w:highlight w:val="none"/>
                <w:lang w:val="en-US" w:eastAsia="zh-CN"/>
              </w:rPr>
            </w:pPr>
            <w:r>
              <w:rPr>
                <w:rFonts w:hint="eastAsia" w:cs="Times New Roman"/>
                <w:lang w:val="en-US" w:eastAsia="zh-CN"/>
              </w:rPr>
              <w:t>30</w:t>
            </w:r>
            <w:r>
              <w:rPr>
                <w:rFonts w:hint="eastAsia" w:ascii="宋体" w:hAnsi="宋体" w:cs="宋体"/>
                <w:color w:val="auto"/>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446" w:type="dxa"/>
            <w:gridSpan w:val="3"/>
            <w:vAlign w:val="center"/>
          </w:tcPr>
          <w:p>
            <w:pPr>
              <w:spacing w:line="360" w:lineRule="auto"/>
              <w:jc w:val="center"/>
              <w:rPr>
                <w:rFonts w:ascii="宋体" w:hAnsi="宋体"/>
                <w:color w:val="auto"/>
                <w:szCs w:val="21"/>
              </w:rPr>
            </w:pPr>
            <w:r>
              <w:rPr>
                <w:rFonts w:hint="eastAsia" w:ascii="宋体" w:hAnsi="宋体"/>
                <w:color w:val="auto"/>
                <w:szCs w:val="21"/>
              </w:rPr>
              <w:t>合计</w:t>
            </w:r>
          </w:p>
        </w:tc>
        <w:tc>
          <w:tcPr>
            <w:tcW w:w="809" w:type="dxa"/>
            <w:vAlign w:val="center"/>
          </w:tcPr>
          <w:p>
            <w:pPr>
              <w:spacing w:line="360" w:lineRule="auto"/>
              <w:jc w:val="center"/>
              <w:rPr>
                <w:rFonts w:hint="eastAsia" w:ascii="宋体" w:hAnsi="宋体" w:eastAsia="宋体"/>
                <w:color w:val="auto"/>
                <w:lang w:eastAsia="zh-CN"/>
              </w:rPr>
            </w:pPr>
            <w:r>
              <w:rPr>
                <w:rFonts w:hint="eastAsia" w:ascii="Times New Roman" w:hAnsi="Times New Roman" w:eastAsia="宋体" w:cs="Times New Roman"/>
                <w:lang w:val="en-US" w:eastAsia="zh-CN"/>
              </w:rPr>
              <w:t>100</w:t>
            </w:r>
            <w:r>
              <w:rPr>
                <w:rFonts w:hint="eastAsia" w:ascii="宋体" w:hAnsi="宋体"/>
                <w:color w:val="auto"/>
                <w:lang w:eastAsia="zh-CN"/>
              </w:rPr>
              <w:t>分</w:t>
            </w:r>
          </w:p>
        </w:tc>
      </w:tr>
      <w:bookmarkEnd w:id="0"/>
    </w:tbl>
    <w:p>
      <w:pPr>
        <w:ind w:firstLine="420" w:firstLineChars="2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NTUxMGZiNWRkZjQ1ODQ0NTcwZmFmNTM0ZGZhN2YifQ=="/>
  </w:docVars>
  <w:rsids>
    <w:rsidRoot w:val="007F2FE9"/>
    <w:rsid w:val="0009541C"/>
    <w:rsid w:val="000B0DD9"/>
    <w:rsid w:val="000B53B4"/>
    <w:rsid w:val="000F7855"/>
    <w:rsid w:val="001236F8"/>
    <w:rsid w:val="001450D0"/>
    <w:rsid w:val="00150EAD"/>
    <w:rsid w:val="00153090"/>
    <w:rsid w:val="0018450A"/>
    <w:rsid w:val="001B059A"/>
    <w:rsid w:val="00201BEF"/>
    <w:rsid w:val="0023100F"/>
    <w:rsid w:val="002F4500"/>
    <w:rsid w:val="0031590B"/>
    <w:rsid w:val="003272E4"/>
    <w:rsid w:val="0035165F"/>
    <w:rsid w:val="00381584"/>
    <w:rsid w:val="004601A8"/>
    <w:rsid w:val="004672C3"/>
    <w:rsid w:val="004A520A"/>
    <w:rsid w:val="004C7AB0"/>
    <w:rsid w:val="004E621E"/>
    <w:rsid w:val="00570B70"/>
    <w:rsid w:val="005B1F0D"/>
    <w:rsid w:val="005D53BF"/>
    <w:rsid w:val="005E1036"/>
    <w:rsid w:val="006B6603"/>
    <w:rsid w:val="006D659B"/>
    <w:rsid w:val="0072571A"/>
    <w:rsid w:val="00777F0E"/>
    <w:rsid w:val="007B7DC1"/>
    <w:rsid w:val="007C2FEA"/>
    <w:rsid w:val="007F2FE9"/>
    <w:rsid w:val="008116D8"/>
    <w:rsid w:val="00831D41"/>
    <w:rsid w:val="0083410A"/>
    <w:rsid w:val="00A2416E"/>
    <w:rsid w:val="00A2631D"/>
    <w:rsid w:val="00A41BFD"/>
    <w:rsid w:val="00A83194"/>
    <w:rsid w:val="00A91CD3"/>
    <w:rsid w:val="00A964C6"/>
    <w:rsid w:val="00AA145E"/>
    <w:rsid w:val="00AB28D1"/>
    <w:rsid w:val="00AE4B6C"/>
    <w:rsid w:val="00B168AA"/>
    <w:rsid w:val="00B457CC"/>
    <w:rsid w:val="00B902FB"/>
    <w:rsid w:val="00BF7E7A"/>
    <w:rsid w:val="00C43480"/>
    <w:rsid w:val="00C50C9B"/>
    <w:rsid w:val="00CA7B75"/>
    <w:rsid w:val="00CD0CF1"/>
    <w:rsid w:val="00CE001C"/>
    <w:rsid w:val="00D229E4"/>
    <w:rsid w:val="00DA2C22"/>
    <w:rsid w:val="00DE34F9"/>
    <w:rsid w:val="00DE4BD5"/>
    <w:rsid w:val="00E26DF3"/>
    <w:rsid w:val="00E96F78"/>
    <w:rsid w:val="00ED1BC2"/>
    <w:rsid w:val="00ED6E57"/>
    <w:rsid w:val="00F137EA"/>
    <w:rsid w:val="00F44958"/>
    <w:rsid w:val="00F65B53"/>
    <w:rsid w:val="00F86E61"/>
    <w:rsid w:val="00FA0091"/>
    <w:rsid w:val="00FB17BF"/>
    <w:rsid w:val="0492125F"/>
    <w:rsid w:val="062062EE"/>
    <w:rsid w:val="06693D01"/>
    <w:rsid w:val="0C640B4D"/>
    <w:rsid w:val="0DBF259D"/>
    <w:rsid w:val="11E43FC0"/>
    <w:rsid w:val="1A8B0D28"/>
    <w:rsid w:val="1E7B47D9"/>
    <w:rsid w:val="21FF63A7"/>
    <w:rsid w:val="22022DE4"/>
    <w:rsid w:val="23E25E1D"/>
    <w:rsid w:val="299B79ED"/>
    <w:rsid w:val="2F856825"/>
    <w:rsid w:val="31093571"/>
    <w:rsid w:val="313E104B"/>
    <w:rsid w:val="317E056C"/>
    <w:rsid w:val="32975CF3"/>
    <w:rsid w:val="344E1EF2"/>
    <w:rsid w:val="37E35C68"/>
    <w:rsid w:val="38310FE2"/>
    <w:rsid w:val="390D7DAD"/>
    <w:rsid w:val="3D07322A"/>
    <w:rsid w:val="3D0B0C4B"/>
    <w:rsid w:val="3E87731A"/>
    <w:rsid w:val="44DA3026"/>
    <w:rsid w:val="45392515"/>
    <w:rsid w:val="4A361719"/>
    <w:rsid w:val="4CF94B16"/>
    <w:rsid w:val="528D702D"/>
    <w:rsid w:val="53B37250"/>
    <w:rsid w:val="54E65AEA"/>
    <w:rsid w:val="5AED6CD8"/>
    <w:rsid w:val="62966DA1"/>
    <w:rsid w:val="6F680195"/>
    <w:rsid w:val="7024120B"/>
    <w:rsid w:val="726E47D3"/>
    <w:rsid w:val="730A45F8"/>
    <w:rsid w:val="73727D96"/>
    <w:rsid w:val="74DE6A51"/>
    <w:rsid w:val="74F72334"/>
    <w:rsid w:val="759901F9"/>
    <w:rsid w:val="764466D8"/>
    <w:rsid w:val="7F5D78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1"/>
    <w:pPr>
      <w:spacing w:before="28"/>
      <w:ind w:left="100"/>
      <w:outlineLvl w:val="3"/>
    </w:pPr>
    <w:rPr>
      <w:rFonts w:ascii="宋体" w:hAnsi="宋体" w:eastAsia="宋体" w:cs="宋体"/>
      <w:sz w:val="20"/>
      <w:szCs w:val="20"/>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5"/>
    <w:qFormat/>
    <w:uiPriority w:val="0"/>
    <w:pPr>
      <w:spacing w:line="460" w:lineRule="exact"/>
    </w:pPr>
    <w:rPr>
      <w:rFonts w:ascii="宋体" w:hAnsi="宋体"/>
      <w:sz w:val="24"/>
    </w:rPr>
  </w:style>
  <w:style w:type="paragraph" w:styleId="4">
    <w:name w:val="annotation subject"/>
    <w:basedOn w:val="5"/>
    <w:next w:val="5"/>
    <w:link w:val="19"/>
    <w:qFormat/>
    <w:uiPriority w:val="0"/>
    <w:rPr>
      <w:b/>
      <w:bCs/>
    </w:rPr>
  </w:style>
  <w:style w:type="paragraph" w:styleId="5">
    <w:name w:val="annotation text"/>
    <w:basedOn w:val="1"/>
    <w:link w:val="16"/>
    <w:qFormat/>
    <w:uiPriority w:val="0"/>
    <w:pPr>
      <w:jc w:val="left"/>
    </w:pPr>
  </w:style>
  <w:style w:type="paragraph" w:styleId="6">
    <w:name w:val="Body Text First Indent"/>
    <w:basedOn w:val="2"/>
    <w:link w:val="20"/>
    <w:qFormat/>
    <w:uiPriority w:val="0"/>
    <w:pPr>
      <w:spacing w:after="120" w:line="240" w:lineRule="auto"/>
      <w:ind w:firstLine="420" w:firstLineChars="100"/>
    </w:pPr>
    <w:rPr>
      <w:rFonts w:ascii="Times New Roman" w:hAnsi="Times New Roman"/>
      <w:sz w:val="21"/>
    </w:rPr>
  </w:style>
  <w:style w:type="paragraph" w:styleId="7">
    <w:name w:val="toc 5"/>
    <w:basedOn w:val="1"/>
    <w:next w:val="1"/>
    <w:qFormat/>
    <w:uiPriority w:val="0"/>
    <w:pPr>
      <w:ind w:left="840"/>
      <w:jc w:val="left"/>
    </w:pPr>
    <w:rPr>
      <w:szCs w:val="21"/>
    </w:rPr>
  </w:style>
  <w:style w:type="paragraph" w:styleId="8">
    <w:name w:val="Balloon Text"/>
    <w:basedOn w:val="1"/>
    <w:link w:val="1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character" w:styleId="12">
    <w:name w:val="annotation reference"/>
    <w:basedOn w:val="11"/>
    <w:qFormat/>
    <w:uiPriority w:val="0"/>
    <w:rPr>
      <w:sz w:val="21"/>
      <w:szCs w:val="21"/>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正文文本 Char"/>
    <w:basedOn w:val="11"/>
    <w:link w:val="2"/>
    <w:qFormat/>
    <w:uiPriority w:val="0"/>
    <w:rPr>
      <w:rFonts w:ascii="宋体" w:hAnsi="宋体" w:eastAsia="宋体" w:cs="Times New Roman"/>
      <w:kern w:val="2"/>
      <w:sz w:val="24"/>
      <w:szCs w:val="24"/>
    </w:rPr>
  </w:style>
  <w:style w:type="character" w:customStyle="1" w:styleId="16">
    <w:name w:val="批注文字 Char"/>
    <w:basedOn w:val="11"/>
    <w:link w:val="5"/>
    <w:qFormat/>
    <w:uiPriority w:val="0"/>
    <w:rPr>
      <w:rFonts w:ascii="Times New Roman" w:hAnsi="Times New Roman" w:eastAsia="宋体" w:cs="Times New Roman"/>
      <w:kern w:val="2"/>
      <w:sz w:val="21"/>
      <w:szCs w:val="24"/>
    </w:rPr>
  </w:style>
  <w:style w:type="character" w:customStyle="1" w:styleId="17">
    <w:name w:val="批注框文本 Char"/>
    <w:basedOn w:val="11"/>
    <w:link w:val="8"/>
    <w:qFormat/>
    <w:uiPriority w:val="0"/>
    <w:rPr>
      <w:rFonts w:ascii="Times New Roman" w:hAnsi="Times New Roman" w:eastAsia="宋体" w:cs="Times New Roman"/>
      <w:kern w:val="2"/>
      <w:sz w:val="18"/>
      <w:szCs w:val="18"/>
    </w:rPr>
  </w:style>
  <w:style w:type="character" w:customStyle="1" w:styleId="18">
    <w:name w:val="页眉 Char"/>
    <w:basedOn w:val="11"/>
    <w:link w:val="10"/>
    <w:qFormat/>
    <w:uiPriority w:val="99"/>
    <w:rPr>
      <w:rFonts w:ascii="Times New Roman" w:hAnsi="Times New Roman" w:eastAsia="宋体" w:cs="Times New Roman"/>
      <w:kern w:val="2"/>
      <w:sz w:val="18"/>
      <w:szCs w:val="18"/>
    </w:rPr>
  </w:style>
  <w:style w:type="character" w:customStyle="1" w:styleId="19">
    <w:name w:val="批注主题 Char"/>
    <w:basedOn w:val="16"/>
    <w:link w:val="4"/>
    <w:qFormat/>
    <w:uiPriority w:val="0"/>
    <w:rPr>
      <w:b/>
      <w:bCs/>
    </w:rPr>
  </w:style>
  <w:style w:type="character" w:customStyle="1" w:styleId="20">
    <w:name w:val="正文首行缩进 Char"/>
    <w:basedOn w:val="15"/>
    <w:link w:val="6"/>
    <w:qFormat/>
    <w:uiPriority w:val="0"/>
  </w:style>
  <w:style w:type="paragraph" w:styleId="21">
    <w:name w:val="List Paragraph"/>
    <w:basedOn w:val="1"/>
    <w:qFormat/>
    <w:uiPriority w:val="99"/>
    <w:pPr>
      <w:ind w:firstLine="420" w:firstLineChars="200"/>
    </w:pPr>
  </w:style>
  <w:style w:type="paragraph" w:customStyle="1" w:styleId="22">
    <w:name w:val="Table Paragraph"/>
    <w:basedOn w:val="1"/>
    <w:qFormat/>
    <w:uiPriority w:val="1"/>
    <w:pPr>
      <w:widowControl/>
      <w:jc w:val="left"/>
    </w:pPr>
    <w:rPr>
      <w:rFonts w:ascii="宋体" w:hAnsi="宋体" w:cs="宋体"/>
      <w:kern w:val="0"/>
      <w:szCs w:val="20"/>
      <w:lang w:val="zh-CN" w:bidi="zh-CN"/>
    </w:rPr>
  </w:style>
  <w:style w:type="paragraph" w:customStyle="1" w:styleId="23">
    <w:name w:val="Char Char15 Char Char"/>
    <w:basedOn w:val="1"/>
    <w:qFormat/>
    <w:uiPriority w:val="0"/>
    <w:rPr>
      <w:szCs w:val="20"/>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正文缩进2格"/>
    <w:basedOn w:val="1"/>
    <w:qFormat/>
    <w:uiPriority w:val="0"/>
    <w:pPr>
      <w:widowControl w:val="0"/>
      <w:spacing w:line="600" w:lineRule="exact"/>
      <w:ind w:firstLine="639" w:firstLineChars="206"/>
      <w:jc w:val="both"/>
    </w:pPr>
    <w:rPr>
      <w:rFonts w:ascii="仿宋_GB2312" w:hAnsi="宋体" w:eastAsia="仿宋_GB2312"/>
      <w:kern w:val="2"/>
      <w:sz w:val="31"/>
      <w:szCs w:val="22"/>
    </w:rPr>
  </w:style>
  <w:style w:type="character" w:customStyle="1" w:styleId="26">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2228</Words>
  <Characters>2293</Characters>
  <Lines>12</Lines>
  <Paragraphs>3</Paragraphs>
  <ScaleCrop>false</ScaleCrop>
  <LinksUpToDate>false</LinksUpToDate>
  <CharactersWithSpaces>2317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2022-12-15T08:05:00Z</dcterms:created>
  <dc:creator>chis</dc:creator>
  <cp:lastModifiedBy>赖宇娟</cp:lastModifiedBy>
  <cp:lastPrinted>2022-12-30T01:27:00Z</cp:lastPrinted>
  <dcterms:modified xsi:type="dcterms:W3CDTF">2026-04-17T08:57:41Z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83CF119A26D64559A7B586A983AFB223_13</vt:lpwstr>
  </property>
  <property fmtid="{D5CDD505-2E9C-101B-9397-08002B2CF9AE}" pid="4" name="KSOTemplateDocerSaveRecord">
    <vt:lpwstr>eyJoZGlkIjoiYzM0MTYxYzRmYWI5OTExNzE3YmU5OWM5MGI2MjgwYTAiLCJ1c2VySWQiOiI2MDA4NjAwMjQifQ==</vt:lpwstr>
  </property>
</Properties>
</file>