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35781">
      <w:pPr>
        <w:spacing w:line="360" w:lineRule="auto"/>
        <w:jc w:val="center"/>
        <w:rPr>
          <w:b/>
          <w:sz w:val="72"/>
          <w:szCs w:val="72"/>
        </w:rPr>
      </w:pPr>
      <w:r>
        <w:rPr>
          <w:rStyle w:val="7"/>
          <w:rFonts w:hint="eastAsia" w:asciiTheme="minorEastAsia" w:hAnsiTheme="minorEastAsia" w:cstheme="minorEastAsia"/>
          <w:b/>
          <w:bCs/>
          <w:color w:val="auto"/>
          <w:sz w:val="36"/>
          <w:szCs w:val="36"/>
          <w:lang w:val="en-US" w:eastAsia="zh-CN"/>
        </w:rPr>
        <w:t>护士鞋</w:t>
      </w:r>
      <w:r>
        <w:rPr>
          <w:rStyle w:val="7"/>
          <w:rFonts w:hint="eastAsia" w:asciiTheme="minorEastAsia" w:hAnsiTheme="minorEastAsia" w:eastAsiaTheme="minorEastAsia" w:cstheme="minorEastAsia"/>
          <w:b/>
          <w:bCs/>
          <w:color w:val="auto"/>
          <w:sz w:val="36"/>
          <w:szCs w:val="36"/>
          <w:lang w:val="en-US" w:eastAsia="zh-CN"/>
        </w:rPr>
        <w:t>项目购销合同</w:t>
      </w:r>
    </w:p>
    <w:p w14:paraId="3422B48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项目名称：中山市黄圃人民医院护士鞋项目                      </w:t>
      </w:r>
    </w:p>
    <w:p w14:paraId="63CDE40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中山市黄圃</w:t>
      </w:r>
      <w:r>
        <w:rPr>
          <w:rFonts w:hint="eastAsia" w:asciiTheme="minorEastAsia" w:hAnsiTheme="minorEastAsia" w:eastAsiaTheme="minorEastAsia" w:cstheme="minorEastAsia"/>
          <w:sz w:val="24"/>
          <w:szCs w:val="24"/>
        </w:rPr>
        <w:t>人民医院</w:t>
      </w:r>
    </w:p>
    <w:p w14:paraId="7B535BCB">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中山市黄圃镇龙安街</w:t>
      </w:r>
      <w:r>
        <w:rPr>
          <w:rFonts w:hint="eastAsia" w:asciiTheme="minorEastAsia" w:hAnsiTheme="minorEastAsia" w:eastAsiaTheme="minorEastAsia" w:cstheme="minorEastAsia"/>
          <w:sz w:val="24"/>
          <w:szCs w:val="24"/>
          <w:lang w:val="en-US" w:eastAsia="zh-CN"/>
        </w:rPr>
        <w:t>32号</w:t>
      </w:r>
      <w:r>
        <w:rPr>
          <w:rFonts w:hint="eastAsia" w:asciiTheme="minorEastAsia" w:hAnsiTheme="minorEastAsia" w:eastAsiaTheme="minorEastAsia" w:cstheme="minorEastAsia"/>
          <w:sz w:val="24"/>
          <w:szCs w:val="24"/>
          <w:lang w:eastAsia="zh-CN"/>
        </w:rPr>
        <w:t>中山市黄圃</w:t>
      </w:r>
      <w:r>
        <w:rPr>
          <w:rFonts w:hint="eastAsia" w:asciiTheme="minorEastAsia" w:hAnsiTheme="minorEastAsia" w:eastAsiaTheme="minorEastAsia" w:cstheme="minorEastAsia"/>
          <w:sz w:val="24"/>
          <w:szCs w:val="24"/>
        </w:rPr>
        <w:t>人民医院</w:t>
      </w:r>
    </w:p>
    <w:p w14:paraId="28684DC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6B4B59D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C570D2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32151837">
      <w:pPr>
        <w:spacing w:line="360" w:lineRule="auto"/>
        <w:rPr>
          <w:rFonts w:hint="eastAsia" w:asciiTheme="minorEastAsia" w:hAnsiTheme="minorEastAsia" w:eastAsiaTheme="minorEastAsia" w:cstheme="minorEastAsia"/>
          <w:sz w:val="24"/>
          <w:szCs w:val="24"/>
        </w:rPr>
      </w:pPr>
    </w:p>
    <w:p w14:paraId="5A1A552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w:t>
      </w:r>
      <w:r>
        <w:rPr>
          <w:rFonts w:hint="eastAsia" w:asciiTheme="minorEastAsia" w:hAnsiTheme="minorEastAsia" w:eastAsiaTheme="minorEastAsia" w:cstheme="minorEastAsia"/>
          <w:sz w:val="24"/>
          <w:szCs w:val="24"/>
          <w:lang w:eastAsia="zh-CN"/>
        </w:rPr>
        <w:t>中山市黄圃</w:t>
      </w:r>
      <w:r>
        <w:rPr>
          <w:rFonts w:hint="eastAsia" w:asciiTheme="minorEastAsia" w:hAnsiTheme="minorEastAsia" w:eastAsiaTheme="minorEastAsia" w:cstheme="minorEastAsia"/>
          <w:sz w:val="24"/>
          <w:szCs w:val="24"/>
        </w:rPr>
        <w:t>人民医院护士鞋采购，经双方协商，本着平等互利和诚实信用的原则，一致同意签订本合同如下。</w:t>
      </w:r>
    </w:p>
    <w:tbl>
      <w:tblPr>
        <w:tblStyle w:val="4"/>
        <w:tblpPr w:leftFromText="180" w:rightFromText="180" w:vertAnchor="text" w:horzAnchor="page" w:tblpX="830" w:tblpY="642"/>
        <w:tblOverlap w:val="never"/>
        <w:tblW w:w="9806"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642"/>
        <w:gridCol w:w="1436"/>
        <w:gridCol w:w="648"/>
        <w:gridCol w:w="1212"/>
        <w:gridCol w:w="2736"/>
        <w:gridCol w:w="780"/>
        <w:gridCol w:w="2352"/>
      </w:tblGrid>
      <w:tr w14:paraId="254E529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80" w:hRule="atLeast"/>
        </w:trPr>
        <w:tc>
          <w:tcPr>
            <w:tcW w:w="642" w:type="dxa"/>
            <w:tcBorders>
              <w:top w:val="double" w:color="000000" w:sz="4" w:space="0"/>
              <w:left w:val="double" w:color="000000" w:sz="4" w:space="0"/>
              <w:bottom w:val="single" w:color="000000" w:sz="6" w:space="0"/>
              <w:right w:val="single" w:color="000000" w:sz="6" w:space="0"/>
            </w:tcBorders>
            <w:shd w:val="clear" w:color="auto" w:fill="D9D9D9"/>
            <w:vAlign w:val="center"/>
          </w:tcPr>
          <w:p w14:paraId="3AEC761F">
            <w:pPr>
              <w:keepLines w:val="0"/>
              <w:pageBreakBefore w:val="0"/>
              <w:widowControl/>
              <w:kinsoku/>
              <w:wordWrap/>
              <w:overflowPunct/>
              <w:topLinePunct w:val="0"/>
              <w:autoSpaceDE/>
              <w:autoSpaceDN/>
              <w:bidi w:val="0"/>
              <w:adjustRightInd/>
              <w:snapToGrid w:val="0"/>
              <w:spacing w:line="360" w:lineRule="auto"/>
              <w:ind w:left="2" w:hanging="2"/>
              <w:jc w:val="center"/>
              <w:rPr>
                <w:rStyle w:val="7"/>
                <w:rFonts w:hint="eastAsia" w:ascii="宋体" w:hAnsi="宋体" w:eastAsia="宋体" w:cs="宋体"/>
                <w:b/>
                <w:bCs/>
                <w:color w:val="000000"/>
                <w:sz w:val="24"/>
                <w:szCs w:val="24"/>
              </w:rPr>
            </w:pPr>
            <w:r>
              <w:rPr>
                <w:rStyle w:val="7"/>
                <w:rFonts w:hint="eastAsia" w:ascii="宋体" w:hAnsi="宋体" w:eastAsia="宋体" w:cs="宋体"/>
                <w:b/>
                <w:bCs/>
                <w:color w:val="000000"/>
                <w:sz w:val="24"/>
                <w:szCs w:val="24"/>
              </w:rPr>
              <w:t>序号</w:t>
            </w:r>
          </w:p>
        </w:tc>
        <w:tc>
          <w:tcPr>
            <w:tcW w:w="1436" w:type="dxa"/>
            <w:tcBorders>
              <w:top w:val="double" w:color="000000" w:sz="4" w:space="0"/>
              <w:left w:val="single" w:color="000000" w:sz="6" w:space="0"/>
              <w:bottom w:val="single" w:color="000000" w:sz="6" w:space="0"/>
              <w:right w:val="single" w:color="000000" w:sz="4" w:space="0"/>
            </w:tcBorders>
            <w:shd w:val="clear" w:color="auto" w:fill="D9D9D9"/>
            <w:vAlign w:val="center"/>
          </w:tcPr>
          <w:p w14:paraId="721AF51D">
            <w:pPr>
              <w:pStyle w:val="8"/>
              <w:keepLines w:val="0"/>
              <w:pageBreakBefore w:val="0"/>
              <w:widowControl/>
              <w:kinsoku/>
              <w:wordWrap/>
              <w:overflowPunct/>
              <w:topLinePunct w:val="0"/>
              <w:autoSpaceDE/>
              <w:autoSpaceDN/>
              <w:bidi w:val="0"/>
              <w:adjustRightInd/>
              <w:spacing w:before="0" w:after="0" w:line="360" w:lineRule="auto"/>
              <w:rPr>
                <w:rStyle w:val="7"/>
                <w:rFonts w:hint="eastAsia" w:ascii="宋体" w:hAnsi="宋体" w:eastAsia="宋体" w:cs="宋体"/>
                <w:b/>
                <w:bCs/>
                <w:color w:val="000000"/>
                <w:kern w:val="2"/>
                <w:sz w:val="24"/>
                <w:szCs w:val="24"/>
              </w:rPr>
            </w:pPr>
            <w:r>
              <w:rPr>
                <w:rStyle w:val="7"/>
                <w:rFonts w:hint="eastAsia" w:ascii="宋体" w:hAnsi="宋体" w:eastAsia="宋体" w:cs="宋体"/>
                <w:b/>
                <w:bCs/>
                <w:color w:val="000000"/>
                <w:kern w:val="2"/>
                <w:sz w:val="24"/>
                <w:szCs w:val="24"/>
              </w:rPr>
              <w:t>货物名称</w:t>
            </w:r>
          </w:p>
        </w:tc>
        <w:tc>
          <w:tcPr>
            <w:tcW w:w="648" w:type="dxa"/>
            <w:tcBorders>
              <w:top w:val="double" w:color="000000" w:sz="4" w:space="0"/>
              <w:left w:val="single" w:color="000000" w:sz="4" w:space="0"/>
              <w:bottom w:val="single" w:color="000000" w:sz="6" w:space="0"/>
              <w:right w:val="single" w:color="000000" w:sz="4" w:space="0"/>
            </w:tcBorders>
            <w:shd w:val="clear" w:color="auto" w:fill="D9D9D9"/>
            <w:vAlign w:val="center"/>
          </w:tcPr>
          <w:p w14:paraId="6F68A3AC">
            <w:pPr>
              <w:pStyle w:val="8"/>
              <w:keepLines w:val="0"/>
              <w:pageBreakBefore w:val="0"/>
              <w:widowControl/>
              <w:kinsoku/>
              <w:wordWrap/>
              <w:overflowPunct/>
              <w:topLinePunct w:val="0"/>
              <w:autoSpaceDE/>
              <w:autoSpaceDN/>
              <w:bidi w:val="0"/>
              <w:adjustRightInd/>
              <w:spacing w:before="0" w:after="0" w:line="360" w:lineRule="auto"/>
              <w:rPr>
                <w:rStyle w:val="7"/>
                <w:rFonts w:hint="eastAsia" w:ascii="宋体" w:hAnsi="宋体" w:eastAsia="宋体" w:cs="宋体"/>
                <w:b/>
                <w:bCs/>
                <w:color w:val="000000"/>
                <w:kern w:val="2"/>
                <w:sz w:val="24"/>
                <w:szCs w:val="24"/>
                <w:lang w:val="en-US" w:eastAsia="zh-CN"/>
              </w:rPr>
            </w:pPr>
            <w:r>
              <w:rPr>
                <w:rStyle w:val="7"/>
                <w:rFonts w:hint="eastAsia" w:ascii="宋体" w:hAnsi="宋体" w:eastAsia="宋体" w:cs="宋体"/>
                <w:b/>
                <w:bCs/>
                <w:color w:val="000000"/>
                <w:kern w:val="2"/>
                <w:sz w:val="24"/>
                <w:szCs w:val="24"/>
                <w:lang w:val="en-US" w:eastAsia="zh-CN"/>
              </w:rPr>
              <w:t>单位</w:t>
            </w:r>
          </w:p>
        </w:tc>
        <w:tc>
          <w:tcPr>
            <w:tcW w:w="1212" w:type="dxa"/>
            <w:tcBorders>
              <w:top w:val="double" w:color="000000" w:sz="4" w:space="0"/>
              <w:left w:val="single" w:color="000000" w:sz="4" w:space="0"/>
              <w:bottom w:val="single" w:color="000000" w:sz="6" w:space="0"/>
              <w:right w:val="single" w:color="000000" w:sz="4" w:space="0"/>
            </w:tcBorders>
            <w:shd w:val="clear" w:color="auto" w:fill="D9D9D9"/>
            <w:vAlign w:val="center"/>
          </w:tcPr>
          <w:p w14:paraId="3EEA76AB">
            <w:pPr>
              <w:pStyle w:val="8"/>
              <w:keepLines w:val="0"/>
              <w:pageBreakBefore w:val="0"/>
              <w:widowControl/>
              <w:kinsoku/>
              <w:wordWrap/>
              <w:overflowPunct/>
              <w:topLinePunct w:val="0"/>
              <w:autoSpaceDE/>
              <w:autoSpaceDN/>
              <w:bidi w:val="0"/>
              <w:adjustRightInd/>
              <w:spacing w:before="0" w:after="0" w:line="360" w:lineRule="auto"/>
              <w:rPr>
                <w:rStyle w:val="7"/>
                <w:rFonts w:hint="eastAsia" w:ascii="宋体" w:hAnsi="宋体" w:eastAsia="宋体" w:cs="宋体"/>
                <w:b/>
                <w:bCs/>
                <w:color w:val="000000"/>
                <w:kern w:val="2"/>
                <w:sz w:val="24"/>
                <w:szCs w:val="24"/>
              </w:rPr>
            </w:pPr>
            <w:r>
              <w:rPr>
                <w:rStyle w:val="7"/>
                <w:rFonts w:hint="eastAsia" w:ascii="宋体" w:hAnsi="宋体" w:eastAsia="宋体" w:cs="宋体"/>
                <w:b/>
                <w:bCs/>
                <w:color w:val="000000"/>
                <w:kern w:val="2"/>
                <w:sz w:val="24"/>
                <w:szCs w:val="24"/>
              </w:rPr>
              <w:t>数量</w:t>
            </w:r>
          </w:p>
        </w:tc>
        <w:tc>
          <w:tcPr>
            <w:tcW w:w="2736"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04318042">
            <w:pPr>
              <w:pStyle w:val="8"/>
              <w:keepLines w:val="0"/>
              <w:pageBreakBefore w:val="0"/>
              <w:widowControl/>
              <w:kinsoku/>
              <w:wordWrap/>
              <w:overflowPunct/>
              <w:topLinePunct w:val="0"/>
              <w:autoSpaceDE/>
              <w:autoSpaceDN/>
              <w:bidi w:val="0"/>
              <w:adjustRightInd/>
              <w:spacing w:before="0" w:after="0" w:line="360" w:lineRule="auto"/>
              <w:rPr>
                <w:rStyle w:val="7"/>
                <w:rFonts w:hint="eastAsia" w:ascii="宋体" w:hAnsi="宋体" w:eastAsia="宋体" w:cs="宋体"/>
                <w:b/>
                <w:bCs/>
                <w:color w:val="000000"/>
                <w:kern w:val="2"/>
                <w:sz w:val="24"/>
                <w:szCs w:val="24"/>
              </w:rPr>
            </w:pPr>
            <w:r>
              <w:rPr>
                <w:rStyle w:val="7"/>
                <w:rFonts w:hint="eastAsia" w:ascii="宋体" w:hAnsi="宋体" w:eastAsia="宋体" w:cs="宋体"/>
                <w:b/>
                <w:bCs/>
                <w:color w:val="000000"/>
                <w:kern w:val="2"/>
                <w:sz w:val="24"/>
                <w:szCs w:val="24"/>
              </w:rPr>
              <w:t>单价（元</w:t>
            </w:r>
            <w:r>
              <w:rPr>
                <w:rStyle w:val="7"/>
                <w:rFonts w:hint="eastAsia" w:ascii="宋体" w:hAnsi="宋体" w:eastAsia="宋体" w:cs="宋体"/>
                <w:b/>
                <w:bCs/>
                <w:color w:val="000000"/>
                <w:kern w:val="2"/>
                <w:sz w:val="24"/>
                <w:szCs w:val="24"/>
                <w:lang w:val="en-US" w:eastAsia="zh-CN"/>
              </w:rPr>
              <w:t>/单位</w:t>
            </w:r>
            <w:r>
              <w:rPr>
                <w:rStyle w:val="7"/>
                <w:rFonts w:hint="eastAsia" w:ascii="宋体" w:hAnsi="宋体" w:eastAsia="宋体" w:cs="宋体"/>
                <w:b/>
                <w:bCs/>
                <w:color w:val="000000"/>
                <w:kern w:val="2"/>
                <w:sz w:val="24"/>
                <w:szCs w:val="24"/>
              </w:rPr>
              <w:t>）</w:t>
            </w:r>
          </w:p>
        </w:tc>
        <w:tc>
          <w:tcPr>
            <w:tcW w:w="780" w:type="dxa"/>
            <w:tcBorders>
              <w:top w:val="double" w:color="000000" w:sz="4" w:space="0"/>
              <w:left w:val="single" w:color="000000" w:sz="6" w:space="0"/>
              <w:bottom w:val="single" w:color="000000" w:sz="6" w:space="0"/>
              <w:right w:val="single" w:color="000000" w:sz="4" w:space="0"/>
            </w:tcBorders>
            <w:shd w:val="clear" w:color="auto" w:fill="D9D9D9"/>
            <w:vAlign w:val="center"/>
          </w:tcPr>
          <w:p w14:paraId="0140BA20">
            <w:pPr>
              <w:keepLines w:val="0"/>
              <w:pageBreakBefore w:val="0"/>
              <w:widowControl/>
              <w:kinsoku/>
              <w:wordWrap/>
              <w:overflowPunct/>
              <w:topLinePunct w:val="0"/>
              <w:autoSpaceDE/>
              <w:autoSpaceDN/>
              <w:bidi w:val="0"/>
              <w:adjustRightInd/>
              <w:snapToGrid w:val="0"/>
              <w:spacing w:line="360" w:lineRule="auto"/>
              <w:jc w:val="center"/>
              <w:rPr>
                <w:rStyle w:val="7"/>
                <w:rFonts w:hint="eastAsia" w:ascii="宋体" w:hAnsi="宋体" w:eastAsia="宋体" w:cs="宋体"/>
                <w:b/>
                <w:bCs/>
                <w:color w:val="000000"/>
                <w:sz w:val="24"/>
                <w:szCs w:val="24"/>
                <w:lang w:val="en-US" w:eastAsia="zh-CN"/>
              </w:rPr>
            </w:pPr>
            <w:r>
              <w:rPr>
                <w:rStyle w:val="7"/>
                <w:rFonts w:hint="eastAsia" w:ascii="宋体" w:hAnsi="宋体" w:eastAsia="宋体" w:cs="宋体"/>
                <w:b/>
                <w:bCs/>
                <w:color w:val="000000"/>
                <w:sz w:val="24"/>
                <w:szCs w:val="24"/>
                <w:lang w:val="en-US" w:eastAsia="zh-CN"/>
              </w:rPr>
              <w:t>品牌</w:t>
            </w:r>
          </w:p>
        </w:tc>
        <w:tc>
          <w:tcPr>
            <w:tcW w:w="2352" w:type="dxa"/>
            <w:tcBorders>
              <w:top w:val="double" w:color="000000" w:sz="4" w:space="0"/>
              <w:left w:val="single" w:color="000000" w:sz="4" w:space="0"/>
              <w:bottom w:val="single" w:color="000000" w:sz="6" w:space="0"/>
              <w:right w:val="double" w:color="000000" w:sz="4" w:space="0"/>
            </w:tcBorders>
            <w:shd w:val="clear" w:color="auto" w:fill="D9D9D9"/>
            <w:vAlign w:val="center"/>
          </w:tcPr>
          <w:p w14:paraId="3150A24D">
            <w:pPr>
              <w:keepLines w:val="0"/>
              <w:pageBreakBefore w:val="0"/>
              <w:widowControl/>
              <w:kinsoku/>
              <w:wordWrap/>
              <w:overflowPunct/>
              <w:topLinePunct w:val="0"/>
              <w:autoSpaceDE/>
              <w:autoSpaceDN/>
              <w:bidi w:val="0"/>
              <w:adjustRightInd/>
              <w:snapToGrid w:val="0"/>
              <w:spacing w:line="360" w:lineRule="auto"/>
              <w:jc w:val="center"/>
              <w:rPr>
                <w:rStyle w:val="7"/>
                <w:rFonts w:hint="eastAsia" w:ascii="宋体" w:hAnsi="宋体" w:eastAsia="宋体" w:cs="宋体"/>
                <w:b/>
                <w:bCs/>
                <w:color w:val="000000"/>
                <w:sz w:val="24"/>
                <w:szCs w:val="24"/>
                <w:lang w:val="en-US" w:eastAsia="zh-CN"/>
              </w:rPr>
            </w:pPr>
            <w:r>
              <w:rPr>
                <w:rStyle w:val="7"/>
                <w:rFonts w:hint="eastAsia" w:ascii="宋体" w:hAnsi="宋体" w:eastAsia="宋体" w:cs="宋体"/>
                <w:b/>
                <w:bCs/>
                <w:color w:val="000000"/>
                <w:sz w:val="24"/>
                <w:szCs w:val="24"/>
                <w:highlight w:val="none"/>
                <w:lang w:val="en-US" w:eastAsia="zh-CN"/>
              </w:rPr>
              <w:t>规格参数</w:t>
            </w:r>
          </w:p>
        </w:tc>
      </w:tr>
      <w:tr w14:paraId="2CB2634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35" w:hRule="atLeast"/>
        </w:trPr>
        <w:tc>
          <w:tcPr>
            <w:tcW w:w="642" w:type="dxa"/>
            <w:tcBorders>
              <w:top w:val="single" w:color="000000" w:sz="6" w:space="0"/>
              <w:left w:val="double" w:color="000000" w:sz="4" w:space="0"/>
              <w:bottom w:val="single" w:color="000000" w:sz="6" w:space="0"/>
              <w:right w:val="single" w:color="000000" w:sz="6" w:space="0"/>
            </w:tcBorders>
            <w:vAlign w:val="center"/>
          </w:tcPr>
          <w:p w14:paraId="64A5F9BB">
            <w:pPr>
              <w:keepLines w:val="0"/>
              <w:pageBreakBefore w:val="0"/>
              <w:widowControl/>
              <w:kinsoku/>
              <w:wordWrap/>
              <w:overflowPunct/>
              <w:topLinePunct w:val="0"/>
              <w:autoSpaceDE/>
              <w:autoSpaceDN/>
              <w:bidi w:val="0"/>
              <w:adjustRightInd/>
              <w:snapToGrid w:val="0"/>
              <w:spacing w:line="360" w:lineRule="auto"/>
              <w:jc w:val="center"/>
              <w:rPr>
                <w:rStyle w:val="7"/>
                <w:rFonts w:hint="eastAsia" w:ascii="宋体" w:hAnsi="宋体" w:eastAsia="宋体" w:cs="宋体"/>
                <w:bCs/>
                <w:color w:val="000000"/>
                <w:sz w:val="24"/>
                <w:szCs w:val="24"/>
              </w:rPr>
            </w:pPr>
            <w:r>
              <w:rPr>
                <w:rStyle w:val="7"/>
                <w:rFonts w:hint="eastAsia" w:ascii="宋体" w:hAnsi="宋体" w:eastAsia="宋体" w:cs="宋体"/>
                <w:bCs/>
                <w:color w:val="000000"/>
                <w:sz w:val="24"/>
                <w:szCs w:val="24"/>
              </w:rPr>
              <w:t>1</w:t>
            </w:r>
          </w:p>
        </w:tc>
        <w:tc>
          <w:tcPr>
            <w:tcW w:w="1436" w:type="dxa"/>
            <w:tcBorders>
              <w:top w:val="single" w:color="000000" w:sz="6" w:space="0"/>
              <w:left w:val="single" w:color="000000" w:sz="6" w:space="0"/>
              <w:bottom w:val="single" w:color="000000" w:sz="6" w:space="0"/>
              <w:right w:val="single" w:color="000000" w:sz="4" w:space="0"/>
            </w:tcBorders>
            <w:vAlign w:val="center"/>
          </w:tcPr>
          <w:p w14:paraId="486D4637">
            <w:pPr>
              <w:pStyle w:val="8"/>
              <w:keepLines w:val="0"/>
              <w:pageBreakBefore w:val="0"/>
              <w:widowControl/>
              <w:kinsoku/>
              <w:wordWrap/>
              <w:overflowPunct/>
              <w:topLinePunct w:val="0"/>
              <w:autoSpaceDE/>
              <w:autoSpaceDN/>
              <w:bidi w:val="0"/>
              <w:adjustRightInd/>
              <w:spacing w:before="0" w:after="0" w:line="360" w:lineRule="auto"/>
              <w:rPr>
                <w:rStyle w:val="7"/>
                <w:rFonts w:hint="eastAsia" w:ascii="宋体" w:hAnsi="宋体" w:eastAsia="宋体" w:cs="宋体"/>
                <w:bCs/>
                <w:color w:val="000000"/>
                <w:kern w:val="2"/>
                <w:sz w:val="24"/>
                <w:szCs w:val="24"/>
                <w:lang w:val="en-US" w:eastAsia="zh-CN"/>
              </w:rPr>
            </w:pPr>
            <w:r>
              <w:rPr>
                <w:rFonts w:hint="eastAsia" w:asciiTheme="minorEastAsia" w:hAnsiTheme="minorEastAsia" w:eastAsiaTheme="minorEastAsia" w:cstheme="minorEastAsia"/>
                <w:sz w:val="24"/>
                <w:szCs w:val="24"/>
              </w:rPr>
              <w:t>护士鞋</w:t>
            </w:r>
          </w:p>
        </w:tc>
        <w:tc>
          <w:tcPr>
            <w:tcW w:w="648" w:type="dxa"/>
            <w:tcBorders>
              <w:top w:val="single" w:color="000000" w:sz="6" w:space="0"/>
              <w:left w:val="single" w:color="000000" w:sz="4" w:space="0"/>
              <w:bottom w:val="single" w:color="000000" w:sz="6" w:space="0"/>
              <w:right w:val="single" w:color="000000" w:sz="4" w:space="0"/>
            </w:tcBorders>
            <w:vAlign w:val="center"/>
          </w:tcPr>
          <w:p w14:paraId="137285E0">
            <w:pPr>
              <w:pStyle w:val="8"/>
              <w:keepLines w:val="0"/>
              <w:pageBreakBefore w:val="0"/>
              <w:widowControl/>
              <w:kinsoku/>
              <w:wordWrap/>
              <w:overflowPunct/>
              <w:topLinePunct w:val="0"/>
              <w:autoSpaceDE/>
              <w:autoSpaceDN/>
              <w:bidi w:val="0"/>
              <w:adjustRightInd/>
              <w:spacing w:before="0" w:after="0" w:line="360" w:lineRule="auto"/>
              <w:rPr>
                <w:rStyle w:val="7"/>
                <w:rFonts w:hint="eastAsia" w:ascii="宋体" w:hAnsi="宋体" w:eastAsia="宋体" w:cs="宋体"/>
                <w:bCs/>
                <w:color w:val="000000"/>
                <w:kern w:val="2"/>
                <w:sz w:val="24"/>
                <w:szCs w:val="24"/>
                <w:lang w:val="en-US" w:eastAsia="zh-CN"/>
              </w:rPr>
            </w:pPr>
            <w:r>
              <w:rPr>
                <w:rStyle w:val="7"/>
                <w:rFonts w:hint="eastAsia" w:ascii="宋体" w:hAnsi="宋体" w:eastAsia="宋体" w:cs="宋体"/>
                <w:bCs/>
                <w:color w:val="000000"/>
                <w:kern w:val="2"/>
                <w:sz w:val="24"/>
                <w:szCs w:val="24"/>
                <w:lang w:val="en-US" w:eastAsia="zh-CN"/>
              </w:rPr>
              <w:t>双</w:t>
            </w:r>
          </w:p>
        </w:tc>
        <w:tc>
          <w:tcPr>
            <w:tcW w:w="1212" w:type="dxa"/>
            <w:tcBorders>
              <w:top w:val="single" w:color="000000" w:sz="6" w:space="0"/>
              <w:left w:val="single" w:color="000000" w:sz="4" w:space="0"/>
              <w:bottom w:val="single" w:color="000000" w:sz="6" w:space="0"/>
              <w:right w:val="single" w:color="000000" w:sz="4" w:space="0"/>
            </w:tcBorders>
            <w:vAlign w:val="center"/>
          </w:tcPr>
          <w:p w14:paraId="6544ED88">
            <w:pPr>
              <w:pStyle w:val="8"/>
              <w:keepLines w:val="0"/>
              <w:pageBreakBefore w:val="0"/>
              <w:widowControl/>
              <w:kinsoku/>
              <w:wordWrap/>
              <w:overflowPunct/>
              <w:topLinePunct w:val="0"/>
              <w:autoSpaceDE/>
              <w:autoSpaceDN/>
              <w:bidi w:val="0"/>
              <w:adjustRightInd/>
              <w:spacing w:before="0" w:after="0" w:line="360" w:lineRule="auto"/>
              <w:rPr>
                <w:rStyle w:val="7"/>
                <w:rFonts w:hint="default" w:ascii="宋体" w:hAnsi="宋体" w:eastAsia="宋体" w:cs="宋体"/>
                <w:bCs/>
                <w:color w:val="000000"/>
                <w:kern w:val="2"/>
                <w:sz w:val="24"/>
                <w:szCs w:val="24"/>
                <w:lang w:val="en-US" w:eastAsia="zh-CN"/>
              </w:rPr>
            </w:pPr>
            <w:r>
              <w:rPr>
                <w:rStyle w:val="7"/>
                <w:rFonts w:hint="eastAsia" w:ascii="宋体" w:hAnsi="宋体" w:eastAsia="宋体" w:cs="宋体"/>
                <w:bCs/>
                <w:color w:val="000000"/>
                <w:kern w:val="2"/>
                <w:sz w:val="24"/>
                <w:szCs w:val="24"/>
                <w:lang w:val="en-US" w:eastAsia="zh-CN"/>
              </w:rPr>
              <w:t>40</w:t>
            </w:r>
            <w:bookmarkStart w:id="0" w:name="_GoBack"/>
            <w:bookmarkEnd w:id="0"/>
            <w:r>
              <w:rPr>
                <w:rStyle w:val="7"/>
                <w:rFonts w:hint="eastAsia" w:ascii="宋体" w:hAnsi="宋体" w:eastAsia="宋体" w:cs="宋体"/>
                <w:bCs/>
                <w:color w:val="000000"/>
                <w:kern w:val="2"/>
                <w:sz w:val="24"/>
                <w:szCs w:val="24"/>
                <w:lang w:val="en-US" w:eastAsia="zh-CN"/>
              </w:rPr>
              <w:t>0</w:t>
            </w:r>
          </w:p>
        </w:tc>
        <w:tc>
          <w:tcPr>
            <w:tcW w:w="2736" w:type="dxa"/>
            <w:tcBorders>
              <w:top w:val="single" w:color="000000" w:sz="6" w:space="0"/>
              <w:left w:val="single" w:color="000000" w:sz="6" w:space="0"/>
              <w:bottom w:val="single" w:color="000000" w:sz="6" w:space="0"/>
              <w:right w:val="single" w:color="000000" w:sz="6" w:space="0"/>
            </w:tcBorders>
            <w:vAlign w:val="center"/>
          </w:tcPr>
          <w:p w14:paraId="61EE886D">
            <w:pPr>
              <w:pStyle w:val="8"/>
              <w:keepLines w:val="0"/>
              <w:pageBreakBefore w:val="0"/>
              <w:widowControl/>
              <w:kinsoku/>
              <w:wordWrap/>
              <w:overflowPunct/>
              <w:topLinePunct w:val="0"/>
              <w:autoSpaceDE/>
              <w:autoSpaceDN/>
              <w:bidi w:val="0"/>
              <w:adjustRightInd/>
              <w:spacing w:before="0" w:after="0" w:line="360" w:lineRule="auto"/>
              <w:jc w:val="left"/>
              <w:rPr>
                <w:rStyle w:val="7"/>
                <w:rFonts w:hint="eastAsia" w:ascii="宋体" w:hAnsi="宋体" w:eastAsia="宋体" w:cs="宋体"/>
                <w:bCs/>
                <w:color w:val="000000"/>
                <w:kern w:val="2"/>
                <w:sz w:val="24"/>
                <w:szCs w:val="24"/>
                <w:lang w:val="en-US" w:eastAsia="zh-CN"/>
              </w:rPr>
            </w:pPr>
            <w:r>
              <w:rPr>
                <w:rStyle w:val="7"/>
                <w:rFonts w:hint="eastAsia" w:ascii="宋体" w:hAnsi="宋体" w:eastAsia="宋体" w:cs="宋体"/>
                <w:bCs/>
                <w:color w:val="000000"/>
                <w:kern w:val="2"/>
                <w:sz w:val="24"/>
                <w:szCs w:val="24"/>
                <w:lang w:val="en-US" w:eastAsia="zh-CN"/>
              </w:rPr>
              <w:t>大写：</w:t>
            </w:r>
            <w:r>
              <w:rPr>
                <w:rFonts w:hint="eastAsia" w:asciiTheme="minorEastAsia" w:hAnsiTheme="minorEastAsia" w:eastAsiaTheme="minorEastAsia" w:cstheme="minorEastAsia"/>
                <w:sz w:val="24"/>
                <w:szCs w:val="24"/>
              </w:rPr>
              <w:t>元整</w:t>
            </w:r>
          </w:p>
          <w:p w14:paraId="4D2192FF">
            <w:pPr>
              <w:pStyle w:val="8"/>
              <w:keepLines w:val="0"/>
              <w:pageBreakBefore w:val="0"/>
              <w:widowControl/>
              <w:kinsoku/>
              <w:wordWrap/>
              <w:overflowPunct/>
              <w:topLinePunct w:val="0"/>
              <w:autoSpaceDE/>
              <w:autoSpaceDN/>
              <w:bidi w:val="0"/>
              <w:adjustRightInd/>
              <w:spacing w:before="0" w:after="0" w:line="360" w:lineRule="auto"/>
              <w:jc w:val="left"/>
              <w:rPr>
                <w:rStyle w:val="7"/>
                <w:rFonts w:hint="eastAsia" w:ascii="宋体" w:hAnsi="宋体" w:eastAsia="宋体" w:cs="宋体"/>
                <w:bCs/>
                <w:color w:val="000000"/>
                <w:kern w:val="2"/>
                <w:sz w:val="24"/>
                <w:szCs w:val="24"/>
                <w:lang w:val="en-US" w:eastAsia="zh-CN"/>
              </w:rPr>
            </w:pPr>
            <w:r>
              <w:rPr>
                <w:rStyle w:val="7"/>
                <w:rFonts w:hint="eastAsia" w:ascii="宋体" w:hAnsi="宋体" w:eastAsia="宋体" w:cs="宋体"/>
                <w:bCs/>
                <w:color w:val="000000"/>
                <w:kern w:val="2"/>
                <w:sz w:val="24"/>
                <w:szCs w:val="24"/>
                <w:lang w:val="en-US" w:eastAsia="zh-CN"/>
              </w:rPr>
              <w:t>小写：¥.00</w:t>
            </w:r>
          </w:p>
        </w:tc>
        <w:tc>
          <w:tcPr>
            <w:tcW w:w="780" w:type="dxa"/>
            <w:tcBorders>
              <w:top w:val="single" w:color="000000" w:sz="6" w:space="0"/>
              <w:left w:val="single" w:color="000000" w:sz="6" w:space="0"/>
              <w:bottom w:val="single" w:color="000000" w:sz="6" w:space="0"/>
              <w:right w:val="single" w:color="000000" w:sz="4" w:space="0"/>
            </w:tcBorders>
            <w:vAlign w:val="center"/>
          </w:tcPr>
          <w:p w14:paraId="32583EB9">
            <w:pPr>
              <w:keepLines w:val="0"/>
              <w:pageBreakBefore w:val="0"/>
              <w:widowControl/>
              <w:numPr>
                <w:ilvl w:val="0"/>
                <w:numId w:val="0"/>
              </w:numPr>
              <w:kinsoku/>
              <w:wordWrap/>
              <w:overflowPunct/>
              <w:topLinePunct w:val="0"/>
              <w:autoSpaceDE/>
              <w:autoSpaceDN/>
              <w:bidi w:val="0"/>
              <w:adjustRightInd/>
              <w:snapToGrid w:val="0"/>
              <w:spacing w:line="360" w:lineRule="auto"/>
              <w:jc w:val="left"/>
              <w:rPr>
                <w:rStyle w:val="7"/>
                <w:rFonts w:hint="eastAsia" w:ascii="宋体" w:hAnsi="宋体" w:eastAsia="宋体" w:cs="宋体"/>
                <w:bCs/>
                <w:color w:val="000000"/>
                <w:sz w:val="24"/>
                <w:szCs w:val="24"/>
                <w:lang w:val="en-US" w:eastAsia="zh-CN"/>
              </w:rPr>
            </w:pPr>
          </w:p>
        </w:tc>
        <w:tc>
          <w:tcPr>
            <w:tcW w:w="2352" w:type="dxa"/>
            <w:tcBorders>
              <w:top w:val="single" w:color="000000" w:sz="6" w:space="0"/>
              <w:left w:val="single" w:color="000000" w:sz="4" w:space="0"/>
              <w:bottom w:val="single" w:color="000000" w:sz="6" w:space="0"/>
              <w:right w:val="double" w:color="000000" w:sz="4" w:space="0"/>
            </w:tcBorders>
            <w:vAlign w:val="center"/>
          </w:tcPr>
          <w:p w14:paraId="2C7450D4">
            <w:pPr>
              <w:keepLines w:val="0"/>
              <w:pageBreakBefore w:val="0"/>
              <w:widowControl/>
              <w:numPr>
                <w:ilvl w:val="0"/>
                <w:numId w:val="1"/>
              </w:numPr>
              <w:kinsoku/>
              <w:wordWrap/>
              <w:overflowPunct/>
              <w:topLinePunct w:val="0"/>
              <w:autoSpaceDE/>
              <w:autoSpaceDN/>
              <w:bidi w:val="0"/>
              <w:adjustRightInd/>
              <w:snapToGrid w:val="0"/>
              <w:spacing w:line="360" w:lineRule="auto"/>
              <w:jc w:val="left"/>
              <w:rPr>
                <w:rStyle w:val="7"/>
                <w:rFonts w:hint="eastAsia" w:ascii="宋体" w:hAnsi="宋体" w:eastAsia="宋体" w:cs="宋体"/>
                <w:bCs/>
                <w:color w:val="000000"/>
                <w:sz w:val="24"/>
                <w:szCs w:val="24"/>
                <w:lang w:val="en-US" w:eastAsia="zh-CN"/>
              </w:rPr>
            </w:pPr>
            <w:r>
              <w:rPr>
                <w:rStyle w:val="7"/>
                <w:rFonts w:hint="eastAsia" w:ascii="宋体" w:hAnsi="宋体" w:eastAsia="宋体" w:cs="宋体"/>
                <w:bCs/>
                <w:color w:val="000000"/>
                <w:sz w:val="24"/>
                <w:szCs w:val="24"/>
                <w:lang w:val="en-US" w:eastAsia="zh-CN"/>
              </w:rPr>
              <w:t>女护士鞋：白色，跟高3.5-4.5cm，白色牛皮革，厚度：≥1.12mm。</w:t>
            </w:r>
          </w:p>
          <w:p w14:paraId="38A9DEBA">
            <w:pPr>
              <w:keepLines w:val="0"/>
              <w:pageBreakBefore w:val="0"/>
              <w:widowControl/>
              <w:numPr>
                <w:ilvl w:val="0"/>
                <w:numId w:val="1"/>
              </w:numPr>
              <w:kinsoku/>
              <w:wordWrap/>
              <w:overflowPunct/>
              <w:topLinePunct w:val="0"/>
              <w:autoSpaceDE/>
              <w:autoSpaceDN/>
              <w:bidi w:val="0"/>
              <w:adjustRightInd/>
              <w:snapToGrid w:val="0"/>
              <w:spacing w:line="360" w:lineRule="auto"/>
              <w:jc w:val="left"/>
              <w:rPr>
                <w:rStyle w:val="7"/>
                <w:rFonts w:hint="eastAsia" w:ascii="宋体" w:hAnsi="宋体" w:eastAsia="宋体" w:cs="宋体"/>
                <w:bCs/>
                <w:color w:val="000000"/>
                <w:sz w:val="24"/>
                <w:szCs w:val="24"/>
                <w:lang w:val="en-US" w:eastAsia="zh-CN"/>
              </w:rPr>
            </w:pPr>
            <w:r>
              <w:rPr>
                <w:rStyle w:val="7"/>
                <w:rFonts w:hint="eastAsia" w:ascii="宋体" w:hAnsi="宋体" w:eastAsia="宋体" w:cs="宋体"/>
                <w:bCs/>
                <w:color w:val="000000"/>
                <w:sz w:val="24"/>
                <w:szCs w:val="24"/>
                <w:lang w:val="en-US" w:eastAsia="zh-CN"/>
              </w:rPr>
              <w:t>男护士鞋：白色，跟高3.5-4.5cm，白色透气超纤，环保无毒，耐黄4.0以上。</w:t>
            </w:r>
          </w:p>
        </w:tc>
      </w:tr>
    </w:tbl>
    <w:p w14:paraId="3A5D790A">
      <w:pPr>
        <w:pStyle w:val="9"/>
        <w:numPr>
          <w:ilvl w:val="-1"/>
          <w:numId w:val="0"/>
        </w:numPr>
        <w:spacing w:line="360" w:lineRule="auto"/>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货物内容</w:t>
      </w:r>
    </w:p>
    <w:p w14:paraId="70556EF2">
      <w:pPr>
        <w:pStyle w:val="9"/>
        <w:numPr>
          <w:ilvl w:val="-1"/>
          <w:numId w:val="0"/>
        </w:numPr>
        <w:spacing w:line="360" w:lineRule="auto"/>
        <w:ind w:left="0" w:firstLine="0" w:firstLineChars="0"/>
        <w:rPr>
          <w:rFonts w:hint="eastAsia" w:asciiTheme="minorEastAsia" w:hAnsiTheme="minorEastAsia" w:eastAsiaTheme="minorEastAsia" w:cstheme="minorEastAsia"/>
          <w:sz w:val="24"/>
          <w:szCs w:val="24"/>
        </w:rPr>
      </w:pPr>
    </w:p>
    <w:p w14:paraId="2EC52D1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合同总额包括乙方设计、运输保保险、质保期服务、各项税费及合同实施过程中不可预见费用等。</w:t>
      </w:r>
    </w:p>
    <w:p w14:paraId="7A32C8FB">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w:t>
      </w:r>
    </w:p>
    <w:p w14:paraId="19ACA6AC">
      <w:pPr>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jc w:val="left"/>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lang w:eastAsia="zh-CN"/>
        </w:rPr>
        <w:t>本</w:t>
      </w:r>
      <w:r>
        <w:rPr>
          <w:rStyle w:val="7"/>
          <w:rFonts w:hint="eastAsia" w:ascii="宋体" w:hAnsi="宋体" w:eastAsia="宋体" w:cs="宋体"/>
          <w:color w:val="000000"/>
          <w:sz w:val="24"/>
          <w:szCs w:val="24"/>
        </w:rPr>
        <w:t>项目合同总含税价款上限为：</w:t>
      </w:r>
      <w:r>
        <w:rPr>
          <w:rStyle w:val="7"/>
          <w:rFonts w:hint="eastAsia" w:ascii="宋体" w:hAnsi="宋体" w:eastAsia="宋体" w:cs="宋体"/>
          <w:b/>
          <w:bCs/>
          <w:color w:val="000000"/>
          <w:sz w:val="24"/>
          <w:szCs w:val="24"/>
        </w:rPr>
        <w:t>大写：</w:t>
      </w:r>
      <w:r>
        <w:rPr>
          <w:rStyle w:val="7"/>
          <w:rFonts w:hint="eastAsia" w:ascii="宋体" w:hAnsi="宋体" w:eastAsia="宋体" w:cs="宋体"/>
          <w:b/>
          <w:bCs/>
          <w:color w:val="000000"/>
          <w:sz w:val="24"/>
          <w:szCs w:val="24"/>
          <w:u w:val="single"/>
        </w:rPr>
        <w:t>人民币</w:t>
      </w:r>
      <w:r>
        <w:rPr>
          <w:rFonts w:hint="eastAsia" w:asciiTheme="minorEastAsia" w:hAnsiTheme="minorEastAsia" w:eastAsiaTheme="minorEastAsia" w:cstheme="minorEastAsia"/>
          <w:b/>
          <w:bCs/>
          <w:sz w:val="24"/>
          <w:szCs w:val="24"/>
          <w:u w:val="single"/>
        </w:rPr>
        <w:t>元整</w:t>
      </w:r>
      <w:r>
        <w:rPr>
          <w:rFonts w:hint="eastAsia" w:asciiTheme="minorEastAsia" w:hAnsiTheme="minorEastAsia" w:cstheme="minorEastAsia"/>
          <w:b/>
          <w:bCs/>
          <w:sz w:val="24"/>
          <w:szCs w:val="24"/>
          <w:u w:val="single"/>
          <w:lang w:val="en-US" w:eastAsia="zh-CN"/>
        </w:rPr>
        <w:t xml:space="preserve"> </w:t>
      </w:r>
      <w:r>
        <w:rPr>
          <w:rFonts w:hint="eastAsia" w:asciiTheme="minorEastAsia" w:hAnsiTheme="minorEastAsia" w:cstheme="minorEastAsia"/>
          <w:b/>
          <w:bCs/>
          <w:sz w:val="24"/>
          <w:szCs w:val="24"/>
          <w:u w:val="none"/>
          <w:lang w:eastAsia="zh-CN"/>
        </w:rPr>
        <w:t>（</w:t>
      </w:r>
      <w:r>
        <w:rPr>
          <w:rStyle w:val="7"/>
          <w:rFonts w:hint="eastAsia" w:ascii="宋体" w:hAnsi="宋体" w:eastAsia="宋体" w:cs="宋体"/>
          <w:b/>
          <w:bCs/>
          <w:color w:val="000000"/>
          <w:sz w:val="24"/>
          <w:szCs w:val="24"/>
        </w:rPr>
        <w:t>小写：¥.00）</w:t>
      </w:r>
      <w:r>
        <w:rPr>
          <w:rStyle w:val="7"/>
          <w:rFonts w:hint="eastAsia" w:ascii="宋体" w:hAnsi="宋体" w:eastAsia="宋体" w:cs="宋体"/>
          <w:b/>
          <w:bCs/>
          <w:color w:val="000000"/>
          <w:sz w:val="24"/>
          <w:szCs w:val="24"/>
          <w:lang w:eastAsia="zh-CN"/>
        </w:rPr>
        <w:t>。</w:t>
      </w:r>
      <w:r>
        <w:rPr>
          <w:rStyle w:val="7"/>
          <w:rFonts w:hint="eastAsia" w:ascii="宋体" w:hAnsi="宋体" w:eastAsia="宋体" w:cs="宋体"/>
          <w:color w:val="000000"/>
          <w:sz w:val="24"/>
          <w:szCs w:val="24"/>
        </w:rPr>
        <w:t>本合同执行期间单价保持不变，按实际采购数量结算，最终结算金额不超过合同总价上限</w:t>
      </w:r>
      <w:r>
        <w:rPr>
          <w:rStyle w:val="7"/>
          <w:rFonts w:hint="eastAsia" w:ascii="宋体" w:hAnsi="宋体" w:eastAsia="宋体" w:cs="宋体"/>
          <w:b/>
          <w:bCs/>
          <w:color w:val="000000"/>
          <w:sz w:val="24"/>
          <w:szCs w:val="24"/>
        </w:rPr>
        <w:t>（¥.00）</w:t>
      </w:r>
      <w:r>
        <w:rPr>
          <w:rStyle w:val="7"/>
          <w:rFonts w:hint="eastAsia" w:ascii="宋体" w:hAnsi="宋体" w:eastAsia="宋体" w:cs="宋体"/>
          <w:color w:val="000000"/>
          <w:sz w:val="24"/>
          <w:szCs w:val="24"/>
        </w:rPr>
        <w:t>。</w:t>
      </w:r>
    </w:p>
    <w:p w14:paraId="207939D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三、货品要求</w:t>
      </w:r>
    </w:p>
    <w:p w14:paraId="08CE86DD">
      <w:pPr>
        <w:numPr>
          <w:ilvl w:val="0"/>
          <w:numId w:val="3"/>
        </w:num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货物为原制造商制造的全新产品，无侵权行为、表面无划损、无任何缺陷隐患，在中国境内可依常规安全合法使用。</w:t>
      </w:r>
    </w:p>
    <w:p w14:paraId="784A5643">
      <w:pPr>
        <w:numPr>
          <w:ilvl w:val="0"/>
          <w:numId w:val="3"/>
        </w:num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交付验收标准依次序对照适用标为①符合中华人民共和国国家安全质量标准、环保标准或行业标准②符合招标文件和响应承诺中甲方认可的合理最佳配置、参数及各项要求：③货物来源国家标准。</w:t>
      </w:r>
    </w:p>
    <w:p w14:paraId="64313CA7">
      <w:pPr>
        <w:numPr>
          <w:ilvl w:val="0"/>
          <w:numId w:val="3"/>
        </w:num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进口产品必具备原产地证明和商检局的检验证明及合法进货道证明。</w:t>
      </w:r>
    </w:p>
    <w:p w14:paraId="5B2D01E0">
      <w:pPr>
        <w:numPr>
          <w:ilvl w:val="0"/>
          <w:numId w:val="3"/>
        </w:num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货物为原厂商未启封全新包装，具出厂合格证，序列号、包装号与出厂批号一致，并可</w:t>
      </w:r>
      <w:r>
        <w:rPr>
          <w:rFonts w:hint="eastAsia" w:asciiTheme="minorEastAsia" w:hAnsiTheme="minorEastAsia" w:cstheme="minorEastAsia"/>
          <w:sz w:val="24"/>
          <w:szCs w:val="24"/>
          <w:lang w:eastAsia="zh-CN"/>
        </w:rPr>
        <w:t>搜索</w:t>
      </w:r>
      <w:r>
        <w:rPr>
          <w:rFonts w:hint="eastAsia" w:asciiTheme="minorEastAsia" w:hAnsiTheme="minorEastAsia" w:eastAsiaTheme="minorEastAsia" w:cstheme="minorEastAsia"/>
          <w:sz w:val="24"/>
          <w:szCs w:val="24"/>
        </w:rPr>
        <w:t>查阅。</w:t>
      </w:r>
    </w:p>
    <w:p w14:paraId="1AF7DE1C">
      <w:pPr>
        <w:numPr>
          <w:ilvl w:val="0"/>
          <w:numId w:val="3"/>
        </w:num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女装护士鞋面料为牛皮，男装护士鞋面料为</w:t>
      </w:r>
      <w:r>
        <w:rPr>
          <w:rFonts w:hint="eastAsia" w:asciiTheme="minorEastAsia" w:hAnsiTheme="minorEastAsia" w:eastAsiaTheme="minorEastAsia" w:cstheme="minorEastAsia"/>
          <w:sz w:val="24"/>
          <w:szCs w:val="24"/>
          <w:lang w:eastAsia="zh-CN"/>
        </w:rPr>
        <w:t>超纤</w:t>
      </w:r>
      <w:r>
        <w:rPr>
          <w:rFonts w:hint="eastAsia" w:asciiTheme="minorEastAsia" w:hAnsiTheme="minorEastAsia" w:cstheme="minorEastAsia"/>
          <w:sz w:val="24"/>
          <w:szCs w:val="24"/>
          <w:lang w:val="en-US" w:eastAsia="zh-CN"/>
        </w:rPr>
        <w:t>或牛皮</w:t>
      </w:r>
      <w:r>
        <w:rPr>
          <w:rFonts w:hint="eastAsia" w:asciiTheme="minorEastAsia" w:hAnsiTheme="minorEastAsia" w:eastAsiaTheme="minorEastAsia" w:cstheme="minorEastAsia"/>
          <w:sz w:val="24"/>
          <w:szCs w:val="24"/>
        </w:rPr>
        <w:t>。</w:t>
      </w:r>
    </w:p>
    <w:p w14:paraId="34F0508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四、交货期、交货方式及交货地点</w:t>
      </w:r>
    </w:p>
    <w:p w14:paraId="68354252">
      <w:pPr>
        <w:numPr>
          <w:ilvl w:val="0"/>
          <w:numId w:val="4"/>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交货期：</w:t>
      </w:r>
      <w:r>
        <w:rPr>
          <w:rFonts w:hint="eastAsia" w:asciiTheme="minorEastAsia" w:hAnsiTheme="minorEastAsia" w:cstheme="minorEastAsia"/>
          <w:sz w:val="24"/>
          <w:szCs w:val="24"/>
          <w:lang w:val="en-US" w:eastAsia="zh-CN"/>
        </w:rPr>
        <w:t>2026年5月8日前</w:t>
      </w:r>
    </w:p>
    <w:p w14:paraId="1FA0783E">
      <w:pPr>
        <w:numPr>
          <w:ilvl w:val="0"/>
          <w:numId w:val="4"/>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交货方式：现场验收</w:t>
      </w:r>
    </w:p>
    <w:p w14:paraId="76BA4F92">
      <w:pPr>
        <w:numPr>
          <w:ilvl w:val="0"/>
          <w:numId w:val="4"/>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交货地点：货物运至甲方所在地</w:t>
      </w:r>
    </w:p>
    <w:p w14:paraId="250DCEA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五、付款方式</w:t>
      </w:r>
    </w:p>
    <w:p w14:paraId="32C85C10">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甲方按下列程序付款：货到验收合格，收到乙方</w:t>
      </w:r>
      <w:r>
        <w:rPr>
          <w:rFonts w:hint="eastAsia" w:asciiTheme="minorEastAsia" w:hAnsiTheme="minorEastAsia" w:cstheme="minorEastAsia"/>
          <w:sz w:val="24"/>
          <w:szCs w:val="24"/>
          <w:lang w:val="en-US" w:eastAsia="zh-CN"/>
        </w:rPr>
        <w:t>开具以实际采购数量为最终结算金额的</w:t>
      </w:r>
      <w:r>
        <w:rPr>
          <w:rFonts w:hint="eastAsia" w:asciiTheme="minorEastAsia" w:hAnsiTheme="minorEastAsia" w:eastAsiaTheme="minorEastAsia" w:cstheme="minorEastAsia"/>
          <w:sz w:val="24"/>
          <w:szCs w:val="24"/>
        </w:rPr>
        <w:t>正式发票后，</w:t>
      </w:r>
      <w:r>
        <w:rPr>
          <w:rFonts w:hint="eastAsia" w:asciiTheme="minorEastAsia" w:hAnsiTheme="minorEastAsia" w:cstheme="minorEastAsia"/>
          <w:sz w:val="24"/>
          <w:szCs w:val="24"/>
          <w:lang w:val="en-US" w:eastAsia="zh-CN"/>
        </w:rPr>
        <w:t>60天</w:t>
      </w:r>
      <w:r>
        <w:rPr>
          <w:rFonts w:hint="eastAsia" w:asciiTheme="minorEastAsia" w:hAnsiTheme="minorEastAsia" w:eastAsiaTheme="minorEastAsia" w:cstheme="minorEastAsia"/>
          <w:sz w:val="24"/>
          <w:szCs w:val="24"/>
        </w:rPr>
        <w:t>内付清合同总金额</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乙方在验收合格十五个工作日内开具正规有效发票</w:t>
      </w:r>
      <w:r>
        <w:rPr>
          <w:rFonts w:hint="eastAsia" w:asciiTheme="minorEastAsia" w:hAnsiTheme="minorEastAsia" w:cstheme="minorEastAsia"/>
          <w:sz w:val="24"/>
          <w:szCs w:val="24"/>
          <w:lang w:eastAsia="zh-CN"/>
        </w:rPr>
        <w:t>。因甲方使用的是财政资金，按政府审批流程支付，若审批延迟则相应货款到账延迟，且不视为甲方违约。</w:t>
      </w:r>
    </w:p>
    <w:p w14:paraId="7324E5B2">
      <w:pPr>
        <w:keepLines w:val="0"/>
        <w:pageBreakBefore w:val="0"/>
        <w:widowControl/>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bCs w:val="0"/>
          <w:sz w:val="24"/>
          <w:szCs w:val="24"/>
        </w:rPr>
        <w:t>付款方式：银行转账入以下账户</w:t>
      </w:r>
    </w:p>
    <w:p w14:paraId="7E9A87DC">
      <w:pPr>
        <w:spacing w:line="360" w:lineRule="auto"/>
        <w:ind w:firstLine="480" w:firstLineChars="200"/>
        <w:rPr>
          <w:rFonts w:hint="eastAsia" w:asciiTheme="minorEastAsia" w:hAnsiTheme="minorEastAsia" w:cstheme="minorEastAsia"/>
          <w:b w:val="0"/>
          <w:sz w:val="24"/>
          <w:szCs w:val="24"/>
        </w:rPr>
      </w:pPr>
      <w:r>
        <w:rPr>
          <w:rFonts w:hint="eastAsia" w:asciiTheme="minorEastAsia" w:hAnsiTheme="minorEastAsia" w:cstheme="minorEastAsia"/>
          <w:b w:val="0"/>
          <w:sz w:val="24"/>
          <w:szCs w:val="24"/>
        </w:rPr>
        <w:t>开户名称：</w:t>
      </w:r>
    </w:p>
    <w:p w14:paraId="3FF255DB">
      <w:pPr>
        <w:spacing w:line="360" w:lineRule="auto"/>
        <w:ind w:firstLine="480" w:firstLineChars="200"/>
        <w:rPr>
          <w:rFonts w:hint="eastAsia" w:asciiTheme="minorEastAsia" w:hAnsiTheme="minorEastAsia" w:cstheme="minorEastAsia"/>
          <w:b w:val="0"/>
          <w:bCs w:val="0"/>
          <w:sz w:val="24"/>
          <w:szCs w:val="24"/>
        </w:rPr>
      </w:pPr>
      <w:r>
        <w:rPr>
          <w:rFonts w:hint="eastAsia" w:asciiTheme="minorEastAsia" w:hAnsiTheme="minorEastAsia" w:cstheme="minorEastAsia"/>
          <w:b w:val="0"/>
          <w:sz w:val="24"/>
          <w:szCs w:val="24"/>
        </w:rPr>
        <w:t>银行帐号：</w:t>
      </w:r>
    </w:p>
    <w:p w14:paraId="7E35C4A6">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b w:val="0"/>
          <w:bCs w:val="0"/>
          <w:sz w:val="24"/>
          <w:szCs w:val="24"/>
        </w:rPr>
        <w:t>开户行：</w:t>
      </w:r>
    </w:p>
    <w:p w14:paraId="182A3C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六、质保期及售后服务要求</w:t>
      </w:r>
    </w:p>
    <w:p w14:paraId="74D34EB9">
      <w:pPr>
        <w:numPr>
          <w:ilvl w:val="0"/>
          <w:numId w:val="5"/>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本合同的质量保证期期（简称“质保期”）为1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个月，</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个月内包换、包退1年内免费提供维修保养服务。</w:t>
      </w:r>
    </w:p>
    <w:p w14:paraId="0F4F81E8">
      <w:pPr>
        <w:numPr>
          <w:ilvl w:val="0"/>
          <w:numId w:val="5"/>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对甲方的服务通知，乙方在接到问题通知后应立即做出详细的处理方案并24小时内到达用户现场，按国家及行业标准进行及时处理。</w:t>
      </w:r>
    </w:p>
    <w:p w14:paraId="489263B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七、验收：</w:t>
      </w:r>
    </w:p>
    <w:p w14:paraId="27F433BA">
      <w:pPr>
        <w:numPr>
          <w:ilvl w:val="0"/>
          <w:numId w:val="6"/>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货物若有国家标准按照国家标准验收，若无国家标准按行业标准验收，为原制造商制造的全新产品，整机无污染，无侵权行为、表面无划损、无任何缺陷隐患，在中中国境内可依常规安全合法使用。</w:t>
      </w:r>
    </w:p>
    <w:p w14:paraId="6B5A1C9C">
      <w:pPr>
        <w:numPr>
          <w:ilvl w:val="0"/>
          <w:numId w:val="6"/>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货物为原厂商未启封全新包装，具出厂合格证，序列号、包装箱号与出厂批号一致，并可追索查阅。</w:t>
      </w:r>
    </w:p>
    <w:p w14:paraId="76F7A9CC">
      <w:pPr>
        <w:numPr>
          <w:ilvl w:val="0"/>
          <w:numId w:val="6"/>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甲方组成验收小组按国家有关规定、规范进行验收，必要时邀请相关的</w:t>
      </w:r>
      <w:r>
        <w:rPr>
          <w:rFonts w:hint="eastAsia" w:asciiTheme="minorEastAsia" w:hAnsiTheme="minorEastAsia" w:cstheme="minorEastAsia"/>
          <w:sz w:val="24"/>
          <w:szCs w:val="24"/>
          <w:lang w:val="en-US" w:eastAsia="zh-CN"/>
        </w:rPr>
        <w:t>专业</w:t>
      </w:r>
      <w:r>
        <w:rPr>
          <w:rFonts w:hint="eastAsia" w:asciiTheme="minorEastAsia" w:hAnsiTheme="minorEastAsia" w:eastAsiaTheme="minorEastAsia" w:cstheme="minorEastAsia"/>
          <w:sz w:val="24"/>
          <w:szCs w:val="24"/>
        </w:rPr>
        <w:t>机构与验收。因</w:t>
      </w:r>
      <w:r>
        <w:rPr>
          <w:rFonts w:hint="eastAsia" w:asciiTheme="minorEastAsia" w:hAnsiTheme="minorEastAsia" w:cstheme="minorEastAsia"/>
          <w:sz w:val="24"/>
          <w:szCs w:val="24"/>
          <w:lang w:val="en-US" w:eastAsia="zh-CN"/>
        </w:rPr>
        <w:t>货</w:t>
      </w:r>
      <w:r>
        <w:rPr>
          <w:rFonts w:hint="eastAsia" w:asciiTheme="minorEastAsia" w:hAnsiTheme="minorEastAsia" w:eastAsiaTheme="minorEastAsia" w:cstheme="minorEastAsia"/>
          <w:sz w:val="24"/>
          <w:szCs w:val="24"/>
        </w:rPr>
        <w:t>物质量问题发生争议时，由本地质量技术监督部门鉴定。货物符合质量技术标准的，鉴定费由甲方承担：不符合国家标准鉴定费由乙方承担。</w:t>
      </w:r>
    </w:p>
    <w:p w14:paraId="734E2929">
      <w:pPr>
        <w:numPr>
          <w:ilvl w:val="0"/>
          <w:numId w:val="6"/>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供应货物（护士鞋）按照招投标样品提供，鞋垫为不含任何异味，舒适产品。</w:t>
      </w:r>
    </w:p>
    <w:p w14:paraId="648A32F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八、违约责任与赔偿损失</w:t>
      </w:r>
    </w:p>
    <w:p w14:paraId="77E950B4">
      <w:pPr>
        <w:numPr>
          <w:ilvl w:val="0"/>
          <w:numId w:val="7"/>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乙方交付的货物提供的服务不符合招标文件或本合同规定的，甲方有权拒收，并且乙方须向甲方支付本合同总价5％的违约金。</w:t>
      </w:r>
    </w:p>
    <w:p w14:paraId="0BF60129">
      <w:pPr>
        <w:numPr>
          <w:ilvl w:val="0"/>
          <w:numId w:val="7"/>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乙方未能按本合同规定的交货时间交付货物的，从逾期之日起每日按本合同总价3％的数额向甲方支付违的金：逾期半个月以上的，甲方有权终止合同，由此造成的甲方经济损失由乙方承担。</w:t>
      </w:r>
    </w:p>
    <w:p w14:paraId="3D4D30CB">
      <w:pPr>
        <w:numPr>
          <w:ilvl w:val="0"/>
          <w:numId w:val="7"/>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其它违约责任按《中华人民共和国</w:t>
      </w:r>
      <w:r>
        <w:rPr>
          <w:rFonts w:hint="eastAsia" w:asciiTheme="minorEastAsia" w:hAnsiTheme="minorEastAsia" w:cstheme="minorEastAsia"/>
          <w:sz w:val="24"/>
          <w:szCs w:val="24"/>
          <w:lang w:val="en-US" w:eastAsia="zh-CN"/>
        </w:rPr>
        <w:t>民法典</w:t>
      </w:r>
      <w:r>
        <w:rPr>
          <w:rFonts w:hint="eastAsia" w:asciiTheme="minorEastAsia" w:hAnsiTheme="minorEastAsia" w:eastAsiaTheme="minorEastAsia" w:cstheme="minorEastAsia"/>
          <w:sz w:val="24"/>
          <w:szCs w:val="24"/>
        </w:rPr>
        <w:t>》处理。</w:t>
      </w:r>
    </w:p>
    <w:p w14:paraId="44C3F8C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九、争端的解决</w:t>
      </w:r>
    </w:p>
    <w:p w14:paraId="0D6E6D57">
      <w:pPr>
        <w:numPr>
          <w:ilvl w:val="0"/>
          <w:numId w:val="8"/>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合同执行过程中发生的任何争议，如双方不能通过友好协商解决，应向甲方所在地的人民法院提起诉讼。</w:t>
      </w:r>
    </w:p>
    <w:p w14:paraId="25D3B80C">
      <w:pPr>
        <w:numPr>
          <w:ilvl w:val="0"/>
          <w:numId w:val="8"/>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在法院审理期间，除提交法院审理的事项外，合同其它事项和条款仍应继续履行。</w:t>
      </w:r>
    </w:p>
    <w:p w14:paraId="5CC9F9F3">
      <w:pPr>
        <w:numPr>
          <w:ilvl w:val="0"/>
          <w:numId w:val="8"/>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本合同按照中华人民共和国的法律进行解释。</w:t>
      </w:r>
    </w:p>
    <w:p w14:paraId="7784854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十、不可抗力</w:t>
      </w:r>
    </w:p>
    <w:p w14:paraId="0D7888D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任何一方由于不可抗力原因（指不能预见，不能避免并不能克服的客观情况，如地震、台风、洪水、战争、国家宏观政策发生重大变化等）不能履行合同时应在不可抗力事件结束后1日</w:t>
      </w:r>
      <w:r>
        <w:rPr>
          <w:rFonts w:hint="eastAsia" w:asciiTheme="minorEastAsia" w:hAnsiTheme="minorEastAsia" w:cstheme="minorEastAsia"/>
          <w:sz w:val="24"/>
          <w:szCs w:val="24"/>
          <w:lang w:eastAsia="zh-CN"/>
        </w:rPr>
        <w:t>内</w:t>
      </w:r>
      <w:r>
        <w:rPr>
          <w:rFonts w:hint="eastAsia" w:asciiTheme="minorEastAsia" w:hAnsiTheme="minorEastAsia" w:eastAsiaTheme="minorEastAsia" w:cstheme="minorEastAsia"/>
          <w:sz w:val="24"/>
          <w:szCs w:val="24"/>
        </w:rPr>
        <w:t>向对方通报，以减轻可能给对方造成的损失在取得有关机构的不可抗力证明或双方谅解确认后，允许延期履行或修订合同，并根据情况可部分或全部免于承担违约责任。</w:t>
      </w:r>
    </w:p>
    <w:p w14:paraId="6D3213A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十一、税和关税</w:t>
      </w:r>
    </w:p>
    <w:p w14:paraId="24ECC4E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在中国境内、外发生的与本合同执行有关的产品一切税费均由乙方承担。</w:t>
      </w:r>
    </w:p>
    <w:p w14:paraId="79022F1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十二、其它</w:t>
      </w:r>
    </w:p>
    <w:p w14:paraId="643A1493">
      <w:pPr>
        <w:numPr>
          <w:ilvl w:val="0"/>
          <w:numId w:val="9"/>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本合同所有附件、招标文件、投标文件、中标</w:t>
      </w:r>
      <w:r>
        <w:rPr>
          <w:rFonts w:hint="eastAsia" w:asciiTheme="minorEastAsia" w:hAnsiTheme="minorEastAsia" w:cstheme="minorEastAsia"/>
          <w:sz w:val="24"/>
          <w:szCs w:val="24"/>
          <w:lang w:eastAsia="zh-CN"/>
        </w:rPr>
        <w:t>通知书</w:t>
      </w:r>
      <w:r>
        <w:rPr>
          <w:rFonts w:hint="eastAsia" w:asciiTheme="minorEastAsia" w:hAnsiTheme="minorEastAsia" w:eastAsiaTheme="minorEastAsia" w:cstheme="minorEastAsia"/>
          <w:sz w:val="24"/>
          <w:szCs w:val="24"/>
        </w:rPr>
        <w:t>均为合同的有效组成部分，与本合同具有同等法律效力。</w:t>
      </w:r>
    </w:p>
    <w:p w14:paraId="0A2BAC87">
      <w:pPr>
        <w:numPr>
          <w:ilvl w:val="0"/>
          <w:numId w:val="9"/>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在执行本合同的过程中，所有经双方签署确认的文件（包括会议纪要、补充协议、往来信函）即成为本合同的有效组成部分。</w:t>
      </w:r>
    </w:p>
    <w:p w14:paraId="3C21803D">
      <w:pPr>
        <w:numPr>
          <w:ilvl w:val="0"/>
          <w:numId w:val="9"/>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如一方地址、电话、传真号码有变更，应在变更当日内书面通知对方，否则，应承担相应责任。</w:t>
      </w:r>
    </w:p>
    <w:p w14:paraId="0B3A8349">
      <w:pPr>
        <w:numPr>
          <w:ilvl w:val="0"/>
          <w:numId w:val="9"/>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除甲方事先书面同意外，乙方不得部分</w:t>
      </w:r>
      <w:r>
        <w:rPr>
          <w:rFonts w:hint="eastAsia" w:asciiTheme="minorEastAsia" w:hAnsiTheme="minorEastAsia" w:cstheme="minorEastAsia"/>
          <w:sz w:val="24"/>
          <w:szCs w:val="24"/>
          <w:lang w:eastAsia="zh-CN"/>
        </w:rPr>
        <w:t>或</w:t>
      </w:r>
      <w:r>
        <w:rPr>
          <w:rFonts w:hint="eastAsia" w:asciiTheme="minorEastAsia" w:hAnsiTheme="minorEastAsia" w:eastAsiaTheme="minorEastAsia" w:cstheme="minorEastAsia"/>
          <w:sz w:val="24"/>
          <w:szCs w:val="24"/>
        </w:rPr>
        <w:t>全部转让其应履行的合同项下的义务。</w:t>
      </w:r>
    </w:p>
    <w:p w14:paraId="2068E21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十三、合同生效</w:t>
      </w:r>
    </w:p>
    <w:p w14:paraId="5A79D235">
      <w:pPr>
        <w:numPr>
          <w:ilvl w:val="0"/>
          <w:numId w:val="1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lang w:val="en-US" w:eastAsia="zh-CN"/>
        </w:rPr>
        <w:t>本合同自甲乙双方法定代表人或其授权代表人签字并盖章之日起生效。</w:t>
      </w:r>
      <w:r>
        <w:rPr>
          <w:rFonts w:hint="eastAsia" w:asciiTheme="minorEastAsia" w:hAnsiTheme="minorEastAsia" w:cstheme="minorEastAsia"/>
          <w:sz w:val="24"/>
          <w:szCs w:val="24"/>
          <w:lang w:eastAsia="zh-CN"/>
        </w:rPr>
        <w:t>。</w:t>
      </w:r>
    </w:p>
    <w:p w14:paraId="371BA868">
      <w:pPr>
        <w:numPr>
          <w:ilvl w:val="0"/>
          <w:numId w:val="1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合同一式</w:t>
      </w:r>
      <w:r>
        <w:rPr>
          <w:rFonts w:hint="eastAsia" w:asciiTheme="minorEastAsia" w:hAnsiTheme="minorEastAsia" w:cstheme="minorEastAsia"/>
          <w:sz w:val="24"/>
          <w:szCs w:val="24"/>
          <w:lang w:eastAsia="zh-CN"/>
        </w:rPr>
        <w:t>三</w:t>
      </w:r>
      <w:r>
        <w:rPr>
          <w:rFonts w:hint="eastAsia" w:asciiTheme="minorEastAsia" w:hAnsiTheme="minorEastAsia" w:eastAsiaTheme="minorEastAsia" w:cstheme="minorEastAsia"/>
          <w:sz w:val="24"/>
          <w:szCs w:val="24"/>
        </w:rPr>
        <w:t>份，甲方</w:t>
      </w:r>
      <w:r>
        <w:rPr>
          <w:rFonts w:hint="eastAsia" w:asciiTheme="minorEastAsia" w:hAnsiTheme="minorEastAsia" w:cstheme="minorEastAsia"/>
          <w:sz w:val="24"/>
          <w:szCs w:val="24"/>
          <w:lang w:eastAsia="zh-CN"/>
        </w:rPr>
        <w:t>二</w:t>
      </w:r>
      <w:r>
        <w:rPr>
          <w:rFonts w:hint="eastAsia" w:asciiTheme="minorEastAsia" w:hAnsiTheme="minorEastAsia" w:eastAsiaTheme="minorEastAsia" w:cstheme="minorEastAsia"/>
          <w:sz w:val="24"/>
          <w:szCs w:val="24"/>
        </w:rPr>
        <w:t>份、乙方一份，具有同等法律效应。</w:t>
      </w:r>
    </w:p>
    <w:p w14:paraId="1F9EF61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tbl>
      <w:tblPr>
        <w:tblStyle w:val="5"/>
        <w:tblpPr w:leftFromText="180" w:rightFromText="180" w:vertAnchor="text" w:horzAnchor="page" w:tblpX="1477" w:tblpY="394"/>
        <w:tblOverlap w:val="never"/>
        <w:tblW w:w="9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7"/>
        <w:gridCol w:w="4854"/>
      </w:tblGrid>
      <w:tr w14:paraId="1357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387" w:type="dxa"/>
          </w:tcPr>
          <w:p w14:paraId="3E4891A1">
            <w:pPr>
              <w:keepNext w:val="0"/>
              <w:keepLines w:val="0"/>
              <w:pageBreakBefore w:val="0"/>
              <w:kinsoku/>
              <w:wordWrap/>
              <w:overflowPunct/>
              <w:topLinePunct w:val="0"/>
              <w:autoSpaceDE/>
              <w:autoSpaceDN/>
              <w:bidi w:val="0"/>
              <w:adjustRightInd/>
              <w:snapToGrid w:val="0"/>
              <w:spacing w:line="6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w:t>
            </w:r>
            <w:r>
              <w:rPr>
                <w:rFonts w:hint="eastAsia" w:ascii="宋体" w:hAnsi="宋体" w:eastAsia="宋体" w:cs="宋体"/>
                <w:color w:val="auto"/>
                <w:sz w:val="24"/>
                <w:szCs w:val="24"/>
              </w:rPr>
              <w:t>方（盖章）：</w:t>
            </w:r>
            <w:r>
              <w:rPr>
                <w:rFonts w:hint="eastAsia" w:ascii="宋体" w:hAnsi="宋体" w:eastAsia="宋体" w:cs="宋体"/>
                <w:color w:val="auto"/>
                <w:sz w:val="24"/>
                <w:szCs w:val="24"/>
                <w:lang w:eastAsia="zh-CN"/>
              </w:rPr>
              <w:t>中山市黄圃</w:t>
            </w:r>
            <w:r>
              <w:rPr>
                <w:rFonts w:hint="eastAsia" w:ascii="宋体" w:hAnsi="宋体" w:eastAsia="宋体" w:cs="宋体"/>
                <w:color w:val="auto"/>
                <w:sz w:val="24"/>
                <w:szCs w:val="24"/>
              </w:rPr>
              <w:t>人民医院</w:t>
            </w:r>
          </w:p>
        </w:tc>
        <w:tc>
          <w:tcPr>
            <w:tcW w:w="4854" w:type="dxa"/>
          </w:tcPr>
          <w:p w14:paraId="6EED0CD1">
            <w:pPr>
              <w:keepNext w:val="0"/>
              <w:keepLines w:val="0"/>
              <w:pageBreakBefore w:val="0"/>
              <w:kinsoku/>
              <w:wordWrap/>
              <w:overflowPunct/>
              <w:topLinePunct w:val="0"/>
              <w:autoSpaceDE/>
              <w:autoSpaceDN/>
              <w:bidi w:val="0"/>
              <w:adjustRightInd/>
              <w:snapToGrid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rPr>
              <w:t xml:space="preserve">方（盖章）： </w:t>
            </w:r>
          </w:p>
        </w:tc>
      </w:tr>
      <w:tr w14:paraId="5E1A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387" w:type="dxa"/>
          </w:tcPr>
          <w:p w14:paraId="5F47E0C0">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法人代表或授权代表人</w:t>
            </w:r>
            <w:r>
              <w:rPr>
                <w:rFonts w:hint="eastAsia" w:ascii="宋体" w:hAnsi="宋体" w:eastAsia="宋体" w:cs="宋体"/>
                <w:color w:val="auto"/>
                <w:sz w:val="24"/>
                <w:szCs w:val="24"/>
                <w:lang w:val="en-US" w:eastAsia="zh-CN"/>
              </w:rPr>
              <w:t>:</w:t>
            </w:r>
          </w:p>
        </w:tc>
        <w:tc>
          <w:tcPr>
            <w:tcW w:w="4854" w:type="dxa"/>
          </w:tcPr>
          <w:p w14:paraId="5CBABF7F">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法人代表或授权代表人</w:t>
            </w:r>
            <w:r>
              <w:rPr>
                <w:rFonts w:hint="eastAsia" w:ascii="宋体" w:hAnsi="宋体" w:eastAsia="宋体" w:cs="宋体"/>
                <w:color w:val="auto"/>
                <w:sz w:val="24"/>
                <w:szCs w:val="24"/>
                <w:lang w:val="en-US" w:eastAsia="zh-CN"/>
              </w:rPr>
              <w:t>:</w:t>
            </w:r>
          </w:p>
        </w:tc>
      </w:tr>
      <w:tr w14:paraId="55B8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387" w:type="dxa"/>
          </w:tcPr>
          <w:p w14:paraId="53B190ED">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lang w:val="en-US" w:eastAsia="zh-CN"/>
              </w:rPr>
            </w:pPr>
          </w:p>
        </w:tc>
        <w:tc>
          <w:tcPr>
            <w:tcW w:w="4854" w:type="dxa"/>
          </w:tcPr>
          <w:p w14:paraId="0C694249">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14:paraId="0E82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387" w:type="dxa"/>
          </w:tcPr>
          <w:p w14:paraId="01A03C0E">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c>
          <w:tcPr>
            <w:tcW w:w="4854" w:type="dxa"/>
          </w:tcPr>
          <w:p w14:paraId="4ED5AB13">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r>
    </w:tbl>
    <w:p w14:paraId="7893772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B9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202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82020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00E02"/>
    <w:multiLevelType w:val="singleLevel"/>
    <w:tmpl w:val="A0300E02"/>
    <w:lvl w:ilvl="0" w:tentative="0">
      <w:start w:val="1"/>
      <w:numFmt w:val="decimal"/>
      <w:suff w:val="nothing"/>
      <w:lvlText w:val="%1．"/>
      <w:lvlJc w:val="left"/>
      <w:pPr>
        <w:ind w:left="0" w:firstLine="400"/>
      </w:pPr>
      <w:rPr>
        <w:rFonts w:hint="default"/>
      </w:rPr>
    </w:lvl>
  </w:abstractNum>
  <w:abstractNum w:abstractNumId="1">
    <w:nsid w:val="A9D8FD49"/>
    <w:multiLevelType w:val="singleLevel"/>
    <w:tmpl w:val="A9D8FD49"/>
    <w:lvl w:ilvl="0" w:tentative="0">
      <w:start w:val="1"/>
      <w:numFmt w:val="decimal"/>
      <w:suff w:val="nothing"/>
      <w:lvlText w:val="%1．"/>
      <w:lvlJc w:val="left"/>
      <w:pPr>
        <w:ind w:left="0" w:firstLine="400"/>
      </w:pPr>
      <w:rPr>
        <w:rFonts w:hint="default"/>
      </w:rPr>
    </w:lvl>
  </w:abstractNum>
  <w:abstractNum w:abstractNumId="2">
    <w:nsid w:val="AC4860D7"/>
    <w:multiLevelType w:val="singleLevel"/>
    <w:tmpl w:val="AC4860D7"/>
    <w:lvl w:ilvl="0" w:tentative="0">
      <w:start w:val="1"/>
      <w:numFmt w:val="decimal"/>
      <w:suff w:val="nothing"/>
      <w:lvlText w:val="%1．"/>
      <w:lvlJc w:val="left"/>
      <w:pPr>
        <w:ind w:left="0" w:firstLine="400"/>
      </w:pPr>
      <w:rPr>
        <w:rFonts w:hint="default"/>
      </w:rPr>
    </w:lvl>
  </w:abstractNum>
  <w:abstractNum w:abstractNumId="3">
    <w:nsid w:val="C073ECE4"/>
    <w:multiLevelType w:val="singleLevel"/>
    <w:tmpl w:val="C073ECE4"/>
    <w:lvl w:ilvl="0" w:tentative="0">
      <w:start w:val="1"/>
      <w:numFmt w:val="decimal"/>
      <w:suff w:val="nothing"/>
      <w:lvlText w:val="%1．"/>
      <w:lvlJc w:val="left"/>
      <w:pPr>
        <w:ind w:left="0" w:firstLine="400"/>
      </w:pPr>
      <w:rPr>
        <w:rFonts w:hint="default"/>
      </w:rPr>
    </w:lvl>
  </w:abstractNum>
  <w:abstractNum w:abstractNumId="4">
    <w:nsid w:val="EDE6BCFE"/>
    <w:multiLevelType w:val="singleLevel"/>
    <w:tmpl w:val="EDE6BCFE"/>
    <w:lvl w:ilvl="0" w:tentative="0">
      <w:start w:val="1"/>
      <w:numFmt w:val="decimal"/>
      <w:suff w:val="nothing"/>
      <w:lvlText w:val="%1．"/>
      <w:lvlJc w:val="left"/>
      <w:pPr>
        <w:ind w:left="0" w:firstLine="400"/>
      </w:pPr>
      <w:rPr>
        <w:rFonts w:hint="default"/>
      </w:rPr>
    </w:lvl>
  </w:abstractNum>
  <w:abstractNum w:abstractNumId="5">
    <w:nsid w:val="0FAC0A5D"/>
    <w:multiLevelType w:val="singleLevel"/>
    <w:tmpl w:val="0FAC0A5D"/>
    <w:lvl w:ilvl="0" w:tentative="0">
      <w:start w:val="2"/>
      <w:numFmt w:val="chineseCounting"/>
      <w:suff w:val="nothing"/>
      <w:lvlText w:val="%1、"/>
      <w:lvlJc w:val="left"/>
      <w:rPr>
        <w:rFonts w:hint="eastAsia"/>
      </w:rPr>
    </w:lvl>
  </w:abstractNum>
  <w:abstractNum w:abstractNumId="6">
    <w:nsid w:val="2A32BCF6"/>
    <w:multiLevelType w:val="singleLevel"/>
    <w:tmpl w:val="2A32BCF6"/>
    <w:lvl w:ilvl="0" w:tentative="0">
      <w:start w:val="1"/>
      <w:numFmt w:val="decimal"/>
      <w:lvlText w:val="%1."/>
      <w:lvlJc w:val="left"/>
      <w:pPr>
        <w:tabs>
          <w:tab w:val="left" w:pos="312"/>
        </w:tabs>
      </w:pPr>
    </w:lvl>
  </w:abstractNum>
  <w:abstractNum w:abstractNumId="7">
    <w:nsid w:val="2E5FC4C8"/>
    <w:multiLevelType w:val="singleLevel"/>
    <w:tmpl w:val="2E5FC4C8"/>
    <w:lvl w:ilvl="0" w:tentative="0">
      <w:start w:val="1"/>
      <w:numFmt w:val="decimal"/>
      <w:suff w:val="nothing"/>
      <w:lvlText w:val="%1．"/>
      <w:lvlJc w:val="left"/>
      <w:pPr>
        <w:ind w:left="0" w:firstLine="400"/>
      </w:pPr>
      <w:rPr>
        <w:rFonts w:hint="default"/>
      </w:rPr>
    </w:lvl>
  </w:abstractNum>
  <w:abstractNum w:abstractNumId="8">
    <w:nsid w:val="5A3C7547"/>
    <w:multiLevelType w:val="singleLevel"/>
    <w:tmpl w:val="5A3C7547"/>
    <w:lvl w:ilvl="0" w:tentative="0">
      <w:start w:val="1"/>
      <w:numFmt w:val="decimal"/>
      <w:suff w:val="nothing"/>
      <w:lvlText w:val="%1．"/>
      <w:lvlJc w:val="left"/>
      <w:pPr>
        <w:ind w:left="0" w:firstLine="400"/>
      </w:pPr>
      <w:rPr>
        <w:rFonts w:hint="default"/>
      </w:rPr>
    </w:lvl>
  </w:abstractNum>
  <w:abstractNum w:abstractNumId="9">
    <w:nsid w:val="5B393FC7"/>
    <w:multiLevelType w:val="singleLevel"/>
    <w:tmpl w:val="5B393FC7"/>
    <w:lvl w:ilvl="0" w:tentative="0">
      <w:start w:val="1"/>
      <w:numFmt w:val="decimal"/>
      <w:suff w:val="nothing"/>
      <w:lvlText w:val="%1．"/>
      <w:lvlJc w:val="left"/>
      <w:pPr>
        <w:ind w:left="0" w:firstLine="400"/>
      </w:pPr>
      <w:rPr>
        <w:rFonts w:hint="default"/>
      </w:rPr>
    </w:lvl>
  </w:abstractNum>
  <w:num w:numId="1">
    <w:abstractNumId w:val="6"/>
  </w:num>
  <w:num w:numId="2">
    <w:abstractNumId w:val="5"/>
  </w:num>
  <w:num w:numId="3">
    <w:abstractNumId w:val="3"/>
  </w:num>
  <w:num w:numId="4">
    <w:abstractNumId w:val="9"/>
  </w:num>
  <w:num w:numId="5">
    <w:abstractNumId w:val="1"/>
  </w:num>
  <w:num w:numId="6">
    <w:abstractNumId w:val="8"/>
  </w:num>
  <w:num w:numId="7">
    <w:abstractNumId w:val="2"/>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2E0MTYyNTI0YzNlMTgwZmVmNGMxMWExNGM0ZjUifQ=="/>
  </w:docVars>
  <w:rsids>
    <w:rsidRoot w:val="00000000"/>
    <w:rsid w:val="233578EE"/>
    <w:rsid w:val="35662999"/>
    <w:rsid w:val="37B30D12"/>
    <w:rsid w:val="4660569B"/>
    <w:rsid w:val="5F381638"/>
    <w:rsid w:val="69A64338"/>
    <w:rsid w:val="72341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style>
  <w:style w:type="paragraph" w:customStyle="1" w:styleId="8">
    <w:name w:val="UserStyle_1"/>
    <w:basedOn w:val="1"/>
    <w:qFormat/>
    <w:uiPriority w:val="0"/>
    <w:pPr>
      <w:keepNext/>
      <w:spacing w:before="60" w:after="60" w:line="300" w:lineRule="auto"/>
      <w:jc w:val="center"/>
      <w:textAlignment w:val="center"/>
    </w:pPr>
    <w:rPr>
      <w:spacing w:val="20"/>
      <w:kern w:val="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2084</Words>
  <Characters>2176</Characters>
  <Lines>0</Lines>
  <Paragraphs>0</Paragraphs>
  <TotalTime>0</TotalTime>
  <ScaleCrop>false</ScaleCrop>
  <LinksUpToDate>false</LinksUpToDate>
  <CharactersWithSpaces>2272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述</cp:lastModifiedBy>
  <cp:lastPrinted>2025-05-07T01:14:00Z</cp:lastPrinted>
  <dcterms:modified xsi:type="dcterms:W3CDTF">2026-04-17T02:01:51Z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C18D14352E8E4B77B7D959ED933453C5_12</vt:lpwstr>
  </property>
  <property fmtid="{D5CDD505-2E9C-101B-9397-08002B2CF9AE}" pid="4" name="KSOTemplateDocerSaveRecord">
    <vt:lpwstr>eyJoZGlkIjoiYzM0MTYxYzRmYWI5OTExNzE3YmU5OWM5MGI2MjgwYTAiLCJ1c2VySWQiOiI2MDA4NjAwMjQifQ==</vt:lpwstr>
  </property>
</Properties>
</file>