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bookmarkStart w:id="1" w:name="OLE_LINK3"/>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电子鼻咽喉镜采购项目</w:t>
      </w:r>
      <w:bookmarkEnd w:id="1"/>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3"/>
        <w:gridCol w:w="2450"/>
        <w:gridCol w:w="616"/>
        <w:gridCol w:w="629"/>
        <w:gridCol w:w="1012"/>
        <w:gridCol w:w="1094"/>
        <w:gridCol w:w="172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采购包</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采购包1</w:t>
            </w:r>
          </w:p>
        </w:tc>
        <w:tc>
          <w:tcPr>
            <w:tcW w:w="14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电子鼻咽喉镜</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根</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10</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10</w:t>
            </w:r>
          </w:p>
        </w:tc>
        <w:tc>
          <w:tcPr>
            <w:tcW w:w="1035" w:type="pct"/>
            <w:noWrap w:val="0"/>
            <w:vAlign w:val="center"/>
          </w:tcPr>
          <w:p w14:paraId="5418F41C">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eastAsia="zh-CN"/>
              </w:rPr>
              <w:t>外径2.8mm，无操作孔道</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widowControl/>
        <w:tabs>
          <w:tab w:val="left" w:pos="424"/>
          <w:tab w:val="left" w:pos="826"/>
        </w:tabs>
        <w:autoSpaceDE w:val="0"/>
        <w:autoSpaceDN w:val="0"/>
        <w:snapToGrid w:val="0"/>
        <w:spacing w:line="360" w:lineRule="auto"/>
        <w:jc w:val="left"/>
        <w:rPr>
          <w:rFonts w:hint="eastAsia"/>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bookmarkStart w:id="3" w:name="_GoBack"/>
      <w:bookmarkEnd w:id="3"/>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2"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2"/>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D259F"/>
    <w:rsid w:val="56DF6C95"/>
    <w:rsid w:val="57096926"/>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6E55CF"/>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2553</Words>
  <Characters>2575</Characters>
  <Lines>0</Lines>
  <Paragraphs>0</Paragraphs>
  <TotalTime>56</TotalTime>
  <ScaleCrop>false</ScaleCrop>
  <LinksUpToDate>false</LinksUpToDate>
  <CharactersWithSpaces>2729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Administrator</cp:lastModifiedBy>
  <dcterms:modified xsi:type="dcterms:W3CDTF">2026-04-09T10:10:31Z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748D293507F7448D8AE544CD7C975EE0_13</vt:lpwstr>
  </property>
  <property fmtid="{D5CDD505-2E9C-101B-9397-08002B2CF9AE}" pid="4" name="KSOTemplateDocerSaveRecord">
    <vt:lpwstr>eyJoZGlkIjoiZDZhMmUyNGNkNjFmMDg5OTBkMGE5NzVmMzUyMDY2ZWUifQ==</vt:lpwstr>
  </property>
</Properties>
</file>