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一次性胰岛素泵用贮药器和输注器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一次性胰岛素泵用贮药器和输注器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944EB5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一次性胰岛素泵用贮药器和输注器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一次性胰岛素泵用贮药器和输注器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2AE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一次性胰岛素泵用贮药器和输注器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DDB30E4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2026-03-11T05:46:25Z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