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77AC9">
      <w:pPr>
        <w:jc w:val="left"/>
        <w:rPr>
          <w:b/>
          <w:sz w:val="30"/>
          <w:szCs w:val="30"/>
        </w:rPr>
      </w:pPr>
      <w:r>
        <w:rPr>
          <w:rFonts w:hint="eastAsia"/>
          <w:b/>
          <w:sz w:val="30"/>
          <w:szCs w:val="30"/>
        </w:rPr>
        <w:t>附件1：</w:t>
      </w:r>
    </w:p>
    <w:p w14:paraId="183F6E27">
      <w:pPr>
        <w:jc w:val="center"/>
        <w:rPr>
          <w:b/>
          <w:sz w:val="36"/>
          <w:szCs w:val="36"/>
        </w:rPr>
      </w:pPr>
      <w:r>
        <w:rPr>
          <w:rFonts w:hint="eastAsia"/>
          <w:b/>
          <w:sz w:val="36"/>
          <w:szCs w:val="36"/>
        </w:rPr>
        <w:t>用户需求书</w:t>
      </w:r>
    </w:p>
    <w:p w14:paraId="6151BD71">
      <w:pPr>
        <w:ind w:firstLine="643" w:firstLineChars="200"/>
        <w:rPr>
          <w:rFonts w:hint="eastAsia"/>
          <w:b/>
          <w:sz w:val="32"/>
          <w:szCs w:val="32"/>
        </w:rPr>
      </w:pPr>
      <w:bookmarkStart w:id="0" w:name="_Toc49329250"/>
      <w:bookmarkStart w:id="1" w:name="文字29"/>
      <w:bookmarkStart w:id="2" w:name="_Toc37670350"/>
      <w:r>
        <w:rPr>
          <w:rFonts w:hint="eastAsia"/>
          <w:b/>
          <w:sz w:val="32"/>
          <w:szCs w:val="32"/>
        </w:rPr>
        <w:t>总则</w:t>
      </w:r>
    </w:p>
    <w:p w14:paraId="79BEBCD8">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1、成交供应商必须按国家、行业的标准及采购文件的要求对本项目提供相应的货物及服务。</w:t>
      </w:r>
    </w:p>
    <w:p w14:paraId="6BD0B6AB">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14:paraId="6AD1E721">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2BFA3B74">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4、本项目不允许提交备选方案，不允许联合体响应、转包或分包。</w:t>
      </w:r>
    </w:p>
    <w:p w14:paraId="72DC50E9">
      <w:pPr>
        <w:ind w:firstLine="562" w:firstLineChars="200"/>
        <w:rPr>
          <w:b/>
          <w:sz w:val="28"/>
          <w:szCs w:val="28"/>
        </w:rPr>
      </w:pPr>
      <w:r>
        <w:rPr>
          <w:rFonts w:hint="eastAsia"/>
          <w:b/>
          <w:sz w:val="28"/>
          <w:szCs w:val="28"/>
        </w:rPr>
        <w:t>一、项目概况</w:t>
      </w:r>
    </w:p>
    <w:p w14:paraId="68AADB83">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为保证我院制剂用药用原辅料的稳定供应，统一规范管理，保障医院制剂生产的正常运作，拟采购制剂用药用原辅料（乙醇）。</w:t>
      </w:r>
    </w:p>
    <w:p w14:paraId="55B700EA">
      <w:pPr>
        <w:numPr>
          <w:ilvl w:val="0"/>
          <w:numId w:val="1"/>
        </w:num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项目名称：</w:t>
      </w:r>
      <w:r>
        <w:rPr>
          <w:rFonts w:hint="eastAsia" w:asciiTheme="minorEastAsia" w:hAnsiTheme="minorEastAsia" w:eastAsiaTheme="minorEastAsia"/>
          <w:sz w:val="28"/>
          <w:szCs w:val="28"/>
          <w:lang w:eastAsia="zh-CN"/>
        </w:rPr>
        <w:t>中山市黄圃人民医院2026年度制剂室药用原辅料（乙醇）采购项目（二次）</w:t>
      </w:r>
    </w:p>
    <w:p w14:paraId="4C72454E">
      <w:pPr>
        <w:numPr>
          <w:ilvl w:val="0"/>
          <w:numId w:val="1"/>
        </w:num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项目编号：PYCG-YP-202603-1</w:t>
      </w:r>
      <w:r>
        <w:rPr>
          <w:rFonts w:hint="eastAsia" w:asciiTheme="minorEastAsia" w:hAnsiTheme="minorEastAsia" w:eastAsiaTheme="minorEastAsia"/>
          <w:sz w:val="28"/>
          <w:szCs w:val="28"/>
          <w:lang w:val="en-US" w:eastAsia="zh-CN"/>
        </w:rPr>
        <w:t>4</w:t>
      </w:r>
    </w:p>
    <w:p w14:paraId="3D924B61">
      <w:pPr>
        <w:ind w:firstLine="562" w:firstLineChars="200"/>
        <w:rPr>
          <w:rFonts w:hint="eastAsia"/>
          <w:b/>
          <w:sz w:val="28"/>
          <w:szCs w:val="28"/>
        </w:rPr>
      </w:pPr>
      <w:r>
        <w:rPr>
          <w:rFonts w:hint="eastAsia"/>
          <w:b/>
          <w:sz w:val="28"/>
          <w:szCs w:val="28"/>
        </w:rPr>
        <w:t>二、项目要求</w:t>
      </w:r>
    </w:p>
    <w:p w14:paraId="2B82CCB9">
      <w:pPr>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sz w:val="28"/>
          <w:szCs w:val="28"/>
        </w:rPr>
        <w:t>★1.供应商提供所投产品在国家药品监督管理局药品审评中心（网址：www.cde.org.cn）→信息公开→原辅包登记信息，与制剂共同审评审批结果为“A”。</w:t>
      </w:r>
      <w:r>
        <w:rPr>
          <w:rFonts w:hint="eastAsia" w:asciiTheme="minorEastAsia" w:hAnsiTheme="minorEastAsia" w:eastAsiaTheme="minorEastAsia"/>
          <w:b/>
          <w:bCs/>
          <w:sz w:val="28"/>
          <w:szCs w:val="28"/>
        </w:rPr>
        <w:t>（提供截图，格式详见附件</w:t>
      </w:r>
      <w:r>
        <w:rPr>
          <w:rFonts w:hint="eastAsia" w:asciiTheme="minorEastAsia" w:hAnsiTheme="minorEastAsia" w:eastAsiaTheme="minorEastAsia"/>
          <w:b/>
          <w:bCs/>
          <w:sz w:val="28"/>
          <w:szCs w:val="28"/>
          <w:lang w:val="en-US" w:eastAsia="zh-CN"/>
        </w:rPr>
        <w:t>4</w:t>
      </w:r>
      <w:r>
        <w:rPr>
          <w:rFonts w:hint="eastAsia" w:asciiTheme="minorEastAsia" w:hAnsiTheme="minorEastAsia" w:eastAsiaTheme="minorEastAsia"/>
          <w:b/>
          <w:bCs/>
          <w:sz w:val="28"/>
          <w:szCs w:val="28"/>
        </w:rPr>
        <w:t>）</w:t>
      </w:r>
    </w:p>
    <w:p w14:paraId="30E925B0">
      <w:pPr>
        <w:ind w:firstLine="562" w:firstLineChars="200"/>
        <w:jc w:val="left"/>
        <w:rPr>
          <w:rFonts w:ascii="宋体" w:hAnsi="宋体"/>
          <w:b/>
          <w:sz w:val="28"/>
        </w:rPr>
      </w:pPr>
      <w:r>
        <w:rPr>
          <w:rFonts w:hint="eastAsia" w:ascii="宋体" w:hAnsi="宋体"/>
          <w:b/>
          <w:sz w:val="28"/>
        </w:rPr>
        <w:t>三、采购内容</w:t>
      </w:r>
      <w:bookmarkStart w:id="3" w:name="_GoBack"/>
      <w:bookmarkEnd w:id="3"/>
    </w:p>
    <w:p w14:paraId="1B36E33F">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1.采购制剂用药用原辅料（乙醇），详见采购清单。</w:t>
      </w:r>
    </w:p>
    <w:p w14:paraId="0028B9F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2.采购标的提供时间: 分批分次不定时送货。</w:t>
      </w:r>
    </w:p>
    <w:p w14:paraId="18C6009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3.采购数量以实际采购数量为准。</w:t>
      </w:r>
    </w:p>
    <w:tbl>
      <w:tblPr>
        <w:tblStyle w:val="13"/>
        <w:tblW w:w="11102" w:type="dxa"/>
        <w:tblInd w:w="-459" w:type="dxa"/>
        <w:tblLayout w:type="fixed"/>
        <w:tblCellMar>
          <w:top w:w="0" w:type="dxa"/>
          <w:left w:w="108" w:type="dxa"/>
          <w:bottom w:w="0" w:type="dxa"/>
          <w:right w:w="108" w:type="dxa"/>
        </w:tblCellMar>
      </w:tblPr>
      <w:tblGrid>
        <w:gridCol w:w="567"/>
        <w:gridCol w:w="1418"/>
        <w:gridCol w:w="1843"/>
        <w:gridCol w:w="1275"/>
        <w:gridCol w:w="709"/>
        <w:gridCol w:w="1276"/>
        <w:gridCol w:w="1559"/>
        <w:gridCol w:w="1418"/>
        <w:gridCol w:w="1037"/>
      </w:tblGrid>
      <w:tr w14:paraId="6D0356A3">
        <w:tblPrEx>
          <w:tblCellMar>
            <w:top w:w="0" w:type="dxa"/>
            <w:left w:w="108" w:type="dxa"/>
            <w:bottom w:w="0" w:type="dxa"/>
            <w:right w:w="108" w:type="dxa"/>
          </w:tblCellMar>
        </w:tblPrEx>
        <w:trPr>
          <w:trHeight w:val="5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5D4AA87">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116928">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名称</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4515396">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规格</w:t>
            </w:r>
          </w:p>
        </w:tc>
        <w:tc>
          <w:tcPr>
            <w:tcW w:w="1275" w:type="dxa"/>
            <w:tcBorders>
              <w:top w:val="single" w:color="auto" w:sz="4" w:space="0"/>
              <w:left w:val="single" w:color="auto" w:sz="4" w:space="0"/>
              <w:bottom w:val="single" w:color="auto" w:sz="4" w:space="0"/>
              <w:right w:val="single" w:color="auto" w:sz="4" w:space="0"/>
            </w:tcBorders>
            <w:vAlign w:val="center"/>
          </w:tcPr>
          <w:p w14:paraId="24465473">
            <w:pPr>
              <w:widowControl/>
              <w:jc w:val="center"/>
              <w:rPr>
                <w:rFonts w:hint="eastAsia" w:ascii="宋体" w:hAnsi="宋体" w:cs="宋体"/>
                <w:b/>
                <w:bCs/>
                <w:color w:val="000000" w:themeColor="text1"/>
                <w:kern w:val="0"/>
                <w:sz w:val="24"/>
              </w:rPr>
            </w:pPr>
            <w:r>
              <w:rPr>
                <w:rFonts w:hint="eastAsia" w:ascii="宋体" w:hAnsi="宋体" w:cs="宋体"/>
                <w:b/>
                <w:bCs/>
                <w:color w:val="000000" w:themeColor="text1"/>
                <w:kern w:val="0"/>
                <w:sz w:val="24"/>
              </w:rPr>
              <w:t>包装</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5F99909">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单位</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2FB06C">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2026年计划量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C6ADA3E">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单价最高限价（元/单位）</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EAE246">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执行标准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7F1FB621">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原辅料分类</w:t>
            </w:r>
          </w:p>
        </w:tc>
      </w:tr>
      <w:tr w14:paraId="0CFA94C6">
        <w:tblPrEx>
          <w:tblCellMar>
            <w:top w:w="0" w:type="dxa"/>
            <w:left w:w="108" w:type="dxa"/>
            <w:bottom w:w="0"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738C38">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418" w:type="dxa"/>
            <w:tcBorders>
              <w:top w:val="single" w:color="auto" w:sz="4" w:space="0"/>
              <w:left w:val="nil"/>
              <w:bottom w:val="single" w:color="auto" w:sz="4" w:space="0"/>
              <w:right w:val="single" w:color="auto" w:sz="4" w:space="0"/>
            </w:tcBorders>
            <w:shd w:val="clear" w:color="auto" w:fill="auto"/>
            <w:vAlign w:val="center"/>
          </w:tcPr>
          <w:p w14:paraId="5CADC2EF">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乙醇（药用）</w:t>
            </w:r>
          </w:p>
        </w:tc>
        <w:tc>
          <w:tcPr>
            <w:tcW w:w="1843" w:type="dxa"/>
            <w:tcBorders>
              <w:top w:val="single" w:color="auto" w:sz="4" w:space="0"/>
              <w:left w:val="nil"/>
              <w:bottom w:val="single" w:color="auto" w:sz="4" w:space="0"/>
              <w:right w:val="single" w:color="auto" w:sz="4" w:space="0"/>
            </w:tcBorders>
            <w:shd w:val="clear" w:color="auto" w:fill="auto"/>
            <w:vAlign w:val="center"/>
          </w:tcPr>
          <w:p w14:paraId="7ED72803">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浓度：95%</w:t>
            </w:r>
          </w:p>
          <w:p w14:paraId="4FD23A6B">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规格：20kg/桶</w:t>
            </w:r>
          </w:p>
        </w:tc>
        <w:tc>
          <w:tcPr>
            <w:tcW w:w="1275" w:type="dxa"/>
            <w:tcBorders>
              <w:top w:val="single" w:color="auto" w:sz="4" w:space="0"/>
              <w:left w:val="single" w:color="auto" w:sz="4" w:space="0"/>
              <w:bottom w:val="single" w:color="auto" w:sz="4" w:space="0"/>
              <w:right w:val="single" w:color="auto" w:sz="4" w:space="0"/>
            </w:tcBorders>
            <w:vAlign w:val="center"/>
          </w:tcPr>
          <w:p w14:paraId="01E1A58D">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可接受金属二次桶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D8C3EE">
            <w:pPr>
              <w:widowControl/>
              <w:jc w:val="center"/>
              <w:rPr>
                <w:rFonts w:ascii="宋体" w:hAnsi="宋体" w:cs="宋体"/>
                <w:color w:val="000000" w:themeColor="text1"/>
                <w:kern w:val="0"/>
                <w:sz w:val="22"/>
                <w:szCs w:val="22"/>
              </w:rPr>
            </w:pPr>
            <w:r>
              <w:rPr>
                <w:rFonts w:ascii="宋体" w:hAnsi="宋体" w:cs="宋体"/>
                <w:color w:val="000000" w:themeColor="text1"/>
                <w:kern w:val="0"/>
                <w:sz w:val="24"/>
              </w:rPr>
              <w:t>K</w:t>
            </w:r>
            <w:r>
              <w:rPr>
                <w:rFonts w:hint="eastAsia" w:ascii="宋体" w:hAnsi="宋体" w:cs="宋体"/>
                <w:color w:val="000000" w:themeColor="text1"/>
                <w:kern w:val="0"/>
                <w:sz w:val="24"/>
              </w:rPr>
              <w:t>g</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3E06BE">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10000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34ADBA5">
            <w:pPr>
              <w:jc w:val="center"/>
              <w:rPr>
                <w:rFonts w:ascii="宋体" w:hAnsi="宋体" w:cs="宋体"/>
                <w:color w:val="000000" w:themeColor="text1"/>
                <w:kern w:val="0"/>
                <w:sz w:val="24"/>
              </w:rPr>
            </w:pPr>
            <w:r>
              <w:rPr>
                <w:rFonts w:hint="eastAsia" w:ascii="宋体" w:hAnsi="宋体" w:cs="宋体"/>
                <w:color w:val="000000" w:themeColor="text1"/>
                <w:kern w:val="0"/>
                <w:sz w:val="24"/>
              </w:rPr>
              <w:t>12.8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C96E64">
            <w:pPr>
              <w:jc w:val="center"/>
              <w:rPr>
                <w:color w:val="000000" w:themeColor="text1"/>
                <w:sz w:val="24"/>
              </w:rPr>
            </w:pPr>
            <w:r>
              <w:rPr>
                <w:rFonts w:hint="eastAsia" w:ascii="宋体" w:hAnsi="宋体" w:cs="宋体"/>
                <w:color w:val="000000" w:themeColor="text1"/>
                <w:kern w:val="0"/>
                <w:sz w:val="22"/>
                <w:szCs w:val="22"/>
              </w:rPr>
              <w:t>《中国药典》2025年版</w:t>
            </w:r>
          </w:p>
        </w:tc>
        <w:tc>
          <w:tcPr>
            <w:tcW w:w="1037" w:type="dxa"/>
            <w:tcBorders>
              <w:top w:val="single" w:color="auto" w:sz="4" w:space="0"/>
              <w:left w:val="nil"/>
              <w:bottom w:val="single" w:color="auto" w:sz="4" w:space="0"/>
              <w:right w:val="single" w:color="auto" w:sz="4" w:space="0"/>
            </w:tcBorders>
            <w:vAlign w:val="center"/>
          </w:tcPr>
          <w:p w14:paraId="0E725BFF">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bookmarkEnd w:id="0"/>
      <w:bookmarkEnd w:id="1"/>
      <w:bookmarkEnd w:id="2"/>
    </w:tbl>
    <w:p w14:paraId="2E27C31F">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四、质量要求</w:t>
      </w:r>
    </w:p>
    <w:p w14:paraId="58F6E1A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1.成交供应商</w:t>
      </w:r>
      <w:r>
        <w:rPr>
          <w:rFonts w:asciiTheme="minorEastAsia" w:hAnsiTheme="minorEastAsia" w:eastAsiaTheme="minorEastAsia"/>
          <w:sz w:val="28"/>
          <w:szCs w:val="28"/>
        </w:rPr>
        <w:t>应提供符合国家药品质量标准的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，交货时</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的</w:t>
      </w:r>
      <w:r>
        <w:rPr>
          <w:rFonts w:hint="eastAsia" w:asciiTheme="minorEastAsia" w:hAnsiTheme="minorEastAsia" w:eastAsiaTheme="minorEastAsia"/>
          <w:sz w:val="28"/>
          <w:szCs w:val="28"/>
        </w:rPr>
        <w:t>剩余</w:t>
      </w:r>
      <w:r>
        <w:rPr>
          <w:rFonts w:asciiTheme="minorEastAsia" w:hAnsiTheme="minorEastAsia" w:eastAsiaTheme="minorEastAsia"/>
          <w:sz w:val="28"/>
          <w:szCs w:val="28"/>
        </w:rPr>
        <w:t>有效期须≥1年，如确有近效期</w:t>
      </w:r>
      <w:r>
        <w:rPr>
          <w:rFonts w:hint="eastAsia" w:asciiTheme="minorEastAsia" w:hAnsiTheme="minorEastAsia" w:eastAsiaTheme="minorEastAsia"/>
          <w:sz w:val="28"/>
          <w:szCs w:val="28"/>
        </w:rPr>
        <w:t>（1年内）</w:t>
      </w:r>
      <w:r>
        <w:rPr>
          <w:rFonts w:asciiTheme="minorEastAsia" w:hAnsiTheme="minorEastAsia" w:eastAsiaTheme="minorEastAsia"/>
          <w:sz w:val="28"/>
          <w:szCs w:val="28"/>
        </w:rPr>
        <w:t>的须在发货前与采购人进行沟通。同一</w:t>
      </w:r>
      <w:r>
        <w:rPr>
          <w:rFonts w:hint="eastAsia" w:asciiTheme="minorEastAsia" w:hAnsiTheme="minorEastAsia" w:eastAsiaTheme="minorEastAsia"/>
          <w:sz w:val="28"/>
          <w:szCs w:val="28"/>
        </w:rPr>
        <w:t>送货批次货物</w:t>
      </w:r>
      <w:r>
        <w:rPr>
          <w:rFonts w:asciiTheme="minorEastAsia" w:hAnsiTheme="minorEastAsia" w:eastAsiaTheme="minorEastAsia"/>
          <w:sz w:val="28"/>
          <w:szCs w:val="28"/>
        </w:rPr>
        <w:t>保证是同一批号的产品，如确有不止一个批号的须在发货前与采购人进行沟通。</w:t>
      </w:r>
    </w:p>
    <w:p w14:paraId="0315C65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货物的包装、标签和说明书必须符合有关规定和运输要求，具有生产厂家提供的产品合格证，包装上应有品名、规格、执行标准、生产批号、生产企业、生产日期的标签，包装需完整、牢固，无受潮、水浸污染或破损等异常包装。</w:t>
      </w:r>
    </w:p>
    <w:p w14:paraId="7B737773">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五、服务要求</w:t>
      </w:r>
    </w:p>
    <w:p w14:paraId="27D5A040">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1.供应商</w:t>
      </w:r>
      <w:r>
        <w:rPr>
          <w:rFonts w:asciiTheme="minorEastAsia" w:hAnsiTheme="minorEastAsia" w:eastAsiaTheme="minorEastAsia"/>
          <w:sz w:val="28"/>
          <w:szCs w:val="28"/>
        </w:rPr>
        <w:t>配送的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送达</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指定地点后，待采购人相关人员验收无误后方可离开，对不符合合同要求的，采购人有权拒绝签收</w:t>
      </w:r>
      <w:r>
        <w:rPr>
          <w:rFonts w:hint="eastAsia" w:asciiTheme="minorEastAsia" w:hAnsiTheme="minorEastAsia" w:eastAsiaTheme="minorEastAsia"/>
          <w:sz w:val="28"/>
          <w:szCs w:val="28"/>
        </w:rPr>
        <w:t>，成交供应商应在3天内进行更换、补充，并不得影响采购人的使用需求</w:t>
      </w:r>
      <w:r>
        <w:rPr>
          <w:rFonts w:asciiTheme="minorEastAsia" w:hAnsiTheme="minorEastAsia" w:eastAsiaTheme="minorEastAsia"/>
          <w:sz w:val="28"/>
          <w:szCs w:val="28"/>
        </w:rPr>
        <w:t>。</w:t>
      </w:r>
    </w:p>
    <w:p w14:paraId="03452CC9">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2.成交供应商配送货物的时间、品种、规格、数量等必须严格按照采购人发送的订单执行</w:t>
      </w:r>
      <w:r>
        <w:rPr>
          <w:rFonts w:hint="eastAsia" w:asciiTheme="minorEastAsia" w:hAnsiTheme="minorEastAsia" w:eastAsiaTheme="minorEastAsia"/>
          <w:color w:val="000000" w:themeColor="text1"/>
          <w:sz w:val="28"/>
          <w:szCs w:val="28"/>
        </w:rPr>
        <w:t>。</w:t>
      </w:r>
    </w:p>
    <w:p w14:paraId="7D793A61">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六、商务要求</w:t>
      </w:r>
    </w:p>
    <w:tbl>
      <w:tblPr>
        <w:tblStyle w:val="13"/>
        <w:tblW w:w="1018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0"/>
        <w:gridCol w:w="8452"/>
      </w:tblGrid>
      <w:tr w14:paraId="3D1C7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30" w:type="dxa"/>
            <w:vAlign w:val="center"/>
          </w:tcPr>
          <w:p w14:paraId="1F34AC94">
            <w:pPr>
              <w:pStyle w:val="24"/>
              <w:spacing w:line="360" w:lineRule="auto"/>
              <w:jc w:val="center"/>
              <w:rPr>
                <w:rFonts w:ascii="宋体" w:hAnsi="Times New Roman" w:cs="Tahoma"/>
                <w:b/>
                <w:bCs/>
                <w:kern w:val="28"/>
                <w:sz w:val="21"/>
                <w:szCs w:val="21"/>
              </w:rPr>
            </w:pPr>
            <w:r>
              <w:rPr>
                <w:rFonts w:hint="eastAsia" w:cs="Tahoma"/>
                <w:b/>
                <w:bCs/>
                <w:kern w:val="28"/>
                <w:sz w:val="21"/>
                <w:szCs w:val="21"/>
              </w:rPr>
              <w:t>交付时间、地点</w:t>
            </w:r>
          </w:p>
        </w:tc>
        <w:tc>
          <w:tcPr>
            <w:tcW w:w="8452" w:type="dxa"/>
          </w:tcPr>
          <w:p w14:paraId="7D468AE6">
            <w:pPr>
              <w:pStyle w:val="24"/>
              <w:spacing w:line="360" w:lineRule="auto"/>
              <w:jc w:val="left"/>
              <w:rPr>
                <w:rFonts w:cs="Tahoma"/>
                <w:kern w:val="28"/>
                <w:sz w:val="21"/>
                <w:szCs w:val="21"/>
              </w:rPr>
            </w:pPr>
            <w:r>
              <w:rPr>
                <w:rFonts w:hint="eastAsia" w:cs="Tahoma"/>
                <w:kern w:val="28"/>
                <w:sz w:val="21"/>
                <w:szCs w:val="21"/>
              </w:rPr>
              <w:t>合同期内，收到采购人采购订单后，成交供应商按采购人订单要求配送，一般订单3日内配送到位，原则上最长不超过7日。成交供应商不得以送货量少而拒绝按时送达。成交供应商负责将货物运输至采购人指定的地点、仓库。</w:t>
            </w:r>
          </w:p>
          <w:p w14:paraId="071F7A6E">
            <w:pPr>
              <w:pStyle w:val="24"/>
              <w:spacing w:line="360" w:lineRule="auto"/>
              <w:jc w:val="left"/>
              <w:rPr>
                <w:rFonts w:cs="Tahoma"/>
                <w:kern w:val="28"/>
                <w:sz w:val="21"/>
                <w:szCs w:val="21"/>
                <w:highlight w:val="yellow"/>
              </w:rPr>
            </w:pPr>
            <w:r>
              <w:rPr>
                <w:rFonts w:hint="eastAsia" w:cs="Tahoma"/>
                <w:kern w:val="28"/>
                <w:sz w:val="21"/>
                <w:szCs w:val="21"/>
              </w:rPr>
              <w:t>特别说明：由于采购人收货地点与主干道之间有一条约300米长的小路，终端发货车辆限宽≤2070mm，限高≤2960mm。成交供应商如委托物流公司发货，发货时需跟物流公司特别强调安排合适车辆从终端发货，否则由成交供应商跟物流公司协商安排人工搬运至采购人仓库。</w:t>
            </w:r>
          </w:p>
        </w:tc>
      </w:tr>
      <w:tr w14:paraId="05967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730" w:type="dxa"/>
            <w:vAlign w:val="center"/>
          </w:tcPr>
          <w:p w14:paraId="5B0E6D77">
            <w:pPr>
              <w:pStyle w:val="24"/>
              <w:spacing w:line="360" w:lineRule="auto"/>
              <w:jc w:val="center"/>
              <w:rPr>
                <w:rFonts w:cs="Tahoma"/>
                <w:b/>
                <w:bCs/>
                <w:kern w:val="28"/>
                <w:sz w:val="21"/>
                <w:szCs w:val="21"/>
              </w:rPr>
            </w:pPr>
            <w:r>
              <w:rPr>
                <w:rFonts w:hint="eastAsia" w:cs="Tahoma"/>
                <w:b/>
                <w:bCs/>
                <w:kern w:val="28"/>
                <w:sz w:val="21"/>
                <w:szCs w:val="21"/>
              </w:rPr>
              <w:t>服务期</w:t>
            </w:r>
          </w:p>
        </w:tc>
        <w:tc>
          <w:tcPr>
            <w:tcW w:w="8452" w:type="dxa"/>
          </w:tcPr>
          <w:p w14:paraId="4BADC86E">
            <w:pPr>
              <w:pStyle w:val="24"/>
              <w:spacing w:line="360" w:lineRule="auto"/>
              <w:jc w:val="left"/>
              <w:rPr>
                <w:rFonts w:cs="Tahoma"/>
                <w:kern w:val="28"/>
                <w:sz w:val="21"/>
                <w:szCs w:val="21"/>
              </w:rPr>
            </w:pPr>
            <w:r>
              <w:rPr>
                <w:rFonts w:hint="eastAsia" w:cs="Tahoma"/>
                <w:kern w:val="28"/>
                <w:sz w:val="21"/>
                <w:szCs w:val="21"/>
              </w:rPr>
              <w:t>1年（具体起止时间以合同约定为准或结算金额累计达到本项目采购预算金额时合同提前终止，以先到者为准）。</w:t>
            </w:r>
          </w:p>
        </w:tc>
      </w:tr>
      <w:tr w14:paraId="38064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30" w:type="dxa"/>
            <w:vAlign w:val="center"/>
          </w:tcPr>
          <w:p w14:paraId="083464CD">
            <w:pPr>
              <w:pStyle w:val="24"/>
              <w:spacing w:line="360" w:lineRule="auto"/>
              <w:jc w:val="center"/>
              <w:rPr>
                <w:rFonts w:cs="Tahoma"/>
                <w:b/>
                <w:bCs/>
                <w:kern w:val="28"/>
                <w:sz w:val="21"/>
                <w:szCs w:val="21"/>
              </w:rPr>
            </w:pPr>
            <w:r>
              <w:rPr>
                <w:rFonts w:hint="eastAsia" w:cs="Tahoma"/>
                <w:b/>
                <w:bCs/>
                <w:kern w:val="28"/>
                <w:sz w:val="21"/>
                <w:szCs w:val="21"/>
              </w:rPr>
              <w:t>响应有效期</w:t>
            </w:r>
          </w:p>
        </w:tc>
        <w:tc>
          <w:tcPr>
            <w:tcW w:w="8452" w:type="dxa"/>
          </w:tcPr>
          <w:p w14:paraId="4E4A7FB4">
            <w:pPr>
              <w:pStyle w:val="24"/>
              <w:spacing w:line="360" w:lineRule="auto"/>
              <w:jc w:val="left"/>
              <w:rPr>
                <w:rFonts w:cs="Tahoma"/>
                <w:kern w:val="28"/>
                <w:sz w:val="21"/>
                <w:szCs w:val="21"/>
              </w:rPr>
            </w:pPr>
            <w:r>
              <w:rPr>
                <w:rFonts w:hint="eastAsia" w:cs="Tahoma"/>
                <w:kern w:val="28"/>
                <w:sz w:val="21"/>
                <w:szCs w:val="21"/>
              </w:rPr>
              <w:t>从提交响应文件的截止之日起90日历天。</w:t>
            </w:r>
          </w:p>
        </w:tc>
      </w:tr>
      <w:tr w14:paraId="7EBE8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730" w:type="dxa"/>
            <w:vAlign w:val="center"/>
          </w:tcPr>
          <w:p w14:paraId="6A568AA3">
            <w:pPr>
              <w:pStyle w:val="24"/>
              <w:spacing w:line="360" w:lineRule="auto"/>
              <w:jc w:val="center"/>
              <w:rPr>
                <w:rFonts w:ascii="宋体" w:hAnsi="Times New Roman" w:cs="Tahoma"/>
                <w:kern w:val="28"/>
                <w:sz w:val="21"/>
                <w:szCs w:val="21"/>
              </w:rPr>
            </w:pPr>
            <w:r>
              <w:rPr>
                <w:rFonts w:hint="eastAsia" w:ascii="宋体" w:hAnsi="Times New Roman" w:cs="Tahoma"/>
                <w:b/>
                <w:bCs/>
                <w:kern w:val="28"/>
                <w:sz w:val="21"/>
                <w:szCs w:val="21"/>
              </w:rPr>
              <w:t>付款方式</w:t>
            </w:r>
          </w:p>
        </w:tc>
        <w:tc>
          <w:tcPr>
            <w:tcW w:w="8452" w:type="dxa"/>
          </w:tcPr>
          <w:p w14:paraId="2F90A5D8">
            <w:pPr>
              <w:pStyle w:val="39"/>
              <w:ind w:firstLine="0" w:firstLineChars="0"/>
              <w:rPr>
                <w:rFonts w:ascii="宋体" w:cs="Tahoma"/>
                <w:kern w:val="28"/>
                <w:sz w:val="21"/>
                <w:szCs w:val="21"/>
              </w:rPr>
            </w:pPr>
            <w:r>
              <w:rPr>
                <w:rFonts w:hint="eastAsia" w:ascii="宋体" w:cs="Tahoma"/>
                <w:kern w:val="28"/>
                <w:sz w:val="21"/>
                <w:szCs w:val="21"/>
              </w:rPr>
              <w:t>本合同的款项以人民币银行转账方式支付：</w:t>
            </w:r>
          </w:p>
          <w:p w14:paraId="5E647B9C">
            <w:pPr>
              <w:spacing w:line="340" w:lineRule="exact"/>
              <w:ind w:firstLine="420"/>
              <w:rPr>
                <w:rFonts w:ascii="宋体" w:hAnsi="宋体"/>
                <w:color w:val="FF0000"/>
                <w:highlight w:val="yellow"/>
              </w:rPr>
            </w:pPr>
            <w:r>
              <w:rPr>
                <w:rFonts w:hint="eastAsia" w:ascii="宋体" w:hAnsi="宋体"/>
              </w:rPr>
              <w:t>1.按实际采购量进行结算，每月结算一次；</w:t>
            </w:r>
          </w:p>
          <w:p w14:paraId="184EA786">
            <w:pPr>
              <w:spacing w:line="340" w:lineRule="exact"/>
              <w:ind w:firstLine="420"/>
              <w:rPr>
                <w:rFonts w:ascii="宋体" w:cs="Tahoma"/>
                <w:kern w:val="28"/>
                <w:szCs w:val="21"/>
              </w:rPr>
            </w:pPr>
            <w:r>
              <w:rPr>
                <w:rFonts w:hint="eastAsia" w:ascii="宋体" w:cs="Tahoma"/>
                <w:kern w:val="28"/>
                <w:szCs w:val="21"/>
              </w:rPr>
              <w:t>2.采购人对货物验收确认后，供应商开具</w:t>
            </w:r>
            <w:r>
              <w:rPr>
                <w:rFonts w:hint="eastAsia" w:ascii="宋体" w:cs="Tahoma"/>
                <w:bCs/>
                <w:kern w:val="28"/>
                <w:szCs w:val="21"/>
              </w:rPr>
              <w:t>对应金额的</w:t>
            </w:r>
            <w:r>
              <w:rPr>
                <w:rFonts w:hint="eastAsia" w:ascii="宋体" w:cs="Tahoma"/>
                <w:kern w:val="28"/>
                <w:szCs w:val="21"/>
              </w:rPr>
              <w:t>发票，采购人在收到成交供应商的款项发票等申请资料且核对无误，方可进行支付，从收到发票当天算起90日内支付款项；</w:t>
            </w:r>
          </w:p>
          <w:p w14:paraId="575C1BB4">
            <w:pPr>
              <w:spacing w:line="340" w:lineRule="exact"/>
              <w:ind w:firstLine="420"/>
              <w:rPr>
                <w:rFonts w:ascii="宋体" w:cs="Tahoma"/>
                <w:kern w:val="28"/>
                <w:szCs w:val="21"/>
              </w:rPr>
            </w:pPr>
            <w:r>
              <w:rPr>
                <w:rFonts w:hint="eastAsia" w:ascii="宋体" w:cs="Tahoma"/>
                <w:kern w:val="28"/>
                <w:szCs w:val="21"/>
              </w:rPr>
              <w:t>3.因采购人使用的是财政资金，申请汇款审批之日视为付款之日，若审批延迟则相应货款到账延迟，且不视为采购人违约。</w:t>
            </w:r>
          </w:p>
        </w:tc>
      </w:tr>
      <w:tr w14:paraId="5A0B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730" w:type="dxa"/>
            <w:vAlign w:val="center"/>
          </w:tcPr>
          <w:p w14:paraId="6EC2D4F8">
            <w:pPr>
              <w:pStyle w:val="24"/>
              <w:spacing w:line="360" w:lineRule="auto"/>
              <w:jc w:val="center"/>
              <w:rPr>
                <w:rFonts w:ascii="宋体" w:hAnsi="Times New Roman" w:cs="Tahoma"/>
                <w:b/>
                <w:bCs/>
                <w:kern w:val="28"/>
                <w:sz w:val="21"/>
                <w:szCs w:val="21"/>
              </w:rPr>
            </w:pPr>
            <w:r>
              <w:rPr>
                <w:rFonts w:hint="eastAsia" w:cs="Tahoma"/>
                <w:b/>
                <w:bCs/>
                <w:kern w:val="28"/>
                <w:sz w:val="21"/>
                <w:szCs w:val="21"/>
              </w:rPr>
              <w:t>履约保证金</w:t>
            </w:r>
          </w:p>
        </w:tc>
        <w:tc>
          <w:tcPr>
            <w:tcW w:w="8452" w:type="dxa"/>
          </w:tcPr>
          <w:p w14:paraId="08911355">
            <w:pPr>
              <w:pStyle w:val="24"/>
              <w:spacing w:line="360" w:lineRule="auto"/>
              <w:jc w:val="left"/>
              <w:rPr>
                <w:rFonts w:ascii="宋体" w:hAnsi="Times New Roman" w:cs="Tahoma"/>
                <w:kern w:val="28"/>
                <w:sz w:val="21"/>
                <w:szCs w:val="21"/>
              </w:rPr>
            </w:pPr>
            <w:r>
              <w:rPr>
                <w:rFonts w:hint="eastAsia" w:cs="Tahoma"/>
                <w:kern w:val="28"/>
                <w:sz w:val="21"/>
                <w:szCs w:val="21"/>
              </w:rPr>
              <w:t>不收取。</w:t>
            </w:r>
          </w:p>
        </w:tc>
      </w:tr>
      <w:tr w14:paraId="1A4D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5" w:hRule="atLeast"/>
        </w:trPr>
        <w:tc>
          <w:tcPr>
            <w:tcW w:w="1730" w:type="dxa"/>
            <w:vAlign w:val="center"/>
          </w:tcPr>
          <w:p w14:paraId="060FC309">
            <w:pPr>
              <w:widowControl/>
              <w:tabs>
                <w:tab w:val="left" w:pos="636"/>
              </w:tabs>
              <w:autoSpaceDE w:val="0"/>
              <w:autoSpaceDN w:val="0"/>
              <w:spacing w:line="360" w:lineRule="auto"/>
              <w:jc w:val="center"/>
              <w:textAlignment w:val="bottom"/>
              <w:rPr>
                <w:rFonts w:cs="Tahoma"/>
                <w:b/>
                <w:bCs/>
                <w:kern w:val="28"/>
                <w:szCs w:val="21"/>
              </w:rPr>
            </w:pPr>
            <w:r>
              <w:rPr>
                <w:rFonts w:hint="eastAsia" w:ascii="宋体" w:hAnsi="宋体" w:cs="宋体"/>
                <w:b/>
                <w:bCs/>
                <w:szCs w:val="21"/>
              </w:rPr>
              <w:t>报价说明</w:t>
            </w:r>
          </w:p>
        </w:tc>
        <w:tc>
          <w:tcPr>
            <w:tcW w:w="8452" w:type="dxa"/>
          </w:tcPr>
          <w:p w14:paraId="66983C8E">
            <w:pPr>
              <w:spacing w:line="340" w:lineRule="exact"/>
              <w:ind w:firstLine="420" w:firstLineChars="200"/>
              <w:rPr>
                <w:rFonts w:ascii="宋体" w:cs="Tahoma"/>
                <w:kern w:val="28"/>
                <w:szCs w:val="21"/>
              </w:rPr>
            </w:pPr>
            <w:r>
              <w:rPr>
                <w:rFonts w:hint="eastAsia" w:ascii="宋体" w:cs="Tahoma"/>
                <w:kern w:val="28"/>
                <w:szCs w:val="21"/>
              </w:rPr>
              <w:t>★1.</w:t>
            </w:r>
            <w:r>
              <w:rPr>
                <w:rFonts w:hint="eastAsia" w:ascii="宋体" w:cs="Tahoma"/>
                <w:b/>
                <w:bCs/>
                <w:kern w:val="28"/>
                <w:szCs w:val="21"/>
                <w:lang w:val="hr-HR"/>
              </w:rPr>
              <w:t>响应报价：供应商以统一折扣率进行报价。</w:t>
            </w:r>
            <w:r>
              <w:rPr>
                <w:rFonts w:hint="eastAsia" w:ascii="宋体" w:cs="Tahoma"/>
                <w:kern w:val="28"/>
                <w:szCs w:val="21"/>
              </w:rPr>
              <w:t>供应商须按附件2：报价</w:t>
            </w:r>
            <w:r>
              <w:rPr>
                <w:rFonts w:hint="eastAsia" w:ascii="宋体" w:cs="Tahoma"/>
                <w:kern w:val="28"/>
                <w:szCs w:val="21"/>
                <w:lang w:eastAsia="zh-CN"/>
              </w:rPr>
              <w:t>表</w:t>
            </w:r>
            <w:r>
              <w:rPr>
                <w:rFonts w:hint="eastAsia" w:ascii="宋体" w:cs="Tahoma"/>
                <w:kern w:val="28"/>
                <w:szCs w:val="21"/>
              </w:rPr>
              <w:t>格式报价，不按要求报价的视为无效报价。</w:t>
            </w:r>
          </w:p>
          <w:p w14:paraId="57EFBE39">
            <w:pPr>
              <w:spacing w:line="340" w:lineRule="exact"/>
              <w:ind w:firstLine="420" w:firstLineChars="200"/>
              <w:rPr>
                <w:rFonts w:ascii="宋体" w:cs="Tahoma"/>
                <w:kern w:val="28"/>
                <w:szCs w:val="21"/>
                <w:lang w:val="hr-HR"/>
              </w:rPr>
            </w:pPr>
            <w:r>
              <w:rPr>
                <w:rFonts w:hint="eastAsia" w:ascii="宋体" w:cs="Tahoma"/>
                <w:kern w:val="28"/>
                <w:szCs w:val="21"/>
              </w:rPr>
              <w:t>统一折扣率必须为固定报价，不能为区间值。统一折扣率报价范围为0-100%且不为0。统一折扣率报价保留至小数点后2位。统一折扣率在本项目服务期内不作调整；</w:t>
            </w:r>
          </w:p>
          <w:p w14:paraId="569BAA25">
            <w:pPr>
              <w:spacing w:line="340" w:lineRule="exact"/>
              <w:ind w:firstLine="420" w:firstLineChars="200"/>
              <w:rPr>
                <w:rFonts w:ascii="宋体" w:cs="Tahoma"/>
                <w:kern w:val="28"/>
                <w:szCs w:val="21"/>
              </w:rPr>
            </w:pPr>
            <w:r>
              <w:rPr>
                <w:rFonts w:hint="eastAsia" w:ascii="宋体" w:cs="Tahoma"/>
                <w:kern w:val="28"/>
                <w:szCs w:val="21"/>
              </w:rPr>
              <w:t>2.</w:t>
            </w:r>
            <w:r>
              <w:rPr>
                <w:rFonts w:hint="eastAsia" w:ascii="宋体" w:cs="Tahoma"/>
                <w:kern w:val="28"/>
                <w:szCs w:val="21"/>
                <w:lang w:val="hr-HR"/>
              </w:rPr>
              <w:t>以</w:t>
            </w:r>
            <w:r>
              <w:rPr>
                <w:rFonts w:hint="eastAsia" w:ascii="宋体" w:cs="Tahoma"/>
                <w:kern w:val="28"/>
                <w:szCs w:val="21"/>
              </w:rPr>
              <w:t>响应统一</w:t>
            </w:r>
            <w:r>
              <w:rPr>
                <w:rFonts w:hint="eastAsia" w:ascii="宋体" w:cs="Tahoma"/>
                <w:kern w:val="28"/>
                <w:szCs w:val="21"/>
                <w:lang w:val="hr-HR"/>
              </w:rPr>
              <w:t>折扣率作为价格评审的依据。</w:t>
            </w:r>
          </w:p>
          <w:p w14:paraId="48837085">
            <w:pPr>
              <w:spacing w:line="340" w:lineRule="exact"/>
              <w:ind w:firstLine="420"/>
              <w:rPr>
                <w:rFonts w:ascii="宋体" w:cs="Tahoma"/>
                <w:kern w:val="28"/>
                <w:szCs w:val="21"/>
              </w:rPr>
            </w:pPr>
            <w:r>
              <w:rPr>
                <w:rFonts w:hint="eastAsia" w:ascii="宋体" w:cs="Tahoma"/>
                <w:kern w:val="28"/>
                <w:szCs w:val="21"/>
              </w:rPr>
              <w:t>3.报价包含：到货全包价，承担交货前的所有费用，包括但不限于运输费、途中保险费、装车费、途中损耗与损失费及货物运送至交货地点后的卸车费等及合同实施过程中的一切可预见和不可预见费用。</w:t>
            </w:r>
          </w:p>
          <w:p w14:paraId="15EB517F">
            <w:pPr>
              <w:spacing w:line="340" w:lineRule="exact"/>
              <w:ind w:firstLine="420"/>
              <w:rPr>
                <w:rFonts w:ascii="宋体" w:cs="Tahoma"/>
                <w:kern w:val="28"/>
                <w:szCs w:val="21"/>
              </w:rPr>
            </w:pPr>
            <w:r>
              <w:rPr>
                <w:rFonts w:hint="eastAsia" w:ascii="宋体" w:cs="Tahoma"/>
                <w:kern w:val="28"/>
                <w:szCs w:val="21"/>
              </w:rPr>
              <w:t>4.结算金额=实际采购量×单价最高限价×成交统一折扣率。</w:t>
            </w:r>
          </w:p>
        </w:tc>
      </w:tr>
      <w:tr w14:paraId="03645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6" w:hRule="atLeast"/>
        </w:trPr>
        <w:tc>
          <w:tcPr>
            <w:tcW w:w="1730" w:type="dxa"/>
            <w:vAlign w:val="center"/>
          </w:tcPr>
          <w:p w14:paraId="382C0355">
            <w:pPr>
              <w:pStyle w:val="24"/>
              <w:spacing w:line="360" w:lineRule="auto"/>
              <w:jc w:val="center"/>
              <w:rPr>
                <w:rFonts w:cs="Tahoma"/>
                <w:b/>
                <w:bCs/>
                <w:color w:val="000000"/>
                <w:kern w:val="28"/>
                <w:sz w:val="21"/>
                <w:szCs w:val="21"/>
              </w:rPr>
            </w:pPr>
            <w:r>
              <w:rPr>
                <w:rFonts w:hint="eastAsia" w:cs="Tahoma"/>
                <w:b/>
                <w:bCs/>
                <w:color w:val="000000"/>
                <w:kern w:val="28"/>
                <w:sz w:val="21"/>
                <w:szCs w:val="21"/>
              </w:rPr>
              <w:t>供货要求</w:t>
            </w:r>
          </w:p>
        </w:tc>
        <w:tc>
          <w:tcPr>
            <w:tcW w:w="8452" w:type="dxa"/>
          </w:tcPr>
          <w:p w14:paraId="3C0D717F">
            <w:pPr>
              <w:spacing w:line="340" w:lineRule="exact"/>
              <w:ind w:firstLine="420" w:firstLineChars="200"/>
              <w:rPr>
                <w:rFonts w:eastAsiaTheme="minorEastAsia"/>
              </w:rPr>
            </w:pPr>
            <w:r>
              <w:rPr>
                <w:rFonts w:hint="eastAsia"/>
              </w:rPr>
              <w:t>1.成交供应商</w:t>
            </w:r>
            <w:r>
              <w:t>必须按照采购人的订单要求（包括但不限于产品规格型号、数量等）进行供货。</w:t>
            </w:r>
            <w:r>
              <w:rPr>
                <w:rFonts w:hint="eastAsia"/>
              </w:rPr>
              <w:t>无需按套装打包发货，按两个品种的货物分装供货即可。</w:t>
            </w:r>
          </w:p>
          <w:p w14:paraId="1ECF687E">
            <w:pPr>
              <w:spacing w:line="340" w:lineRule="exact"/>
              <w:ind w:firstLine="420" w:firstLineChars="200"/>
            </w:pPr>
            <w:r>
              <w:rPr>
                <w:rFonts w:hint="eastAsia"/>
              </w:rPr>
              <w:t>2.</w:t>
            </w:r>
            <w:r>
              <w:t>在</w:t>
            </w:r>
            <w:r>
              <w:rPr>
                <w:rFonts w:hint="eastAsia"/>
              </w:rPr>
              <w:t>成交供应商</w:t>
            </w:r>
            <w:r>
              <w:t xml:space="preserve">供货服务期内，采购人将不定期进行抽检，抽检内容包括供货价格、服务质量等执行情况，并对抽检不合格品种发出整改意见书。 </w:t>
            </w:r>
          </w:p>
          <w:p w14:paraId="710FFADF">
            <w:pPr>
              <w:spacing w:line="340" w:lineRule="exact"/>
              <w:ind w:firstLine="420" w:firstLineChars="200"/>
            </w:pPr>
            <w:r>
              <w:rPr>
                <w:rFonts w:hint="eastAsia"/>
              </w:rPr>
              <w:t>3.货物</w:t>
            </w:r>
            <w:r>
              <w:t>不符质量要求，致使不能实现合同目的，采购人可拒收货物。</w:t>
            </w:r>
          </w:p>
          <w:p w14:paraId="3FD31758">
            <w:pPr>
              <w:spacing w:line="340" w:lineRule="exact"/>
              <w:ind w:firstLine="420" w:firstLineChars="200"/>
            </w:pPr>
            <w:r>
              <w:rPr>
                <w:rFonts w:hint="eastAsia"/>
              </w:rPr>
              <w:t>4.</w:t>
            </w:r>
            <w:r>
              <w:rPr>
                <w:rFonts w:hint="eastAsia" w:ascii="宋体" w:cs="Tahoma"/>
                <w:kern w:val="28"/>
                <w:szCs w:val="21"/>
              </w:rPr>
              <w:t>成交供应商须有专人负责货物供应事宜，需按照采购人要求配送。如未按时按量送达指定地点，由成交供应商赔偿采购人因此而造成的全部损失。</w:t>
            </w:r>
          </w:p>
        </w:tc>
      </w:tr>
      <w:tr w14:paraId="6563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2" w:hRule="atLeast"/>
        </w:trPr>
        <w:tc>
          <w:tcPr>
            <w:tcW w:w="1730" w:type="dxa"/>
            <w:vAlign w:val="center"/>
          </w:tcPr>
          <w:p w14:paraId="5EC45C23">
            <w:pPr>
              <w:pStyle w:val="24"/>
              <w:spacing w:line="360" w:lineRule="auto"/>
              <w:jc w:val="center"/>
              <w:rPr>
                <w:rFonts w:cs="Tahoma"/>
                <w:b/>
                <w:bCs/>
                <w:color w:val="000000"/>
                <w:kern w:val="28"/>
                <w:sz w:val="21"/>
                <w:szCs w:val="21"/>
              </w:rPr>
            </w:pPr>
            <w:r>
              <w:rPr>
                <w:rFonts w:hint="eastAsia" w:cs="Tahoma"/>
                <w:b/>
                <w:bCs/>
                <w:color w:val="000000"/>
                <w:kern w:val="28"/>
                <w:sz w:val="21"/>
                <w:szCs w:val="21"/>
              </w:rPr>
              <w:t>验收要求</w:t>
            </w:r>
          </w:p>
        </w:tc>
        <w:tc>
          <w:tcPr>
            <w:tcW w:w="8452" w:type="dxa"/>
          </w:tcPr>
          <w:p w14:paraId="11E8B79F">
            <w:pPr>
              <w:spacing w:line="340" w:lineRule="exact"/>
              <w:ind w:firstLine="420" w:firstLineChars="200"/>
            </w:pPr>
            <w:r>
              <w:rPr>
                <w:rFonts w:hint="eastAsia"/>
              </w:rPr>
              <w:t xml:space="preserve">1.采购人及成交供应商按合同及有关附件要求对货物及其规格、数量、外观、包装、资料文件（如出库单、检验合格证书等）进行验收，对不符合合同要求的，采购人有权拒绝接收。 </w:t>
            </w:r>
          </w:p>
          <w:p w14:paraId="2576E523">
            <w:pPr>
              <w:spacing w:line="340" w:lineRule="exact"/>
              <w:ind w:firstLine="420" w:firstLineChars="200"/>
              <w:rPr>
                <w:rFonts w:ascii="宋体" w:hAnsi="宋体"/>
              </w:rPr>
            </w:pPr>
            <w:r>
              <w:rPr>
                <w:rFonts w:hint="eastAsia"/>
              </w:rPr>
              <w:t>2.采购人及成交供应商各方对货物质量存在争议时，应送采购人所在地药检部门检验，同时报告所在地药监部门。交货后被采购人判定为质量不合格的相关费用成交供应商承担，包括但不限于采购人要求发货的同批次除首次的检验或检测费、退货装车费、退货运输费等。</w:t>
            </w:r>
          </w:p>
        </w:tc>
      </w:tr>
      <w:tr w14:paraId="07B7E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730" w:type="dxa"/>
            <w:vAlign w:val="center"/>
          </w:tcPr>
          <w:p w14:paraId="1D1EA8FA">
            <w:pPr>
              <w:pStyle w:val="24"/>
              <w:spacing w:line="360" w:lineRule="auto"/>
              <w:jc w:val="center"/>
              <w:rPr>
                <w:rFonts w:cs="Tahoma"/>
                <w:b/>
                <w:bCs/>
                <w:color w:val="000000"/>
                <w:kern w:val="28"/>
                <w:sz w:val="21"/>
                <w:szCs w:val="21"/>
              </w:rPr>
            </w:pPr>
            <w:r>
              <w:rPr>
                <w:rFonts w:hint="eastAsia" w:cs="Tahoma"/>
                <w:b/>
                <w:bCs/>
                <w:color w:val="000000"/>
                <w:kern w:val="28"/>
                <w:sz w:val="21"/>
                <w:szCs w:val="21"/>
              </w:rPr>
              <w:t>售后服务</w:t>
            </w:r>
          </w:p>
        </w:tc>
        <w:tc>
          <w:tcPr>
            <w:tcW w:w="8452" w:type="dxa"/>
          </w:tcPr>
          <w:p w14:paraId="2A9026B1">
            <w:pPr>
              <w:spacing w:line="340" w:lineRule="exact"/>
              <w:ind w:firstLine="420" w:firstLineChars="200"/>
              <w:rPr>
                <w:rFonts w:ascii="宋体" w:hAnsi="宋体"/>
              </w:rPr>
            </w:pPr>
            <w:r>
              <w:rPr>
                <w:rFonts w:hint="eastAsia" w:ascii="宋体" w:hAnsi="宋体"/>
              </w:rPr>
              <w:t>采购人</w:t>
            </w:r>
            <w:r>
              <w:rPr>
                <w:rFonts w:ascii="宋体" w:hAnsi="宋体"/>
              </w:rPr>
              <w:t>对验收的货物如发现破损、近效期（</w:t>
            </w:r>
            <w:r>
              <w:rPr>
                <w:rFonts w:hint="eastAsia" w:ascii="宋体" w:hAnsi="宋体"/>
              </w:rPr>
              <w:t>1年</w:t>
            </w:r>
            <w:r>
              <w:rPr>
                <w:rFonts w:ascii="宋体" w:hAnsi="宋体"/>
              </w:rPr>
              <w:t>内）或其他不合格原因</w:t>
            </w:r>
            <w:r>
              <w:rPr>
                <w:rFonts w:hint="eastAsia" w:ascii="宋体" w:hAnsi="宋体"/>
              </w:rPr>
              <w:t>的，成交供应商</w:t>
            </w:r>
            <w:r>
              <w:rPr>
                <w:rFonts w:ascii="宋体" w:hAnsi="宋体"/>
              </w:rPr>
              <w:t>应及时更换或退货，换货应在 72 小时内完成，退货单应当月处理（送达）。</w:t>
            </w:r>
          </w:p>
        </w:tc>
      </w:tr>
      <w:tr w14:paraId="14194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30" w:type="dxa"/>
            <w:vAlign w:val="center"/>
          </w:tcPr>
          <w:p w14:paraId="21BE4110">
            <w:pPr>
              <w:pStyle w:val="24"/>
              <w:spacing w:line="360" w:lineRule="auto"/>
              <w:jc w:val="center"/>
              <w:rPr>
                <w:rFonts w:cs="Tahoma"/>
                <w:b/>
                <w:bCs/>
                <w:color w:val="000000"/>
                <w:kern w:val="28"/>
                <w:sz w:val="21"/>
                <w:szCs w:val="21"/>
              </w:rPr>
            </w:pPr>
            <w:r>
              <w:rPr>
                <w:rFonts w:hint="eastAsia" w:cs="Tahoma"/>
                <w:b/>
                <w:bCs/>
                <w:color w:val="000000"/>
                <w:kern w:val="28"/>
                <w:sz w:val="21"/>
                <w:szCs w:val="21"/>
              </w:rPr>
              <w:t>违约责任</w:t>
            </w:r>
          </w:p>
        </w:tc>
        <w:tc>
          <w:tcPr>
            <w:tcW w:w="8452" w:type="dxa"/>
          </w:tcPr>
          <w:p w14:paraId="571C3296">
            <w:pPr>
              <w:pStyle w:val="40"/>
              <w:ind w:firstLine="420"/>
              <w:jc w:val="both"/>
              <w:rPr>
                <w:rFonts w:hint="default"/>
              </w:rPr>
            </w:pPr>
            <w:r>
              <w:t>1.成交供应商如违反合同约定，所供货物不符合合同约定的质量标准的，采购人有权拒收，成交供应商必须在采购人要求的时间内全部调换至合格为止。不能按时调换至合格的或不及时、不足量供货的，每延期1天，需以该欠货物的总款额为基数，按每日2%的标准向采购人支付逾期违约金；成交供应商逾期30日仍不能完成交付并验收合格的，采购人有权解除合同，并追究成交供应商因此给采购人造成的全部损失。</w:t>
            </w:r>
          </w:p>
          <w:p w14:paraId="06FA3E81">
            <w:pPr>
              <w:pStyle w:val="40"/>
              <w:ind w:firstLine="420"/>
              <w:jc w:val="both"/>
              <w:rPr>
                <w:rFonts w:hint="default"/>
              </w:rPr>
            </w:pPr>
            <w:r>
              <w:t>2.成交供应商无正当理由拖延供货，导致采购人用药短缺或断货的，采购人有权解除合同并另行选择其他配送供应商。</w:t>
            </w:r>
          </w:p>
        </w:tc>
      </w:tr>
    </w:tbl>
    <w:p w14:paraId="359B7171">
      <w:pPr>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七、响应文件中提供：</w:t>
      </w:r>
    </w:p>
    <w:p w14:paraId="0633F2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1.仓储能力：包括但不限于药用原辅料的仓储条件、库存充足性、控湿控温设备及仓储方案。</w:t>
      </w:r>
    </w:p>
    <w:p w14:paraId="199655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2.服务方案及质量保障措施:包括但不限于服务方案、质量保证措施情况。</w:t>
      </w:r>
    </w:p>
    <w:p w14:paraId="034DB1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3.售后服务方案：包括但不限于质保期、人员安排、退换货、质量事故处理售后等内容。</w:t>
      </w:r>
    </w:p>
    <w:p w14:paraId="21394A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4.应急服务方案：包括但不限于供货应急保障措施、各类突发性事件制定的处理措施、应急预案等内容。</w:t>
      </w:r>
    </w:p>
    <w:sectPr>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40A5E"/>
    <w:multiLevelType w:val="singleLevel"/>
    <w:tmpl w:val="22740A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07E9"/>
    <w:rsid w:val="000019BB"/>
    <w:rsid w:val="00004CCA"/>
    <w:rsid w:val="000118E9"/>
    <w:rsid w:val="00012E5A"/>
    <w:rsid w:val="00015BD1"/>
    <w:rsid w:val="000219E4"/>
    <w:rsid w:val="000277B2"/>
    <w:rsid w:val="00031AA3"/>
    <w:rsid w:val="00034182"/>
    <w:rsid w:val="000367C1"/>
    <w:rsid w:val="00036D19"/>
    <w:rsid w:val="00037D01"/>
    <w:rsid w:val="00040720"/>
    <w:rsid w:val="00041595"/>
    <w:rsid w:val="00041DA1"/>
    <w:rsid w:val="00047515"/>
    <w:rsid w:val="00050AB9"/>
    <w:rsid w:val="00053368"/>
    <w:rsid w:val="00054DA2"/>
    <w:rsid w:val="000568E5"/>
    <w:rsid w:val="000702E4"/>
    <w:rsid w:val="00075A30"/>
    <w:rsid w:val="00077319"/>
    <w:rsid w:val="0008417C"/>
    <w:rsid w:val="00085AC3"/>
    <w:rsid w:val="00086DB4"/>
    <w:rsid w:val="00086DE4"/>
    <w:rsid w:val="00091004"/>
    <w:rsid w:val="000971D8"/>
    <w:rsid w:val="000A3865"/>
    <w:rsid w:val="000A4CC6"/>
    <w:rsid w:val="000A5F0D"/>
    <w:rsid w:val="000A7AA5"/>
    <w:rsid w:val="000B6617"/>
    <w:rsid w:val="000B7966"/>
    <w:rsid w:val="000C49BC"/>
    <w:rsid w:val="000C504E"/>
    <w:rsid w:val="000E2EBC"/>
    <w:rsid w:val="000E3B2D"/>
    <w:rsid w:val="000E3C35"/>
    <w:rsid w:val="000F11E3"/>
    <w:rsid w:val="000F2FF6"/>
    <w:rsid w:val="000F7684"/>
    <w:rsid w:val="00103991"/>
    <w:rsid w:val="0010475E"/>
    <w:rsid w:val="00104D53"/>
    <w:rsid w:val="00107F23"/>
    <w:rsid w:val="001143D5"/>
    <w:rsid w:val="00116B37"/>
    <w:rsid w:val="00117944"/>
    <w:rsid w:val="001229B6"/>
    <w:rsid w:val="00123DCB"/>
    <w:rsid w:val="00131B42"/>
    <w:rsid w:val="0013349C"/>
    <w:rsid w:val="001336B6"/>
    <w:rsid w:val="001340E3"/>
    <w:rsid w:val="00136096"/>
    <w:rsid w:val="00136BAC"/>
    <w:rsid w:val="00136C4F"/>
    <w:rsid w:val="00140435"/>
    <w:rsid w:val="00140C6E"/>
    <w:rsid w:val="00141F24"/>
    <w:rsid w:val="00143CC4"/>
    <w:rsid w:val="0014404B"/>
    <w:rsid w:val="00150876"/>
    <w:rsid w:val="0015219A"/>
    <w:rsid w:val="001529DA"/>
    <w:rsid w:val="001549E9"/>
    <w:rsid w:val="00155BDC"/>
    <w:rsid w:val="0016399D"/>
    <w:rsid w:val="00164E63"/>
    <w:rsid w:val="00166576"/>
    <w:rsid w:val="00172760"/>
    <w:rsid w:val="0017373A"/>
    <w:rsid w:val="0017407B"/>
    <w:rsid w:val="00181A10"/>
    <w:rsid w:val="00181E13"/>
    <w:rsid w:val="00184D21"/>
    <w:rsid w:val="00186BEE"/>
    <w:rsid w:val="001A00C3"/>
    <w:rsid w:val="001A734E"/>
    <w:rsid w:val="001A78AD"/>
    <w:rsid w:val="001B007F"/>
    <w:rsid w:val="001B3B71"/>
    <w:rsid w:val="001C0E7D"/>
    <w:rsid w:val="001C65C3"/>
    <w:rsid w:val="001C6A9D"/>
    <w:rsid w:val="001D3296"/>
    <w:rsid w:val="001E172C"/>
    <w:rsid w:val="001E1FB5"/>
    <w:rsid w:val="001E7FA6"/>
    <w:rsid w:val="001F0EA9"/>
    <w:rsid w:val="001F3254"/>
    <w:rsid w:val="001F478D"/>
    <w:rsid w:val="00201EB2"/>
    <w:rsid w:val="002025BD"/>
    <w:rsid w:val="00204EA0"/>
    <w:rsid w:val="00205669"/>
    <w:rsid w:val="002070B8"/>
    <w:rsid w:val="002137D7"/>
    <w:rsid w:val="00213D08"/>
    <w:rsid w:val="00214CB3"/>
    <w:rsid w:val="00215A0A"/>
    <w:rsid w:val="002175C3"/>
    <w:rsid w:val="00226C9A"/>
    <w:rsid w:val="002316C5"/>
    <w:rsid w:val="00235A30"/>
    <w:rsid w:val="00243197"/>
    <w:rsid w:val="0024654A"/>
    <w:rsid w:val="00250995"/>
    <w:rsid w:val="00251F62"/>
    <w:rsid w:val="00257553"/>
    <w:rsid w:val="0026007C"/>
    <w:rsid w:val="002618B4"/>
    <w:rsid w:val="00263B6E"/>
    <w:rsid w:val="00264457"/>
    <w:rsid w:val="0026592E"/>
    <w:rsid w:val="00270C4D"/>
    <w:rsid w:val="00270E9A"/>
    <w:rsid w:val="0027389B"/>
    <w:rsid w:val="0027633A"/>
    <w:rsid w:val="0028205D"/>
    <w:rsid w:val="00284D10"/>
    <w:rsid w:val="00285DB9"/>
    <w:rsid w:val="002878D8"/>
    <w:rsid w:val="00291745"/>
    <w:rsid w:val="00291E19"/>
    <w:rsid w:val="002A1D67"/>
    <w:rsid w:val="002A3CB8"/>
    <w:rsid w:val="002A4960"/>
    <w:rsid w:val="002B1289"/>
    <w:rsid w:val="002B1A84"/>
    <w:rsid w:val="002C156A"/>
    <w:rsid w:val="002D0ACC"/>
    <w:rsid w:val="002E0E03"/>
    <w:rsid w:val="002E311D"/>
    <w:rsid w:val="002F06E8"/>
    <w:rsid w:val="002F0A6B"/>
    <w:rsid w:val="002F15C0"/>
    <w:rsid w:val="002F2E33"/>
    <w:rsid w:val="002F2E43"/>
    <w:rsid w:val="002F4CDD"/>
    <w:rsid w:val="002F5119"/>
    <w:rsid w:val="002F5674"/>
    <w:rsid w:val="002F704E"/>
    <w:rsid w:val="002F795A"/>
    <w:rsid w:val="002F7E3F"/>
    <w:rsid w:val="00312E95"/>
    <w:rsid w:val="00321083"/>
    <w:rsid w:val="003213B7"/>
    <w:rsid w:val="003224AC"/>
    <w:rsid w:val="00324410"/>
    <w:rsid w:val="00324617"/>
    <w:rsid w:val="00325378"/>
    <w:rsid w:val="0032563F"/>
    <w:rsid w:val="00326D2B"/>
    <w:rsid w:val="003338E1"/>
    <w:rsid w:val="0033628B"/>
    <w:rsid w:val="0034169A"/>
    <w:rsid w:val="00350CCF"/>
    <w:rsid w:val="003567D3"/>
    <w:rsid w:val="00357590"/>
    <w:rsid w:val="003676CC"/>
    <w:rsid w:val="00371A41"/>
    <w:rsid w:val="0037233B"/>
    <w:rsid w:val="0037420B"/>
    <w:rsid w:val="00374C96"/>
    <w:rsid w:val="003764F6"/>
    <w:rsid w:val="0037726D"/>
    <w:rsid w:val="0038033A"/>
    <w:rsid w:val="00384BD1"/>
    <w:rsid w:val="00385E27"/>
    <w:rsid w:val="0038675A"/>
    <w:rsid w:val="00391491"/>
    <w:rsid w:val="00397EB6"/>
    <w:rsid w:val="003A1799"/>
    <w:rsid w:val="003A33D5"/>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05F0A"/>
    <w:rsid w:val="00414FE3"/>
    <w:rsid w:val="004166E2"/>
    <w:rsid w:val="00442A3E"/>
    <w:rsid w:val="004455B9"/>
    <w:rsid w:val="00447756"/>
    <w:rsid w:val="00452C30"/>
    <w:rsid w:val="004565B9"/>
    <w:rsid w:val="00457195"/>
    <w:rsid w:val="00457853"/>
    <w:rsid w:val="00457ACA"/>
    <w:rsid w:val="0046623E"/>
    <w:rsid w:val="004711E1"/>
    <w:rsid w:val="0047301C"/>
    <w:rsid w:val="004737C1"/>
    <w:rsid w:val="0047383E"/>
    <w:rsid w:val="00477B9A"/>
    <w:rsid w:val="004929DF"/>
    <w:rsid w:val="0049333C"/>
    <w:rsid w:val="00495D64"/>
    <w:rsid w:val="004A20C0"/>
    <w:rsid w:val="004A271C"/>
    <w:rsid w:val="004A27FD"/>
    <w:rsid w:val="004A65F1"/>
    <w:rsid w:val="004B04D6"/>
    <w:rsid w:val="004B09B8"/>
    <w:rsid w:val="004B4AD5"/>
    <w:rsid w:val="004C3F2D"/>
    <w:rsid w:val="004C687B"/>
    <w:rsid w:val="004D1EDD"/>
    <w:rsid w:val="004D3068"/>
    <w:rsid w:val="004D362E"/>
    <w:rsid w:val="004D5E6F"/>
    <w:rsid w:val="004D67F1"/>
    <w:rsid w:val="004D7BBF"/>
    <w:rsid w:val="004E008B"/>
    <w:rsid w:val="004E0AFF"/>
    <w:rsid w:val="004E44C9"/>
    <w:rsid w:val="004E7C84"/>
    <w:rsid w:val="004E7DBD"/>
    <w:rsid w:val="004F0797"/>
    <w:rsid w:val="004F1462"/>
    <w:rsid w:val="004F14E6"/>
    <w:rsid w:val="004F5050"/>
    <w:rsid w:val="004F5353"/>
    <w:rsid w:val="004F704A"/>
    <w:rsid w:val="005060A3"/>
    <w:rsid w:val="0051314E"/>
    <w:rsid w:val="005136E5"/>
    <w:rsid w:val="005261EA"/>
    <w:rsid w:val="0052759C"/>
    <w:rsid w:val="00533C5E"/>
    <w:rsid w:val="00533DF5"/>
    <w:rsid w:val="00537E0A"/>
    <w:rsid w:val="0054184D"/>
    <w:rsid w:val="005423F1"/>
    <w:rsid w:val="00542633"/>
    <w:rsid w:val="00546EFB"/>
    <w:rsid w:val="00550A48"/>
    <w:rsid w:val="00560489"/>
    <w:rsid w:val="0056590A"/>
    <w:rsid w:val="005673FE"/>
    <w:rsid w:val="005747B1"/>
    <w:rsid w:val="00581413"/>
    <w:rsid w:val="0058233C"/>
    <w:rsid w:val="005825E8"/>
    <w:rsid w:val="00593E42"/>
    <w:rsid w:val="005973D7"/>
    <w:rsid w:val="005A2E5E"/>
    <w:rsid w:val="005A53DB"/>
    <w:rsid w:val="005A78B6"/>
    <w:rsid w:val="005A7F08"/>
    <w:rsid w:val="005B1096"/>
    <w:rsid w:val="005B47C9"/>
    <w:rsid w:val="005C2C93"/>
    <w:rsid w:val="005C34CB"/>
    <w:rsid w:val="005C5539"/>
    <w:rsid w:val="005D161B"/>
    <w:rsid w:val="005D6096"/>
    <w:rsid w:val="005D7ECD"/>
    <w:rsid w:val="005E11AD"/>
    <w:rsid w:val="005E4D9F"/>
    <w:rsid w:val="005F52DB"/>
    <w:rsid w:val="0060415A"/>
    <w:rsid w:val="006067C0"/>
    <w:rsid w:val="006131D2"/>
    <w:rsid w:val="006141C5"/>
    <w:rsid w:val="006204FB"/>
    <w:rsid w:val="00621FF8"/>
    <w:rsid w:val="006223E8"/>
    <w:rsid w:val="00625A10"/>
    <w:rsid w:val="0063051B"/>
    <w:rsid w:val="006313F4"/>
    <w:rsid w:val="0063558C"/>
    <w:rsid w:val="006363DE"/>
    <w:rsid w:val="0064088C"/>
    <w:rsid w:val="006417F1"/>
    <w:rsid w:val="00641B1B"/>
    <w:rsid w:val="00651FED"/>
    <w:rsid w:val="00655A5F"/>
    <w:rsid w:val="006677B2"/>
    <w:rsid w:val="00670421"/>
    <w:rsid w:val="00671EF1"/>
    <w:rsid w:val="00672AB5"/>
    <w:rsid w:val="00673229"/>
    <w:rsid w:val="006752E8"/>
    <w:rsid w:val="00684E8D"/>
    <w:rsid w:val="006861EC"/>
    <w:rsid w:val="00690103"/>
    <w:rsid w:val="00692B50"/>
    <w:rsid w:val="00693CB7"/>
    <w:rsid w:val="006944DE"/>
    <w:rsid w:val="006958E4"/>
    <w:rsid w:val="006A359B"/>
    <w:rsid w:val="006A7044"/>
    <w:rsid w:val="006A7823"/>
    <w:rsid w:val="006B555B"/>
    <w:rsid w:val="006C1857"/>
    <w:rsid w:val="006C362B"/>
    <w:rsid w:val="006C4A65"/>
    <w:rsid w:val="006C6048"/>
    <w:rsid w:val="006C7DF8"/>
    <w:rsid w:val="006D2743"/>
    <w:rsid w:val="006D2FCF"/>
    <w:rsid w:val="006D40E7"/>
    <w:rsid w:val="006D4D5C"/>
    <w:rsid w:val="006D5F68"/>
    <w:rsid w:val="006D631E"/>
    <w:rsid w:val="006F28F7"/>
    <w:rsid w:val="006F2B26"/>
    <w:rsid w:val="00710738"/>
    <w:rsid w:val="00720FB8"/>
    <w:rsid w:val="0072191C"/>
    <w:rsid w:val="0072257B"/>
    <w:rsid w:val="00722736"/>
    <w:rsid w:val="00723C24"/>
    <w:rsid w:val="00726534"/>
    <w:rsid w:val="00733CA7"/>
    <w:rsid w:val="00733DEC"/>
    <w:rsid w:val="0073748E"/>
    <w:rsid w:val="00741A33"/>
    <w:rsid w:val="007461F8"/>
    <w:rsid w:val="007508C7"/>
    <w:rsid w:val="00755086"/>
    <w:rsid w:val="00755279"/>
    <w:rsid w:val="00755C3D"/>
    <w:rsid w:val="00761A1C"/>
    <w:rsid w:val="007624C7"/>
    <w:rsid w:val="00764EC4"/>
    <w:rsid w:val="00765213"/>
    <w:rsid w:val="00766650"/>
    <w:rsid w:val="00766854"/>
    <w:rsid w:val="00770DDE"/>
    <w:rsid w:val="00771BDC"/>
    <w:rsid w:val="00776593"/>
    <w:rsid w:val="00780670"/>
    <w:rsid w:val="00782075"/>
    <w:rsid w:val="00790247"/>
    <w:rsid w:val="00790CF3"/>
    <w:rsid w:val="00792283"/>
    <w:rsid w:val="00794B6C"/>
    <w:rsid w:val="00794D69"/>
    <w:rsid w:val="00797AB1"/>
    <w:rsid w:val="007A1BFA"/>
    <w:rsid w:val="007A5B03"/>
    <w:rsid w:val="007A68F4"/>
    <w:rsid w:val="007B601A"/>
    <w:rsid w:val="007B6AFC"/>
    <w:rsid w:val="007C240A"/>
    <w:rsid w:val="007C2986"/>
    <w:rsid w:val="007D09FC"/>
    <w:rsid w:val="007D3EF6"/>
    <w:rsid w:val="007D5B8D"/>
    <w:rsid w:val="007D7BCA"/>
    <w:rsid w:val="007E4023"/>
    <w:rsid w:val="007E4DAD"/>
    <w:rsid w:val="007E63DB"/>
    <w:rsid w:val="007E6723"/>
    <w:rsid w:val="007E7C08"/>
    <w:rsid w:val="007F4F5D"/>
    <w:rsid w:val="007F669B"/>
    <w:rsid w:val="007F7251"/>
    <w:rsid w:val="008026DF"/>
    <w:rsid w:val="008059EA"/>
    <w:rsid w:val="00807D2E"/>
    <w:rsid w:val="00810807"/>
    <w:rsid w:val="0081714C"/>
    <w:rsid w:val="008251FC"/>
    <w:rsid w:val="00827CCC"/>
    <w:rsid w:val="00832F2B"/>
    <w:rsid w:val="00834705"/>
    <w:rsid w:val="0083654B"/>
    <w:rsid w:val="008426C0"/>
    <w:rsid w:val="00860F44"/>
    <w:rsid w:val="008614DD"/>
    <w:rsid w:val="00867BCE"/>
    <w:rsid w:val="00876908"/>
    <w:rsid w:val="008804A8"/>
    <w:rsid w:val="0088322E"/>
    <w:rsid w:val="00885DF7"/>
    <w:rsid w:val="008873DD"/>
    <w:rsid w:val="00890BCC"/>
    <w:rsid w:val="008916D5"/>
    <w:rsid w:val="008931BD"/>
    <w:rsid w:val="00894CFF"/>
    <w:rsid w:val="00894F73"/>
    <w:rsid w:val="00895092"/>
    <w:rsid w:val="00897CBC"/>
    <w:rsid w:val="008A0B3B"/>
    <w:rsid w:val="008A123B"/>
    <w:rsid w:val="008B08BA"/>
    <w:rsid w:val="008B1F10"/>
    <w:rsid w:val="008B4B34"/>
    <w:rsid w:val="008B5635"/>
    <w:rsid w:val="008B6914"/>
    <w:rsid w:val="008C1A84"/>
    <w:rsid w:val="008C3AB0"/>
    <w:rsid w:val="008C5E8D"/>
    <w:rsid w:val="008D0644"/>
    <w:rsid w:val="008E5399"/>
    <w:rsid w:val="008F0B00"/>
    <w:rsid w:val="008F65C0"/>
    <w:rsid w:val="00905279"/>
    <w:rsid w:val="00906D4B"/>
    <w:rsid w:val="00910F69"/>
    <w:rsid w:val="00917CF5"/>
    <w:rsid w:val="00921191"/>
    <w:rsid w:val="00921257"/>
    <w:rsid w:val="0092568E"/>
    <w:rsid w:val="0093293A"/>
    <w:rsid w:val="009378B4"/>
    <w:rsid w:val="009440C8"/>
    <w:rsid w:val="009443F1"/>
    <w:rsid w:val="00947D94"/>
    <w:rsid w:val="009503A7"/>
    <w:rsid w:val="00954615"/>
    <w:rsid w:val="00956679"/>
    <w:rsid w:val="00957062"/>
    <w:rsid w:val="0095759E"/>
    <w:rsid w:val="00963A45"/>
    <w:rsid w:val="00970AF2"/>
    <w:rsid w:val="009776CF"/>
    <w:rsid w:val="00980116"/>
    <w:rsid w:val="00982A33"/>
    <w:rsid w:val="00990A4A"/>
    <w:rsid w:val="00991678"/>
    <w:rsid w:val="009937A8"/>
    <w:rsid w:val="00994DAC"/>
    <w:rsid w:val="00996AE6"/>
    <w:rsid w:val="009A278C"/>
    <w:rsid w:val="009A2C5E"/>
    <w:rsid w:val="009B3912"/>
    <w:rsid w:val="009B4254"/>
    <w:rsid w:val="009B6829"/>
    <w:rsid w:val="009C44D2"/>
    <w:rsid w:val="009C4EF0"/>
    <w:rsid w:val="009D181B"/>
    <w:rsid w:val="009D4A66"/>
    <w:rsid w:val="009E73A5"/>
    <w:rsid w:val="009E7B06"/>
    <w:rsid w:val="009F0EB0"/>
    <w:rsid w:val="009F5AFF"/>
    <w:rsid w:val="009F728A"/>
    <w:rsid w:val="00A050CD"/>
    <w:rsid w:val="00A111FA"/>
    <w:rsid w:val="00A12733"/>
    <w:rsid w:val="00A16520"/>
    <w:rsid w:val="00A232F3"/>
    <w:rsid w:val="00A238BD"/>
    <w:rsid w:val="00A261C0"/>
    <w:rsid w:val="00A303EA"/>
    <w:rsid w:val="00A330D6"/>
    <w:rsid w:val="00A33D54"/>
    <w:rsid w:val="00A40684"/>
    <w:rsid w:val="00A4298D"/>
    <w:rsid w:val="00A562A4"/>
    <w:rsid w:val="00A62BB4"/>
    <w:rsid w:val="00A63B81"/>
    <w:rsid w:val="00A654E7"/>
    <w:rsid w:val="00A719CE"/>
    <w:rsid w:val="00A83CC5"/>
    <w:rsid w:val="00A867FA"/>
    <w:rsid w:val="00A9033D"/>
    <w:rsid w:val="00A9067A"/>
    <w:rsid w:val="00A932FA"/>
    <w:rsid w:val="00AA2A1E"/>
    <w:rsid w:val="00AA343F"/>
    <w:rsid w:val="00AA76C5"/>
    <w:rsid w:val="00AB37E2"/>
    <w:rsid w:val="00AC4DE8"/>
    <w:rsid w:val="00AC509C"/>
    <w:rsid w:val="00AC583D"/>
    <w:rsid w:val="00AD189F"/>
    <w:rsid w:val="00AD2649"/>
    <w:rsid w:val="00AD75BB"/>
    <w:rsid w:val="00AE5251"/>
    <w:rsid w:val="00AF3C57"/>
    <w:rsid w:val="00AF498F"/>
    <w:rsid w:val="00AF74EA"/>
    <w:rsid w:val="00B03FCB"/>
    <w:rsid w:val="00B12A70"/>
    <w:rsid w:val="00B210CF"/>
    <w:rsid w:val="00B229F7"/>
    <w:rsid w:val="00B2612F"/>
    <w:rsid w:val="00B276EB"/>
    <w:rsid w:val="00B27C15"/>
    <w:rsid w:val="00B312A5"/>
    <w:rsid w:val="00B31B4C"/>
    <w:rsid w:val="00B32841"/>
    <w:rsid w:val="00B33C69"/>
    <w:rsid w:val="00B429E8"/>
    <w:rsid w:val="00B42F75"/>
    <w:rsid w:val="00B437A0"/>
    <w:rsid w:val="00B47AF4"/>
    <w:rsid w:val="00B54B94"/>
    <w:rsid w:val="00B550C9"/>
    <w:rsid w:val="00B62042"/>
    <w:rsid w:val="00B66A81"/>
    <w:rsid w:val="00B755D6"/>
    <w:rsid w:val="00B81155"/>
    <w:rsid w:val="00B83138"/>
    <w:rsid w:val="00B85F32"/>
    <w:rsid w:val="00B92B6E"/>
    <w:rsid w:val="00BA0693"/>
    <w:rsid w:val="00BB1F94"/>
    <w:rsid w:val="00BB22FA"/>
    <w:rsid w:val="00BB4314"/>
    <w:rsid w:val="00BC5277"/>
    <w:rsid w:val="00BC5C47"/>
    <w:rsid w:val="00BC7A8D"/>
    <w:rsid w:val="00BE2EA8"/>
    <w:rsid w:val="00BE2FDA"/>
    <w:rsid w:val="00BE5388"/>
    <w:rsid w:val="00C24297"/>
    <w:rsid w:val="00C36283"/>
    <w:rsid w:val="00C433EA"/>
    <w:rsid w:val="00C53CF0"/>
    <w:rsid w:val="00C55126"/>
    <w:rsid w:val="00C579C4"/>
    <w:rsid w:val="00C61B85"/>
    <w:rsid w:val="00C73A36"/>
    <w:rsid w:val="00C7443D"/>
    <w:rsid w:val="00C7719D"/>
    <w:rsid w:val="00C92BF1"/>
    <w:rsid w:val="00C93E15"/>
    <w:rsid w:val="00C97A6F"/>
    <w:rsid w:val="00CA540A"/>
    <w:rsid w:val="00CB22A2"/>
    <w:rsid w:val="00CB6FD7"/>
    <w:rsid w:val="00CC11B0"/>
    <w:rsid w:val="00CC1415"/>
    <w:rsid w:val="00CC32CE"/>
    <w:rsid w:val="00CC3B53"/>
    <w:rsid w:val="00CC5B3D"/>
    <w:rsid w:val="00CC6155"/>
    <w:rsid w:val="00CC6D29"/>
    <w:rsid w:val="00CD09E9"/>
    <w:rsid w:val="00CD0B49"/>
    <w:rsid w:val="00CD4E02"/>
    <w:rsid w:val="00CD7900"/>
    <w:rsid w:val="00CE1BE2"/>
    <w:rsid w:val="00CE3998"/>
    <w:rsid w:val="00CE4FC0"/>
    <w:rsid w:val="00CF2C48"/>
    <w:rsid w:val="00D02511"/>
    <w:rsid w:val="00D03501"/>
    <w:rsid w:val="00D04940"/>
    <w:rsid w:val="00D11364"/>
    <w:rsid w:val="00D12AE8"/>
    <w:rsid w:val="00D14317"/>
    <w:rsid w:val="00D148AD"/>
    <w:rsid w:val="00D171D8"/>
    <w:rsid w:val="00D213BE"/>
    <w:rsid w:val="00D2561F"/>
    <w:rsid w:val="00D26615"/>
    <w:rsid w:val="00D2740F"/>
    <w:rsid w:val="00D3527E"/>
    <w:rsid w:val="00D52D89"/>
    <w:rsid w:val="00D5355B"/>
    <w:rsid w:val="00D53C0F"/>
    <w:rsid w:val="00D73B8A"/>
    <w:rsid w:val="00D747AD"/>
    <w:rsid w:val="00D75021"/>
    <w:rsid w:val="00D84D7C"/>
    <w:rsid w:val="00D94820"/>
    <w:rsid w:val="00D9594D"/>
    <w:rsid w:val="00D97C44"/>
    <w:rsid w:val="00DA01FE"/>
    <w:rsid w:val="00DA273D"/>
    <w:rsid w:val="00DA3BF0"/>
    <w:rsid w:val="00DA42CC"/>
    <w:rsid w:val="00DA6114"/>
    <w:rsid w:val="00DC0DDA"/>
    <w:rsid w:val="00DC224A"/>
    <w:rsid w:val="00DC4F0E"/>
    <w:rsid w:val="00DD12C4"/>
    <w:rsid w:val="00DD1534"/>
    <w:rsid w:val="00DE09BE"/>
    <w:rsid w:val="00DE5CD0"/>
    <w:rsid w:val="00DE6831"/>
    <w:rsid w:val="00DF0E49"/>
    <w:rsid w:val="00DF1C93"/>
    <w:rsid w:val="00DF2DFC"/>
    <w:rsid w:val="00DF3FF0"/>
    <w:rsid w:val="00E005F9"/>
    <w:rsid w:val="00E0178E"/>
    <w:rsid w:val="00E05157"/>
    <w:rsid w:val="00E06336"/>
    <w:rsid w:val="00E06942"/>
    <w:rsid w:val="00E06B32"/>
    <w:rsid w:val="00E10048"/>
    <w:rsid w:val="00E22E99"/>
    <w:rsid w:val="00E243A4"/>
    <w:rsid w:val="00E24ABC"/>
    <w:rsid w:val="00E31149"/>
    <w:rsid w:val="00E33138"/>
    <w:rsid w:val="00E34FA0"/>
    <w:rsid w:val="00E35B8A"/>
    <w:rsid w:val="00E40AED"/>
    <w:rsid w:val="00E41EDB"/>
    <w:rsid w:val="00E422D0"/>
    <w:rsid w:val="00E43146"/>
    <w:rsid w:val="00E52367"/>
    <w:rsid w:val="00E550E2"/>
    <w:rsid w:val="00E56A0C"/>
    <w:rsid w:val="00E629C7"/>
    <w:rsid w:val="00E6396D"/>
    <w:rsid w:val="00E64444"/>
    <w:rsid w:val="00E70910"/>
    <w:rsid w:val="00E72BFA"/>
    <w:rsid w:val="00E804A2"/>
    <w:rsid w:val="00E81F2D"/>
    <w:rsid w:val="00E87954"/>
    <w:rsid w:val="00E9082D"/>
    <w:rsid w:val="00E918E0"/>
    <w:rsid w:val="00E91AC0"/>
    <w:rsid w:val="00E96ACA"/>
    <w:rsid w:val="00EA3DA9"/>
    <w:rsid w:val="00EB79AD"/>
    <w:rsid w:val="00EC063C"/>
    <w:rsid w:val="00EC08AB"/>
    <w:rsid w:val="00EC1250"/>
    <w:rsid w:val="00EC46EE"/>
    <w:rsid w:val="00ED2EF2"/>
    <w:rsid w:val="00ED597B"/>
    <w:rsid w:val="00EE1FFC"/>
    <w:rsid w:val="00EE5422"/>
    <w:rsid w:val="00EE5B98"/>
    <w:rsid w:val="00EE7F61"/>
    <w:rsid w:val="00EF29BA"/>
    <w:rsid w:val="00EF3EF9"/>
    <w:rsid w:val="00EF7BC1"/>
    <w:rsid w:val="00EF7E47"/>
    <w:rsid w:val="00F022DD"/>
    <w:rsid w:val="00F04C55"/>
    <w:rsid w:val="00F12022"/>
    <w:rsid w:val="00F14FE7"/>
    <w:rsid w:val="00F158A4"/>
    <w:rsid w:val="00F222C5"/>
    <w:rsid w:val="00F3736F"/>
    <w:rsid w:val="00F40360"/>
    <w:rsid w:val="00F40736"/>
    <w:rsid w:val="00F45404"/>
    <w:rsid w:val="00F45752"/>
    <w:rsid w:val="00F47A8A"/>
    <w:rsid w:val="00F47BE4"/>
    <w:rsid w:val="00F504E4"/>
    <w:rsid w:val="00F55A51"/>
    <w:rsid w:val="00F55CCC"/>
    <w:rsid w:val="00F60510"/>
    <w:rsid w:val="00F6118B"/>
    <w:rsid w:val="00F627CA"/>
    <w:rsid w:val="00F63308"/>
    <w:rsid w:val="00F67F3F"/>
    <w:rsid w:val="00F67F4D"/>
    <w:rsid w:val="00F74FE7"/>
    <w:rsid w:val="00F76824"/>
    <w:rsid w:val="00F96B23"/>
    <w:rsid w:val="00FA5EEA"/>
    <w:rsid w:val="00FA73C2"/>
    <w:rsid w:val="00FB283B"/>
    <w:rsid w:val="00FB2E8B"/>
    <w:rsid w:val="00FC423D"/>
    <w:rsid w:val="00FC4E60"/>
    <w:rsid w:val="00FC5D3F"/>
    <w:rsid w:val="00FD05C5"/>
    <w:rsid w:val="00FD0F62"/>
    <w:rsid w:val="00FD2809"/>
    <w:rsid w:val="00FD6FA7"/>
    <w:rsid w:val="00FE3DCF"/>
    <w:rsid w:val="00FE627E"/>
    <w:rsid w:val="00FE6ACE"/>
    <w:rsid w:val="00FF1849"/>
    <w:rsid w:val="00FF1A62"/>
    <w:rsid w:val="00FF66EA"/>
    <w:rsid w:val="06C73C1D"/>
    <w:rsid w:val="07AD288C"/>
    <w:rsid w:val="07F24355"/>
    <w:rsid w:val="08026572"/>
    <w:rsid w:val="0A8D56A9"/>
    <w:rsid w:val="0C0E4F43"/>
    <w:rsid w:val="0CB860E4"/>
    <w:rsid w:val="0DE36C9A"/>
    <w:rsid w:val="11E047F4"/>
    <w:rsid w:val="125D4B35"/>
    <w:rsid w:val="12960B44"/>
    <w:rsid w:val="1758058A"/>
    <w:rsid w:val="18454F81"/>
    <w:rsid w:val="18BA393D"/>
    <w:rsid w:val="1A610916"/>
    <w:rsid w:val="1DBB1D54"/>
    <w:rsid w:val="20A67F2D"/>
    <w:rsid w:val="220A5774"/>
    <w:rsid w:val="22F84FCF"/>
    <w:rsid w:val="239D3981"/>
    <w:rsid w:val="23CA14B6"/>
    <w:rsid w:val="25B253D6"/>
    <w:rsid w:val="28F37284"/>
    <w:rsid w:val="2B87164D"/>
    <w:rsid w:val="2C1B4CC5"/>
    <w:rsid w:val="2E6432D6"/>
    <w:rsid w:val="2FEB2311"/>
    <w:rsid w:val="303671FA"/>
    <w:rsid w:val="34126A7A"/>
    <w:rsid w:val="36C16458"/>
    <w:rsid w:val="42473C75"/>
    <w:rsid w:val="430A17B4"/>
    <w:rsid w:val="52342D75"/>
    <w:rsid w:val="548A00F5"/>
    <w:rsid w:val="56EA713F"/>
    <w:rsid w:val="5772338C"/>
    <w:rsid w:val="588322F1"/>
    <w:rsid w:val="5A436546"/>
    <w:rsid w:val="5E763315"/>
    <w:rsid w:val="6A8F7F00"/>
    <w:rsid w:val="6CE25252"/>
    <w:rsid w:val="6D46353F"/>
    <w:rsid w:val="70F602E2"/>
    <w:rsid w:val="722412A1"/>
    <w:rsid w:val="731A186B"/>
    <w:rsid w:val="75990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next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character" w:customStyle="1" w:styleId="19">
    <w:name w:val="页眉 Char"/>
    <w:link w:val="12"/>
    <w:qFormat/>
    <w:uiPriority w:val="0"/>
    <w:rPr>
      <w:kern w:val="2"/>
      <w:sz w:val="18"/>
      <w:szCs w:val="18"/>
    </w:rPr>
  </w:style>
  <w:style w:type="paragraph" w:customStyle="1" w:styleId="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w:basedOn w:val="1"/>
    <w:qFormat/>
    <w:uiPriority w:val="0"/>
    <w:rPr>
      <w:rFonts w:ascii="Tahoma" w:hAnsi="Tahoma"/>
      <w:sz w:val="24"/>
      <w:szCs w:val="20"/>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1"/>
    <w:qFormat/>
    <w:uiPriority w:val="0"/>
    <w:pPr>
      <w:widowControl w:val="0"/>
      <w:jc w:val="both"/>
    </w:pPr>
    <w:rPr>
      <w:rFonts w:ascii="Calibri" w:hAnsi="Calibri" w:eastAsia="宋体" w:cs="Times New Roman"/>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3"/>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页脚 Char"/>
    <w:basedOn w:val="15"/>
    <w:link w:val="11"/>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Table Text"/>
    <w:basedOn w:val="1"/>
    <w:semiHidden/>
    <w:qFormat/>
    <w:uiPriority w:val="0"/>
    <w:rPr>
      <w:rFonts w:ascii="宋体" w:hAnsi="宋体" w:cs="宋体"/>
      <w:sz w:val="17"/>
      <w:szCs w:val="17"/>
      <w:lang w:eastAsia="en-US"/>
    </w:rPr>
  </w:style>
  <w:style w:type="paragraph" w:customStyle="1" w:styleId="38">
    <w:name w:val="样式 首行缩进:  2 字符 段前: 0.5 行 行距: 固定值 23 磅"/>
    <w:basedOn w:val="1"/>
    <w:qFormat/>
    <w:uiPriority w:val="0"/>
    <w:pPr>
      <w:widowControl/>
      <w:spacing w:beforeLines="50" w:after="200" w:line="460" w:lineRule="exact"/>
      <w:ind w:firstLine="420" w:firstLineChars="200"/>
    </w:pPr>
    <w:rPr>
      <w:rFonts w:ascii="宋体" w:cs="宋体" w:hAnsiTheme="minorHAnsi" w:eastAsiaTheme="minorEastAsia"/>
      <w:bCs/>
      <w:kern w:val="0"/>
      <w:sz w:val="28"/>
      <w:szCs w:val="22"/>
      <w:lang w:eastAsia="en-US" w:bidi="en-US"/>
    </w:rPr>
  </w:style>
  <w:style w:type="paragraph" w:customStyle="1" w:styleId="39">
    <w:name w:val="投标正文小四"/>
    <w:basedOn w:val="1"/>
    <w:qFormat/>
    <w:uiPriority w:val="0"/>
    <w:pPr>
      <w:spacing w:line="360" w:lineRule="auto"/>
      <w:ind w:firstLine="200" w:firstLineChars="200"/>
    </w:pPr>
    <w:rPr>
      <w:sz w:val="24"/>
    </w:rPr>
  </w:style>
  <w:style w:type="paragraph" w:customStyle="1" w:styleId="40">
    <w:name w:val="null3"/>
    <w:hidden/>
    <w:qFormat/>
    <w:uiPriority w:val="0"/>
    <w:rPr>
      <w:rFonts w:hint="eastAsia"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407</Words>
  <Characters>2324</Characters>
  <Lines>19</Lines>
  <Paragraphs>5</Paragraphs>
  <TotalTime>0</TotalTime>
  <ScaleCrop>false</ScaleCrop>
  <LinksUpToDate>false</LinksUpToDate>
  <CharactersWithSpaces>2726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Administrator</cp:lastModifiedBy>
  <cp:lastPrinted>2022-05-06T03:07:00Z</cp:lastPrinted>
  <dcterms:modified xsi:type="dcterms:W3CDTF">2026-04-08T09:57:38Z</dcterms:modified>
  <dc:title>用户需求书（参考格式）</dc:title>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C569E7D2D9134CB09EE63D36D6A3970C_13</vt:lpwstr>
  </property>
</Properties>
</file>