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bCs/>
          <w:sz w:val="30"/>
          <w:szCs w:val="30"/>
          <w:lang w:val="en-US" w:eastAsia="zh-CN"/>
        </w:rPr>
      </w:pPr>
      <w:bookmarkStart w:id="0" w:name="_Toc240108023"/>
      <w:bookmarkStart w:id="1" w:name="_Toc159385043"/>
      <w:bookmarkStart w:id="2" w:name="_Toc273255337"/>
      <w:bookmarkStart w:id="3" w:name="_Toc324867166"/>
      <w:bookmarkStart w:id="4" w:name="_Toc240108078"/>
      <w:r>
        <w:rPr>
          <w:rFonts w:hint="eastAsia"/>
          <w:sz w:val="28"/>
          <w:szCs w:val="28"/>
          <w:highlight w:val="none"/>
          <w:lang w:val="en-US" w:eastAsia="zh-CN"/>
        </w:rPr>
        <w:t xml:space="preserve">附件1：                    </w:t>
      </w:r>
      <w:r>
        <w:rPr>
          <w:rFonts w:hint="eastAsia"/>
          <w:b/>
          <w:bCs/>
          <w:sz w:val="30"/>
          <w:szCs w:val="30"/>
          <w:lang w:val="en-US" w:eastAsia="zh-CN"/>
        </w:rPr>
        <w:t>用户需求书</w:t>
      </w:r>
    </w:p>
    <w:p>
      <w:pPr>
        <w:jc w:val="center"/>
        <w:rPr>
          <w:b/>
          <w:sz w:val="24"/>
          <w:szCs w:val="44"/>
        </w:rPr>
      </w:pPr>
    </w:p>
    <w:p>
      <w:pPr>
        <w:pStyle w:val="14"/>
        <w:ind w:firstLine="482"/>
        <w:rPr>
          <w:b/>
          <w:color w:val="auto"/>
          <w:highlight w:val="none"/>
        </w:rPr>
      </w:pPr>
      <w:r>
        <w:rPr>
          <w:rFonts w:hint="eastAsia"/>
          <w:b/>
          <w:color w:val="auto"/>
          <w:highlight w:val="none"/>
        </w:rPr>
        <w:t>总则</w:t>
      </w:r>
    </w:p>
    <w:p>
      <w:pPr>
        <w:pStyle w:val="14"/>
        <w:ind w:firstLine="480"/>
        <w:rPr>
          <w:color w:val="auto"/>
          <w:highlight w:val="none"/>
        </w:rPr>
      </w:pPr>
      <w:r>
        <w:rPr>
          <w:rFonts w:hint="eastAsia"/>
          <w:color w:val="auto"/>
          <w:highlight w:val="none"/>
        </w:rPr>
        <w:t>1、成交供应商必须按国家、行业的标准及采购文件的要求对本项目提供相应的货物及服务。</w:t>
      </w:r>
    </w:p>
    <w:p>
      <w:pPr>
        <w:pStyle w:val="14"/>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w:t>
      </w:r>
      <w:r>
        <w:rPr>
          <w:rFonts w:hint="eastAsia"/>
          <w:color w:val="000000" w:themeColor="text1"/>
          <w:highlight w:val="none"/>
          <w:lang w:eastAsia="zh-CN"/>
          <w14:textFill>
            <w14:solidFill>
              <w14:schemeClr w14:val="tx1"/>
            </w14:solidFill>
          </w14:textFill>
        </w:rPr>
        <w:t>，</w:t>
      </w:r>
      <w:r>
        <w:rPr>
          <w:rFonts w:hint="eastAsia"/>
          <w:color w:val="auto"/>
          <w:highlight w:val="none"/>
        </w:rPr>
        <w:t>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pPr>
        <w:pStyle w:val="14"/>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pPr>
        <w:numPr>
          <w:ilvl w:val="0"/>
          <w:numId w:val="0"/>
        </w:numPr>
        <w:spacing w:line="360" w:lineRule="auto"/>
        <w:ind w:leftChars="0" w:right="0" w:rightChars="0"/>
        <w:rPr>
          <w:rFonts w:hint="eastAsia" w:ascii="宋体" w:hAnsi="宋体" w:eastAsia="宋体" w:cs="宋体"/>
          <w:b/>
          <w:bCs/>
          <w:color w:val="auto"/>
          <w:sz w:val="22"/>
          <w:szCs w:val="22"/>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bCs/>
          <w:color w:val="auto"/>
          <w:sz w:val="24"/>
          <w:szCs w:val="24"/>
          <w:lang w:val="en-US" w:eastAsia="zh-CN" w:bidi="ar-SA"/>
        </w:rPr>
        <w:t>项目名称：</w:t>
      </w:r>
      <w:bookmarkEnd w:id="0"/>
      <w:bookmarkEnd w:id="1"/>
      <w:bookmarkEnd w:id="2"/>
      <w:bookmarkEnd w:id="3"/>
      <w:bookmarkEnd w:id="4"/>
      <w:r>
        <w:rPr>
          <w:rFonts w:hint="eastAsia" w:ascii="宋体" w:hAnsi="宋体" w:eastAsia="宋体" w:cs="宋体"/>
          <w:b w:val="0"/>
          <w:bCs w:val="0"/>
          <w:color w:val="auto"/>
          <w:sz w:val="24"/>
          <w:szCs w:val="24"/>
          <w:lang w:val="en-US" w:eastAsia="zh-CN" w:bidi="ar-SA"/>
        </w:rPr>
        <w:t>中山市黄圃人民医院202</w:t>
      </w:r>
      <w:r>
        <w:rPr>
          <w:rFonts w:hint="eastAsia" w:ascii="宋体" w:hAnsi="宋体" w:cs="宋体"/>
          <w:b w:val="0"/>
          <w:bCs w:val="0"/>
          <w:color w:val="auto"/>
          <w:sz w:val="24"/>
          <w:szCs w:val="24"/>
          <w:lang w:val="en-US" w:eastAsia="zh-CN" w:bidi="ar-SA"/>
        </w:rPr>
        <w:t>6</w:t>
      </w:r>
      <w:r>
        <w:rPr>
          <w:rFonts w:hint="eastAsia" w:ascii="宋体" w:hAnsi="宋体" w:eastAsia="宋体" w:cs="宋体"/>
          <w:b w:val="0"/>
          <w:bCs w:val="0"/>
          <w:color w:val="auto"/>
          <w:sz w:val="24"/>
          <w:szCs w:val="24"/>
          <w:lang w:val="en-US" w:eastAsia="zh-CN" w:bidi="ar-SA"/>
        </w:rPr>
        <w:t>年护士节蛋糕采购项目</w:t>
      </w:r>
    </w:p>
    <w:p>
      <w:pPr>
        <w:pStyle w:val="2"/>
        <w:numPr>
          <w:numId w:val="0"/>
        </w:numPr>
      </w:pPr>
      <w:r>
        <w:rPr>
          <w:rFonts w:hint="eastAsia" w:ascii="宋体" w:hAnsi="宋体" w:eastAsia="宋体" w:cs="宋体"/>
          <w:b/>
          <w:bCs/>
          <w:kern w:val="2"/>
          <w:sz w:val="24"/>
          <w:szCs w:val="24"/>
          <w:lang w:val="en-US" w:eastAsia="zh-CN" w:bidi="ar-SA"/>
        </w:rPr>
        <w:t>二、项目编号：</w:t>
      </w:r>
      <w:bookmarkStart w:id="5" w:name="OLE_LINK3"/>
      <w:r>
        <w:rPr>
          <w:rFonts w:hint="eastAsia" w:ascii="Times New Roman" w:hAnsi="Times New Roman" w:eastAsia="宋体" w:cs="Times New Roman"/>
          <w:b w:val="0"/>
          <w:bCs/>
          <w:color w:val="auto"/>
          <w:kern w:val="2"/>
          <w:sz w:val="24"/>
          <w:szCs w:val="22"/>
          <w:highlight w:val="none"/>
          <w:lang w:val="en-US" w:eastAsia="zh-CN" w:bidi="ar-SA"/>
        </w:rPr>
        <w:t>PYCG-HL-202604-0</w:t>
      </w:r>
      <w:bookmarkEnd w:id="5"/>
      <w:r>
        <w:rPr>
          <w:rFonts w:hint="eastAsia" w:ascii="Times New Roman" w:hAnsi="Times New Roman" w:eastAsia="宋体" w:cs="Times New Roman"/>
          <w:b w:val="0"/>
          <w:bCs/>
          <w:color w:val="auto"/>
          <w:kern w:val="2"/>
          <w:sz w:val="24"/>
          <w:szCs w:val="22"/>
          <w:highlight w:val="none"/>
          <w:lang w:val="en-US" w:eastAsia="zh-CN" w:bidi="ar-SA"/>
        </w:rPr>
        <w:t>4。</w:t>
      </w:r>
    </w:p>
    <w:p>
      <w:pPr>
        <w:numPr>
          <w:ilvl w:val="0"/>
          <w:numId w:val="0"/>
        </w:numPr>
        <w:spacing w:line="360" w:lineRule="auto"/>
        <w:rPr>
          <w:rFonts w:hint="eastAsia" w:ascii="宋体" w:hAnsi="宋体"/>
          <w:b/>
          <w:sz w:val="24"/>
        </w:rPr>
      </w:pPr>
      <w:r>
        <w:rPr>
          <w:rFonts w:hint="eastAsia" w:ascii="宋体" w:hAnsi="宋体" w:cs="Times New Roman"/>
          <w:b/>
          <w:color w:val="auto"/>
          <w:kern w:val="2"/>
          <w:sz w:val="24"/>
          <w:szCs w:val="24"/>
          <w:lang w:val="en-US" w:eastAsia="zh-CN" w:bidi="ar-SA"/>
        </w:rPr>
        <w:t>二</w:t>
      </w:r>
      <w:r>
        <w:rPr>
          <w:rFonts w:hint="eastAsia" w:ascii="宋体" w:hAnsi="宋体" w:eastAsia="宋体" w:cs="Times New Roman"/>
          <w:b/>
          <w:color w:val="auto"/>
          <w:kern w:val="2"/>
          <w:sz w:val="24"/>
          <w:szCs w:val="24"/>
          <w:lang w:val="en-US" w:eastAsia="zh-CN" w:bidi="ar-SA"/>
        </w:rPr>
        <w:t>、</w:t>
      </w:r>
      <w:r>
        <w:rPr>
          <w:rFonts w:hint="eastAsia" w:ascii="宋体" w:hAnsi="宋体"/>
          <w:b/>
          <w:color w:val="auto"/>
          <w:sz w:val="24"/>
        </w:rPr>
        <w:t>采购</w:t>
      </w:r>
      <w:r>
        <w:rPr>
          <w:rFonts w:hint="eastAsia" w:ascii="宋体" w:hAnsi="宋体"/>
          <w:b/>
          <w:color w:val="auto"/>
          <w:sz w:val="24"/>
          <w:lang w:val="en-US" w:eastAsia="zh-CN"/>
        </w:rPr>
        <w:t>内容</w:t>
      </w:r>
      <w:r>
        <w:rPr>
          <w:rFonts w:hint="eastAsia" w:ascii="宋体" w:hAnsi="宋体"/>
          <w:b/>
          <w:color w:val="auto"/>
          <w:sz w:val="24"/>
        </w:rPr>
        <w:t>：</w:t>
      </w:r>
    </w:p>
    <w:p>
      <w:pPr>
        <w:pStyle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（一）采购清单</w:t>
      </w:r>
    </w:p>
    <w:tbl>
      <w:tblPr>
        <w:tblStyle w:val="8"/>
        <w:tblW w:w="8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710"/>
        <w:gridCol w:w="1058"/>
        <w:gridCol w:w="2474"/>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9" w:hRule="atLeast"/>
          <w:tblHeader/>
          <w:jc w:val="center"/>
        </w:trPr>
        <w:tc>
          <w:tcPr>
            <w:tcW w:w="1800" w:type="dxa"/>
            <w:tcBorders>
              <w:top w:val="single" w:color="auto" w:sz="4" w:space="0"/>
              <w:left w:val="single" w:color="auto" w:sz="4" w:space="0"/>
              <w:bottom w:val="single" w:color="auto" w:sz="4" w:space="0"/>
              <w:right w:val="single" w:color="auto" w:sz="4" w:space="0"/>
            </w:tcBorders>
            <w:vAlign w:val="center"/>
          </w:tcPr>
          <w:p>
            <w:pPr>
              <w:pStyle w:val="12"/>
              <w:jc w:val="center"/>
              <w:rPr>
                <w:rFonts w:ascii="宋体" w:hAnsi="宋体" w:cs="宋体"/>
                <w:b/>
                <w:bCs/>
                <w:color w:val="auto"/>
                <w:sz w:val="21"/>
                <w:szCs w:val="21"/>
              </w:rPr>
            </w:pPr>
            <w:r>
              <w:rPr>
                <w:rFonts w:hint="eastAsia" w:ascii="宋体" w:hAnsi="宋体" w:cs="宋体"/>
                <w:b/>
                <w:bCs/>
                <w:color w:val="auto"/>
                <w:sz w:val="21"/>
                <w:szCs w:val="21"/>
              </w:rPr>
              <w:t>产品名称</w:t>
            </w:r>
          </w:p>
        </w:tc>
        <w:tc>
          <w:tcPr>
            <w:tcW w:w="710" w:type="dxa"/>
            <w:tcBorders>
              <w:top w:val="single" w:color="auto" w:sz="4" w:space="0"/>
              <w:left w:val="single" w:color="auto" w:sz="4" w:space="0"/>
              <w:bottom w:val="single" w:color="auto" w:sz="4" w:space="0"/>
              <w:right w:val="single" w:color="auto" w:sz="4" w:space="0"/>
            </w:tcBorders>
            <w:vAlign w:val="center"/>
          </w:tcPr>
          <w:p>
            <w:pPr>
              <w:pStyle w:val="12"/>
              <w:widowControl/>
              <w:jc w:val="center"/>
              <w:rPr>
                <w:rFonts w:ascii="宋体" w:hAnsi="宋体" w:cs="宋体"/>
                <w:b/>
                <w:bCs/>
                <w:color w:val="auto"/>
                <w:sz w:val="21"/>
                <w:szCs w:val="21"/>
              </w:rPr>
            </w:pPr>
            <w:r>
              <w:rPr>
                <w:rFonts w:hint="eastAsia" w:ascii="宋体" w:hAnsi="宋体" w:cs="宋体"/>
                <w:b/>
                <w:bCs/>
                <w:color w:val="auto"/>
                <w:sz w:val="21"/>
                <w:szCs w:val="21"/>
              </w:rPr>
              <w:t>单位</w:t>
            </w:r>
          </w:p>
        </w:tc>
        <w:tc>
          <w:tcPr>
            <w:tcW w:w="1058" w:type="dxa"/>
            <w:tcBorders>
              <w:top w:val="single" w:color="auto" w:sz="4" w:space="0"/>
              <w:left w:val="single" w:color="auto" w:sz="4" w:space="0"/>
              <w:bottom w:val="single" w:color="auto" w:sz="4" w:space="0"/>
              <w:right w:val="single" w:color="auto" w:sz="4" w:space="0"/>
            </w:tcBorders>
            <w:vAlign w:val="center"/>
          </w:tcPr>
          <w:p>
            <w:pPr>
              <w:pStyle w:val="12"/>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rPr>
              <w:t>数量</w:t>
            </w:r>
          </w:p>
        </w:tc>
        <w:tc>
          <w:tcPr>
            <w:tcW w:w="2474" w:type="dxa"/>
            <w:tcBorders>
              <w:top w:val="single" w:color="auto" w:sz="4" w:space="0"/>
              <w:left w:val="single" w:color="auto" w:sz="4" w:space="0"/>
              <w:bottom w:val="single" w:color="auto" w:sz="4" w:space="0"/>
              <w:right w:val="single" w:color="auto" w:sz="4" w:space="0"/>
            </w:tcBorders>
            <w:vAlign w:val="center"/>
          </w:tcPr>
          <w:p>
            <w:pPr>
              <w:pStyle w:val="12"/>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单价最高限价（元/单位）</w:t>
            </w:r>
          </w:p>
        </w:tc>
        <w:tc>
          <w:tcPr>
            <w:tcW w:w="2709" w:type="dxa"/>
            <w:tcBorders>
              <w:top w:val="single" w:color="auto" w:sz="4" w:space="0"/>
              <w:left w:val="single" w:color="auto" w:sz="4" w:space="0"/>
              <w:bottom w:val="single" w:color="auto" w:sz="4" w:space="0"/>
              <w:right w:val="single" w:color="auto" w:sz="4" w:space="0"/>
            </w:tcBorders>
            <w:vAlign w:val="center"/>
          </w:tcPr>
          <w:p>
            <w:pPr>
              <w:pStyle w:val="12"/>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rPr>
              <w:t>规格及其他要求</w:t>
            </w:r>
            <w:r>
              <w:rPr>
                <w:rFonts w:hint="eastAsia" w:ascii="宋体" w:hAnsi="宋体" w:cs="宋体"/>
                <w:b/>
                <w:bCs/>
                <w:color w:val="auto"/>
                <w:sz w:val="21"/>
                <w:szCs w:val="21"/>
                <w:lang w:eastAsia="zh-CN"/>
              </w:rPr>
              <w:t>（单个</w:t>
            </w:r>
            <w:r>
              <w:rPr>
                <w:rFonts w:hint="eastAsia" w:ascii="宋体" w:hAnsi="宋体" w:cs="宋体"/>
                <w:b/>
                <w:bCs/>
                <w:color w:val="auto"/>
                <w:sz w:val="21"/>
                <w:szCs w:val="21"/>
                <w:lang w:val="en-US" w:eastAsia="zh-CN"/>
              </w:rPr>
              <w:t>/单份</w:t>
            </w:r>
            <w:r>
              <w:rPr>
                <w:rFonts w:hint="eastAsia" w:ascii="宋体" w:hAnsi="宋体"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6" w:hRule="atLeast"/>
          <w:jc w:val="center"/>
        </w:trPr>
        <w:tc>
          <w:tcPr>
            <w:tcW w:w="1800" w:type="dxa"/>
            <w:tcBorders>
              <w:top w:val="single" w:color="auto" w:sz="4" w:space="0"/>
              <w:left w:val="single" w:color="auto" w:sz="4" w:space="0"/>
              <w:bottom w:val="single" w:color="auto" w:sz="4" w:space="0"/>
              <w:right w:val="single" w:color="auto" w:sz="4" w:space="0"/>
            </w:tcBorders>
            <w:vAlign w:val="center"/>
          </w:tcPr>
          <w:p>
            <w:pPr>
              <w:pStyle w:val="12"/>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1磅蛋糕</w:t>
            </w:r>
          </w:p>
        </w:tc>
        <w:tc>
          <w:tcPr>
            <w:tcW w:w="710" w:type="dxa"/>
            <w:tcBorders>
              <w:top w:val="single" w:color="auto" w:sz="4" w:space="0"/>
              <w:left w:val="single" w:color="auto" w:sz="4" w:space="0"/>
              <w:bottom w:val="single" w:color="auto" w:sz="4" w:space="0"/>
              <w:right w:val="single" w:color="auto" w:sz="4" w:space="0"/>
            </w:tcBorders>
            <w:vAlign w:val="center"/>
          </w:tcPr>
          <w:p>
            <w:pPr>
              <w:pStyle w:val="12"/>
              <w:widowControl/>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个</w:t>
            </w:r>
          </w:p>
        </w:tc>
        <w:tc>
          <w:tcPr>
            <w:tcW w:w="1058" w:type="dxa"/>
            <w:tcBorders>
              <w:top w:val="single" w:color="auto" w:sz="4" w:space="0"/>
              <w:left w:val="single" w:color="auto" w:sz="4" w:space="0"/>
              <w:bottom w:val="single" w:color="auto" w:sz="4" w:space="0"/>
              <w:right w:val="single" w:color="auto" w:sz="4" w:space="0"/>
            </w:tcBorders>
            <w:vAlign w:val="center"/>
          </w:tcPr>
          <w:p>
            <w:pPr>
              <w:pStyle w:val="12"/>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34</w:t>
            </w:r>
          </w:p>
        </w:tc>
        <w:tc>
          <w:tcPr>
            <w:tcW w:w="2474" w:type="dxa"/>
            <w:tcBorders>
              <w:top w:val="single" w:color="auto" w:sz="4" w:space="0"/>
              <w:left w:val="single" w:color="auto" w:sz="4" w:space="0"/>
              <w:bottom w:val="single" w:color="auto" w:sz="4" w:space="0"/>
              <w:right w:val="single" w:color="auto" w:sz="4" w:space="0"/>
            </w:tcBorders>
            <w:vAlign w:val="center"/>
          </w:tcPr>
          <w:p>
            <w:pPr>
              <w:pStyle w:val="12"/>
              <w:widowControl/>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100</w:t>
            </w:r>
          </w:p>
        </w:tc>
        <w:tc>
          <w:tcPr>
            <w:tcW w:w="2709" w:type="dxa"/>
            <w:tcBorders>
              <w:top w:val="single" w:color="auto" w:sz="4" w:space="0"/>
              <w:left w:val="single" w:color="auto" w:sz="4" w:space="0"/>
              <w:bottom w:val="single" w:color="auto" w:sz="4" w:space="0"/>
              <w:right w:val="single" w:color="auto" w:sz="4" w:space="0"/>
            </w:tcBorders>
            <w:vAlign w:val="center"/>
          </w:tcPr>
          <w:p>
            <w:pPr>
              <w:pStyle w:val="12"/>
              <w:widowControl/>
              <w:jc w:val="center"/>
              <w:rPr>
                <w:rFonts w:ascii="宋体" w:hAnsi="宋体" w:cs="宋体"/>
                <w:color w:val="auto"/>
                <w:sz w:val="21"/>
                <w:szCs w:val="21"/>
              </w:rPr>
            </w:pPr>
            <w:r>
              <w:rPr>
                <w:rFonts w:hint="eastAsia" w:ascii="宋体" w:hAnsi="宋体" w:cs="宋体"/>
                <w:color w:val="auto"/>
                <w:sz w:val="21"/>
                <w:szCs w:val="21"/>
              </w:rPr>
              <w:t>详见</w:t>
            </w:r>
            <w:r>
              <w:rPr>
                <w:rFonts w:hint="eastAsia" w:ascii="宋体" w:hAnsi="宋体" w:cs="宋体"/>
                <w:color w:val="auto"/>
                <w:sz w:val="21"/>
                <w:szCs w:val="21"/>
                <w:lang w:val="en-US" w:eastAsia="zh-CN"/>
              </w:rPr>
              <w:t>附表</w:t>
            </w:r>
            <w:r>
              <w:rPr>
                <w:rFonts w:hint="eastAsia" w:ascii="宋体" w:hAnsi="宋体" w:cs="宋体"/>
                <w:color w:val="auto"/>
                <w:sz w:val="21"/>
                <w:szCs w:val="21"/>
              </w:rPr>
              <w:t>《</w:t>
            </w:r>
            <w:r>
              <w:rPr>
                <w:rFonts w:hint="eastAsia" w:ascii="宋体" w:hAnsi="宋体" w:cs="宋体"/>
                <w:color w:val="auto"/>
                <w:sz w:val="21"/>
                <w:szCs w:val="21"/>
                <w:lang w:eastAsia="zh-CN"/>
              </w:rPr>
              <w:t>配置</w:t>
            </w:r>
            <w:r>
              <w:rPr>
                <w:rFonts w:hint="eastAsia" w:ascii="宋体" w:hAnsi="宋体" w:cs="宋体"/>
                <w:color w:val="auto"/>
                <w:sz w:val="21"/>
                <w:szCs w:val="21"/>
              </w:rPr>
              <w:t>需求》</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eastAsia="宋体"/>
          <w:b/>
          <w:szCs w:val="21"/>
          <w:lang w:eastAsia="zh-CN"/>
        </w:rPr>
      </w:pPr>
      <w:r>
        <w:rPr>
          <w:rFonts w:hint="eastAsia" w:ascii="宋体" w:hAnsi="宋体" w:cs="宋体"/>
          <w:b/>
          <w:bCs/>
          <w:sz w:val="21"/>
          <w:szCs w:val="21"/>
          <w:lang w:val="en-US" w:eastAsia="zh-CN"/>
        </w:rPr>
        <w:t>附表：                             配置</w:t>
      </w:r>
      <w:r>
        <w:rPr>
          <w:rFonts w:hint="eastAsia"/>
          <w:b/>
          <w:szCs w:val="21"/>
        </w:rPr>
        <w:t>需求</w:t>
      </w:r>
      <w:r>
        <w:rPr>
          <w:rFonts w:hint="eastAsia"/>
          <w:b/>
          <w:szCs w:val="21"/>
          <w:lang w:eastAsia="zh-CN"/>
        </w:rPr>
        <w:t>（</w:t>
      </w:r>
      <w:r>
        <w:rPr>
          <w:rFonts w:hint="eastAsia" w:ascii="宋体" w:hAnsi="宋体" w:cs="宋体"/>
          <w:b/>
          <w:bCs/>
          <w:color w:val="auto"/>
          <w:sz w:val="21"/>
          <w:szCs w:val="21"/>
          <w:lang w:eastAsia="zh-CN"/>
        </w:rPr>
        <w:t>单个</w:t>
      </w:r>
      <w:r>
        <w:rPr>
          <w:rFonts w:hint="eastAsia" w:ascii="宋体" w:hAnsi="宋体" w:cs="宋体"/>
          <w:b/>
          <w:bCs/>
          <w:color w:val="auto"/>
          <w:sz w:val="21"/>
          <w:szCs w:val="21"/>
          <w:lang w:val="en-US" w:eastAsia="zh-CN"/>
        </w:rPr>
        <w:t>/单份</w:t>
      </w:r>
      <w:r>
        <w:rPr>
          <w:rFonts w:hint="eastAsia"/>
          <w:b/>
          <w:szCs w:val="21"/>
          <w:lang w:eastAsia="zh-CN"/>
        </w:rPr>
        <w:t>）</w:t>
      </w:r>
    </w:p>
    <w:tbl>
      <w:tblPr>
        <w:tblStyle w:val="8"/>
        <w:tblW w:w="851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45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387" w:type="dxa"/>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品种</w:t>
            </w:r>
          </w:p>
        </w:tc>
        <w:tc>
          <w:tcPr>
            <w:tcW w:w="3453" w:type="dxa"/>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备注</w:t>
            </w:r>
          </w:p>
        </w:tc>
        <w:tc>
          <w:tcPr>
            <w:tcW w:w="3670" w:type="dxa"/>
            <w:vAlign w:val="center"/>
          </w:tcPr>
          <w:p>
            <w:pPr>
              <w:widowControl/>
              <w:jc w:val="center"/>
              <w:rPr>
                <w:rFonts w:hint="eastAsia" w:ascii="宋体" w:hAnsi="宋体" w:eastAsia="宋体" w:cs="宋体"/>
                <w:b/>
                <w:bCs/>
                <w:color w:val="auto"/>
                <w:kern w:val="0"/>
                <w:sz w:val="22"/>
                <w:lang w:eastAsia="zh-CN"/>
              </w:rPr>
            </w:pPr>
            <w:r>
              <w:rPr>
                <w:rFonts w:hint="eastAsia" w:ascii="宋体" w:hAnsi="宋体" w:cs="宋体"/>
                <w:b/>
                <w:bCs/>
                <w:color w:val="auto"/>
                <w:kern w:val="0"/>
                <w:sz w:val="22"/>
                <w:lang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387" w:type="dxa"/>
            <w:vAlign w:val="center"/>
          </w:tcPr>
          <w:p>
            <w:pPr>
              <w:widowControl/>
              <w:jc w:val="center"/>
              <w:rPr>
                <w:rFonts w:ascii="宋体" w:hAnsi="宋体" w:cs="宋体"/>
                <w:color w:val="auto"/>
                <w:kern w:val="0"/>
                <w:sz w:val="22"/>
              </w:rPr>
            </w:pPr>
            <w:r>
              <w:rPr>
                <w:rFonts w:hint="eastAsia" w:ascii="宋体" w:hAnsi="宋体" w:cs="宋体"/>
                <w:color w:val="auto"/>
                <w:kern w:val="0"/>
                <w:sz w:val="22"/>
                <w:lang w:val="en-US" w:eastAsia="zh-CN"/>
              </w:rPr>
              <w:t>1磅蛋糕</w:t>
            </w:r>
          </w:p>
        </w:tc>
        <w:tc>
          <w:tcPr>
            <w:tcW w:w="3453" w:type="dxa"/>
            <w:vAlign w:val="center"/>
          </w:tcPr>
          <w:p>
            <w:pPr>
              <w:widowControl/>
              <w:numPr>
                <w:ilvl w:val="0"/>
                <w:numId w:val="0"/>
              </w:numPr>
              <w:jc w:val="left"/>
              <w:rPr>
                <w:rFonts w:hint="eastAsia" w:ascii="宋体" w:hAnsi="宋体" w:cs="宋体"/>
                <w:color w:val="auto"/>
                <w:kern w:val="0"/>
                <w:sz w:val="22"/>
                <w:lang w:val="en-US" w:eastAsia="zh-CN"/>
              </w:rPr>
            </w:pPr>
            <w:r>
              <w:rPr>
                <w:rFonts w:hint="eastAsia" w:ascii="宋体" w:hAnsi="宋体" w:eastAsia="宋体" w:cs="宋体"/>
                <w:color w:val="auto"/>
                <w:kern w:val="0"/>
                <w:sz w:val="22"/>
                <w:szCs w:val="24"/>
                <w:lang w:val="en-US" w:eastAsia="zh-CN" w:bidi="ar-SA"/>
              </w:rPr>
              <w:t>1.</w:t>
            </w:r>
            <w:r>
              <w:rPr>
                <w:rFonts w:hint="eastAsia" w:ascii="宋体" w:hAnsi="宋体" w:cs="宋体"/>
                <w:color w:val="auto"/>
                <w:kern w:val="0"/>
                <w:sz w:val="22"/>
                <w:lang w:val="en-US" w:eastAsia="zh-CN"/>
              </w:rPr>
              <w:t>材料新鲜。</w:t>
            </w:r>
          </w:p>
          <w:p>
            <w:pPr>
              <w:widowControl/>
              <w:numPr>
                <w:ilvl w:val="0"/>
                <w:numId w:val="0"/>
              </w:numPr>
              <w:jc w:val="left"/>
              <w:rPr>
                <w:rFonts w:hint="eastAsia" w:ascii="宋体" w:hAnsi="宋体" w:cs="宋体" w:eastAsiaTheme="minorEastAsia"/>
                <w:color w:val="auto"/>
                <w:kern w:val="0"/>
                <w:sz w:val="21"/>
                <w:szCs w:val="21"/>
                <w:lang w:val="en-US" w:eastAsia="zh-CN" w:bidi="ar-SA"/>
              </w:rPr>
            </w:pPr>
            <w:r>
              <w:rPr>
                <w:rFonts w:hint="eastAsia" w:ascii="宋体" w:hAnsi="宋体" w:eastAsia="宋体" w:cs="宋体"/>
                <w:color w:val="auto"/>
                <w:kern w:val="0"/>
                <w:sz w:val="22"/>
                <w:szCs w:val="24"/>
                <w:lang w:val="en-US" w:eastAsia="zh-CN" w:bidi="ar-SA"/>
              </w:rPr>
              <w:t>2.</w:t>
            </w:r>
            <w:r>
              <w:rPr>
                <w:rFonts w:hint="eastAsia" w:ascii="宋体" w:hAnsi="宋体" w:cs="宋体" w:eastAsiaTheme="minorEastAsia"/>
                <w:color w:val="auto"/>
                <w:kern w:val="0"/>
                <w:sz w:val="21"/>
                <w:szCs w:val="21"/>
                <w:lang w:val="en-US" w:eastAsia="zh-CN" w:bidi="ar-SA"/>
              </w:rPr>
              <w:t>成分为：低筋面粉，牛奶，细砂糖，鸡蛋，进口动物奶油，奶盐朱古力脆脆夹心。</w:t>
            </w:r>
          </w:p>
          <w:p>
            <w:pPr>
              <w:widowControl/>
              <w:numPr>
                <w:ilvl w:val="0"/>
                <w:numId w:val="0"/>
              </w:numPr>
              <w:jc w:val="left"/>
              <w:rPr>
                <w:rFonts w:hint="eastAsia" w:ascii="宋体" w:hAnsi="宋体" w:eastAsia="宋体" w:cs="宋体"/>
                <w:color w:val="auto"/>
                <w:kern w:val="0"/>
                <w:sz w:val="22"/>
                <w:lang w:val="en-US" w:eastAsia="zh-CN"/>
              </w:rPr>
            </w:pPr>
            <w:r>
              <w:rPr>
                <w:rFonts w:hint="eastAsia" w:ascii="宋体" w:hAnsi="宋体" w:cs="宋体" w:eastAsiaTheme="minorEastAsia"/>
                <w:color w:val="auto"/>
                <w:kern w:val="0"/>
                <w:sz w:val="21"/>
                <w:szCs w:val="21"/>
                <w:lang w:val="en-US" w:eastAsia="zh-CN" w:bidi="ar-SA"/>
              </w:rPr>
              <w:t>3.含护士节图案。</w:t>
            </w:r>
          </w:p>
        </w:tc>
        <w:tc>
          <w:tcPr>
            <w:tcW w:w="3670" w:type="dxa"/>
            <w:vAlign w:val="center"/>
          </w:tcPr>
          <w:p>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drawing>
                <wp:inline distT="0" distB="0" distL="114300" distR="114300">
                  <wp:extent cx="1505585" cy="1505585"/>
                  <wp:effectExtent l="0" t="0" r="5715" b="5715"/>
                  <wp:docPr id="1" name="图片 1" descr="f89cfa1cc00d2f808907b4800a0b8f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89cfa1cc00d2f808907b4800a0b8f51"/>
                          <pic:cNvPicPr>
                            <a:picLocks noChangeAspect="1"/>
                          </pic:cNvPicPr>
                        </pic:nvPicPr>
                        <pic:blipFill>
                          <a:blip r:embed="rId4"/>
                          <a:stretch>
                            <a:fillRect/>
                          </a:stretch>
                        </pic:blipFill>
                        <pic:spPr>
                          <a:xfrm>
                            <a:off x="0" y="0"/>
                            <a:ext cx="1505585" cy="1505585"/>
                          </a:xfrm>
                          <a:prstGeom prst="rect">
                            <a:avLst/>
                          </a:prstGeom>
                        </pic:spPr>
                      </pic:pic>
                    </a:graphicData>
                  </a:graphic>
                </wp:inline>
              </w:drawing>
            </w:r>
          </w:p>
        </w:tc>
      </w:tr>
    </w:tbl>
    <w:p>
      <w:pPr>
        <w:numPr>
          <w:ilvl w:val="0"/>
          <w:numId w:val="0"/>
        </w:numPr>
        <w:spacing w:line="360" w:lineRule="auto"/>
        <w:ind w:left="0" w:leftChars="0" w:right="0" w:right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备注：</w:t>
      </w:r>
    </w:p>
    <w:p>
      <w:pPr>
        <w:numPr>
          <w:ilvl w:val="0"/>
          <w:numId w:val="0"/>
        </w:numPr>
        <w:spacing w:line="360" w:lineRule="auto"/>
        <w:ind w:left="0" w:leftChars="0" w:right="0" w:right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1.蛋糕需精美</w:t>
      </w:r>
      <w:r>
        <w:rPr>
          <w:rFonts w:hint="eastAsia" w:ascii="宋体" w:hAnsi="宋体" w:cs="宋体"/>
          <w:b w:val="0"/>
          <w:bCs w:val="0"/>
          <w:kern w:val="2"/>
          <w:sz w:val="24"/>
          <w:szCs w:val="24"/>
          <w:lang w:val="en-US" w:eastAsia="zh-CN" w:bidi="ar-SA"/>
        </w:rPr>
        <w:t>礼盒</w:t>
      </w:r>
      <w:r>
        <w:rPr>
          <w:rFonts w:hint="eastAsia" w:ascii="宋体" w:hAnsi="宋体" w:eastAsia="宋体" w:cs="宋体"/>
          <w:b w:val="0"/>
          <w:bCs w:val="0"/>
          <w:kern w:val="2"/>
          <w:sz w:val="24"/>
          <w:szCs w:val="24"/>
          <w:lang w:val="en-US" w:eastAsia="zh-CN" w:bidi="ar-SA"/>
        </w:rPr>
        <w:t>打包好，用于科室一线医务人员慰问；</w:t>
      </w:r>
    </w:p>
    <w:p>
      <w:pPr>
        <w:numPr>
          <w:ilvl w:val="0"/>
          <w:numId w:val="0"/>
        </w:numPr>
        <w:spacing w:line="360" w:lineRule="auto"/>
        <w:ind w:left="0" w:leftChars="0" w:right="0" w:right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2.本采购清单的数量为预估采购数量，采购人无法保证成交数量与上表一致，结算时以实际发生量为准。</w:t>
      </w:r>
    </w:p>
    <w:p>
      <w:pPr>
        <w:numPr>
          <w:ilvl w:val="0"/>
          <w:numId w:val="0"/>
        </w:numPr>
        <w:spacing w:line="360" w:lineRule="auto"/>
        <w:ind w:left="0" w:leftChars="0" w:right="0" w:rightChars="0"/>
        <w:rPr>
          <w:rFonts w:hint="eastAsia" w:ascii="宋体" w:hAnsi="宋体" w:eastAsia="宋体" w:cs="宋体"/>
          <w:b w:val="0"/>
          <w:bCs w:val="0"/>
          <w:kern w:val="2"/>
          <w:sz w:val="24"/>
          <w:szCs w:val="24"/>
          <w:lang w:val="en-US" w:eastAsia="zh-CN" w:bidi="ar-SA"/>
        </w:rPr>
      </w:pPr>
      <w:r>
        <w:rPr>
          <w:rFonts w:hint="eastAsia" w:ascii="宋体" w:hAnsi="宋体" w:eastAsia="宋体" w:cs="Times New Roman"/>
          <w:b/>
          <w:color w:val="auto"/>
          <w:kern w:val="2"/>
          <w:sz w:val="24"/>
          <w:szCs w:val="24"/>
          <w:lang w:val="en-US" w:eastAsia="zh-CN" w:bidi="ar-SA"/>
        </w:rPr>
        <w:t>三、产品质量要求</w:t>
      </w:r>
      <w:r>
        <w:rPr>
          <w:rFonts w:hint="eastAsia" w:ascii="宋体" w:hAnsi="宋体" w:eastAsia="宋体" w:cs="Times New Roman"/>
          <w:b/>
          <w:color w:val="auto"/>
          <w:kern w:val="2"/>
          <w:sz w:val="24"/>
          <w:szCs w:val="24"/>
          <w:lang w:val="en-US" w:eastAsia="zh-CN" w:bidi="ar-SA"/>
        </w:rPr>
        <w:br w:type="textWrapping"/>
      </w:r>
      <w:r>
        <w:rPr>
          <w:rFonts w:hint="eastAsia" w:ascii="宋体" w:hAnsi="宋体" w:eastAsia="宋体" w:cs="宋体"/>
          <w:b w:val="0"/>
          <w:bCs w:val="0"/>
          <w:kern w:val="2"/>
          <w:sz w:val="24"/>
          <w:szCs w:val="24"/>
          <w:lang w:val="en-US" w:eastAsia="zh-CN" w:bidi="ar-SA"/>
        </w:rPr>
        <w:t>（一）食品制作原料必须符合《中华人民共和国食品安全法》、《食品安全国家标准 糕点、面包》（GB 7099-2015）等要求，食品优质、精良、量足、无有害添加剂。</w:t>
      </w:r>
    </w:p>
    <w:p>
      <w:pPr>
        <w:numPr>
          <w:ilvl w:val="0"/>
          <w:numId w:val="0"/>
        </w:numPr>
        <w:spacing w:line="360" w:lineRule="auto"/>
        <w:ind w:left="0" w:leftChars="0" w:right="0" w:righ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kern w:val="2"/>
          <w:sz w:val="24"/>
          <w:szCs w:val="24"/>
          <w:lang w:val="en-US" w:eastAsia="zh-CN" w:bidi="ar-SA"/>
        </w:rPr>
        <w:t>（二）食品外包装无损坏、无漏气等，使用的包装物、周转箱等必须卫生、无毒。</w:t>
      </w:r>
    </w:p>
    <w:p>
      <w:pPr>
        <w:numPr>
          <w:ilvl w:val="0"/>
          <w:numId w:val="0"/>
        </w:numPr>
        <w:spacing w:line="360" w:lineRule="auto"/>
        <w:ind w:left="0" w:leftChars="0" w:right="0" w:rightChars="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如果发生产品质量问题或造成食物中毒等情况，经查实后确属供应商责任的，成交供应商应承担全部责任，包括但不限于食物中毒人员的医疗费、误工费、处理事故所产生的费用等，同时报执法部门追究供应商相关责任。</w:t>
      </w:r>
    </w:p>
    <w:p>
      <w:pPr>
        <w:numPr>
          <w:ilvl w:val="0"/>
          <w:numId w:val="0"/>
        </w:numPr>
        <w:spacing w:line="360" w:lineRule="auto"/>
        <w:ind w:left="0" w:leftChars="0" w:right="0" w:righ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四</w:t>
      </w:r>
      <w:r>
        <w:rPr>
          <w:rFonts w:hint="eastAsia" w:ascii="宋体" w:hAnsi="宋体" w:eastAsia="宋体" w:cs="宋体"/>
          <w:b w:val="0"/>
          <w:bCs w:val="0"/>
          <w:kern w:val="2"/>
          <w:sz w:val="24"/>
          <w:szCs w:val="24"/>
          <w:lang w:val="en-US" w:eastAsia="zh-CN" w:bidi="ar-SA"/>
        </w:rPr>
        <w:t>）食品来源合法，无假冒伪劣产品出售。采购人有权对供应商提供的食品按照产品标准进行抽查检验，如发现有食品大小、味道、颜色、重量、规格等异样，采购人有权对整批产品提出异议并拒收。</w:t>
      </w:r>
    </w:p>
    <w:p>
      <w:pPr>
        <w:numPr>
          <w:ilvl w:val="0"/>
          <w:numId w:val="0"/>
        </w:numPr>
        <w:spacing w:line="360" w:lineRule="auto"/>
        <w:ind w:leftChars="0" w:right="0" w:righ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商务要求</w:t>
      </w:r>
    </w:p>
    <w:tbl>
      <w:tblPr>
        <w:tblStyle w:val="8"/>
        <w:tblW w:w="10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8"/>
        <w:gridCol w:w="8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1998" w:type="dxa"/>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交付时间</w:t>
            </w:r>
          </w:p>
        </w:tc>
        <w:tc>
          <w:tcPr>
            <w:tcW w:w="8041" w:type="dxa"/>
            <w:vAlign w:val="center"/>
          </w:tcPr>
          <w:p>
            <w:pPr>
              <w:spacing w:line="360" w:lineRule="auto"/>
              <w:ind w:left="0" w:leftChars="0" w:right="0" w:rightChars="0"/>
              <w:rPr>
                <w:rFonts w:hint="eastAsia"/>
                <w:lang w:eastAsia="zh-CN"/>
              </w:rPr>
            </w:pPr>
            <w:r>
              <w:rPr>
                <w:rFonts w:hint="eastAsia" w:ascii="宋体" w:hAnsi="宋体" w:eastAsia="宋体" w:cs="宋体"/>
                <w:color w:val="auto"/>
                <w:sz w:val="22"/>
                <w:szCs w:val="22"/>
                <w:highlight w:val="none"/>
                <w:lang w:eastAsia="zh-CN"/>
              </w:rPr>
              <w:t>自</w:t>
            </w:r>
            <w:r>
              <w:rPr>
                <w:rFonts w:hint="eastAsia" w:ascii="宋体" w:hAnsi="宋体" w:cs="宋体"/>
                <w:color w:val="auto"/>
                <w:sz w:val="22"/>
                <w:szCs w:val="22"/>
                <w:highlight w:val="none"/>
                <w:lang w:val="en-US" w:eastAsia="zh-CN"/>
              </w:rPr>
              <w:t>下单</w:t>
            </w:r>
            <w:r>
              <w:rPr>
                <w:rFonts w:hint="eastAsia" w:ascii="宋体" w:hAnsi="宋体" w:eastAsia="宋体" w:cs="宋体"/>
                <w:color w:val="auto"/>
                <w:sz w:val="22"/>
                <w:szCs w:val="22"/>
                <w:highlight w:val="none"/>
                <w:lang w:eastAsia="zh-CN"/>
              </w:rPr>
              <w:t>之日起</w:t>
            </w:r>
            <w:r>
              <w:rPr>
                <w:rFonts w:hint="eastAsia" w:cs="宋体"/>
                <w:color w:val="auto"/>
                <w:sz w:val="22"/>
                <w:szCs w:val="22"/>
                <w:highlight w:val="none"/>
                <w:lang w:val="en-US" w:eastAsia="zh-CN"/>
              </w:rPr>
              <w:t>7日</w:t>
            </w:r>
            <w:r>
              <w:rPr>
                <w:rFonts w:hint="eastAsia" w:ascii="宋体" w:hAnsi="宋体" w:eastAsia="宋体" w:cs="宋体"/>
                <w:color w:val="auto"/>
                <w:sz w:val="22"/>
                <w:szCs w:val="22"/>
                <w:highlight w:val="none"/>
                <w:lang w:eastAsia="zh-CN"/>
              </w:rPr>
              <w:t>内把货物交付</w:t>
            </w:r>
            <w:r>
              <w:rPr>
                <w:rFonts w:hint="eastAsia" w:ascii="宋体" w:hAnsi="宋体" w:cs="宋体"/>
                <w:color w:val="auto"/>
                <w:sz w:val="22"/>
                <w:szCs w:val="22"/>
                <w:highlight w:val="none"/>
                <w:lang w:val="en-US" w:eastAsia="zh-CN"/>
              </w:rPr>
              <w:t>完成</w:t>
            </w:r>
            <w:r>
              <w:rPr>
                <w:rFonts w:hint="eastAsia" w:ascii="宋体" w:hAnsi="宋体" w:eastAsia="宋体" w:cs="宋体"/>
                <w:color w:val="auto"/>
                <w:sz w:val="22"/>
                <w:szCs w:val="22"/>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1998" w:type="dxa"/>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交付地点</w:t>
            </w:r>
          </w:p>
        </w:tc>
        <w:tc>
          <w:tcPr>
            <w:tcW w:w="8041" w:type="dxa"/>
            <w:vAlign w:val="center"/>
          </w:tcPr>
          <w:p>
            <w:pPr>
              <w:spacing w:line="360" w:lineRule="auto"/>
              <w:ind w:left="0" w:leftChars="0" w:right="0" w:rightChars="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eastAsia="zh-CN"/>
              </w:rPr>
              <w:t>指定地点</w:t>
            </w:r>
            <w:r>
              <w:rPr>
                <w:rFonts w:hint="eastAsia" w:cs="宋体"/>
                <w:color w:val="auto"/>
                <w:sz w:val="22"/>
                <w:szCs w:val="22"/>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1998" w:type="dxa"/>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有效期</w:t>
            </w:r>
          </w:p>
        </w:tc>
        <w:tc>
          <w:tcPr>
            <w:tcW w:w="8041" w:type="dxa"/>
            <w:vAlign w:val="center"/>
          </w:tcPr>
          <w:p>
            <w:pPr>
              <w:spacing w:line="360" w:lineRule="auto"/>
              <w:ind w:left="0" w:leftChars="0" w:right="0" w:righ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从提交</w:t>
            </w: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的截止之日起90日历天</w:t>
            </w:r>
            <w:r>
              <w:rPr>
                <w:rFonts w:hint="eastAsia" w:cs="宋体"/>
                <w:color w:val="auto"/>
                <w:sz w:val="22"/>
                <w:szCs w:val="22"/>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0" w:hRule="atLeast"/>
          <w:jc w:val="center"/>
        </w:trPr>
        <w:tc>
          <w:tcPr>
            <w:tcW w:w="1998" w:type="dxa"/>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付款方式</w:t>
            </w:r>
          </w:p>
        </w:tc>
        <w:tc>
          <w:tcPr>
            <w:tcW w:w="8041" w:type="dxa"/>
            <w:vAlign w:val="center"/>
          </w:tcPr>
          <w:p>
            <w:pPr>
              <w:pStyle w:val="14"/>
              <w:pageBreakBefore w:val="0"/>
              <w:kinsoku/>
              <w:overflowPunct/>
              <w:bidi w:val="0"/>
              <w:spacing w:line="360" w:lineRule="auto"/>
              <w:ind w:left="0" w:leftChars="0" w:firstLine="0" w:firstLineChars="0"/>
              <w:rPr>
                <w:rFonts w:hint="eastAsia"/>
                <w:lang w:val="en-US" w:eastAsia="zh-CN"/>
              </w:rPr>
            </w:pPr>
            <w:r>
              <w:rPr>
                <w:rFonts w:hint="eastAsia"/>
                <w:lang w:val="en-US" w:eastAsia="zh-CN"/>
              </w:rPr>
              <w:t>1.本项目的款项以人民币银行转账方式支付；</w:t>
            </w:r>
          </w:p>
          <w:p>
            <w:pPr>
              <w:spacing w:line="360" w:lineRule="auto"/>
              <w:rPr>
                <w:rFonts w:hint="eastAsia"/>
                <w:lang w:eastAsia="zh-CN"/>
              </w:rPr>
            </w:pPr>
            <w:r>
              <w:rPr>
                <w:rFonts w:hint="eastAsia"/>
                <w:lang w:val="en-US" w:eastAsia="zh-CN"/>
              </w:rPr>
              <w:t>2.</w:t>
            </w:r>
            <w:r>
              <w:rPr>
                <w:rFonts w:hint="eastAsia"/>
                <w:lang w:eastAsia="zh-CN"/>
              </w:rPr>
              <w:t>成交</w:t>
            </w:r>
            <w:r>
              <w:rPr>
                <w:rFonts w:hint="eastAsia"/>
              </w:rPr>
              <w:t>供应商按实际</w:t>
            </w:r>
            <w:r>
              <w:rPr>
                <w:rFonts w:hint="eastAsia"/>
                <w:lang w:eastAsia="zh-CN"/>
              </w:rPr>
              <w:t>采购量</w:t>
            </w:r>
            <w:r>
              <w:rPr>
                <w:rFonts w:hint="eastAsia"/>
              </w:rPr>
              <w:t>结算并开具对应金额的发票，采购人在收到成交供应商的款项发票等申请资料且核对无误，经验收合格后方可进行支付，从收到发票当天算起60日内支付款项</w:t>
            </w:r>
            <w:r>
              <w:rPr>
                <w:rFonts w:hint="eastAsia"/>
                <w:lang w:eastAsia="zh-CN"/>
              </w:rPr>
              <w:t>。</w:t>
            </w:r>
          </w:p>
          <w:p>
            <w:pPr>
              <w:pStyle w:val="2"/>
              <w:rPr>
                <w:rFonts w:hint="eastAsia"/>
                <w:lang w:val="en-US"/>
              </w:rPr>
            </w:pPr>
            <w:r>
              <w:rPr>
                <w:rFonts w:hint="eastAsia" w:ascii="宋体" w:hAnsi="宋体" w:cs="宋体"/>
                <w:color w:val="auto"/>
                <w:sz w:val="22"/>
                <w:szCs w:val="22"/>
                <w:highlight w:val="none"/>
                <w:lang w:val="en-US" w:eastAsia="zh-CN"/>
              </w:rPr>
              <w:t>3.因采购人使用的是财政资金，申请汇款审批之日视为付款之日，若审批延迟则相应货款到账延迟，且不视为采购人违约。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0" w:hRule="atLeast"/>
          <w:jc w:val="center"/>
        </w:trPr>
        <w:tc>
          <w:tcPr>
            <w:tcW w:w="1998" w:type="dxa"/>
            <w:vAlign w:val="center"/>
          </w:tcPr>
          <w:p>
            <w:pPr>
              <w:spacing w:line="240" w:lineRule="auto"/>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报价说明</w:t>
            </w:r>
          </w:p>
        </w:tc>
        <w:tc>
          <w:tcPr>
            <w:tcW w:w="80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w:t>
            </w:r>
            <w:r>
              <w:rPr>
                <w:rFonts w:hint="eastAsia" w:ascii="宋体" w:hAnsi="宋体" w:eastAsia="宋体" w:cs="宋体"/>
                <w:color w:val="auto"/>
                <w:sz w:val="22"/>
                <w:szCs w:val="22"/>
                <w:highlight w:val="none"/>
                <w:lang w:val="en-US" w:eastAsia="zh-CN" w:bidi="ar-SA"/>
              </w:rPr>
              <w:t>本项目以单价</w:t>
            </w:r>
            <w:r>
              <w:rPr>
                <w:rFonts w:hint="eastAsia" w:ascii="宋体" w:hAnsi="宋体" w:cs="宋体"/>
                <w:color w:val="auto"/>
                <w:sz w:val="22"/>
                <w:szCs w:val="22"/>
                <w:highlight w:val="none"/>
                <w:lang w:val="en-US" w:eastAsia="zh-CN" w:bidi="ar-SA"/>
              </w:rPr>
              <w:t>及总价</w:t>
            </w:r>
            <w:r>
              <w:rPr>
                <w:rFonts w:hint="eastAsia" w:ascii="宋体" w:hAnsi="宋体" w:eastAsia="宋体" w:cs="宋体"/>
                <w:color w:val="auto"/>
                <w:sz w:val="22"/>
                <w:szCs w:val="22"/>
                <w:highlight w:val="none"/>
                <w:lang w:val="en-US" w:eastAsia="zh-CN" w:bidi="ar-SA"/>
              </w:rPr>
              <w:t>形式报价。每项货物的单价报价须不</w:t>
            </w:r>
            <w:r>
              <w:rPr>
                <w:rFonts w:hint="eastAsia" w:ascii="宋体" w:hAnsi="宋体" w:eastAsia="宋体" w:cs="宋体"/>
                <w:color w:val="auto"/>
                <w:kern w:val="2"/>
                <w:sz w:val="22"/>
                <w:szCs w:val="22"/>
                <w:lang w:val="en-US" w:eastAsia="zh-CN" w:bidi="ar-SA"/>
              </w:rPr>
              <w:t>高于单价最高限价，</w:t>
            </w:r>
            <w:r>
              <w:rPr>
                <w:rFonts w:hint="eastAsia" w:ascii="宋体" w:hAnsi="宋体" w:cs="宋体"/>
                <w:color w:val="auto"/>
                <w:kern w:val="2"/>
                <w:sz w:val="22"/>
                <w:szCs w:val="22"/>
                <w:lang w:val="en-US" w:eastAsia="zh-CN" w:bidi="ar-SA"/>
              </w:rPr>
              <w:t>总价不得高于项目预算金额，</w:t>
            </w:r>
            <w:r>
              <w:rPr>
                <w:rFonts w:hint="eastAsia" w:ascii="宋体" w:hAnsi="宋体" w:eastAsia="宋体" w:cs="宋体"/>
                <w:color w:val="auto"/>
                <w:kern w:val="2"/>
                <w:sz w:val="22"/>
                <w:szCs w:val="22"/>
                <w:lang w:val="en-US" w:eastAsia="zh-CN" w:bidi="ar-SA"/>
              </w:rPr>
              <w:t>否则将导致报价无效。</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lang w:val="en-US" w:eastAsia="zh-CN"/>
              </w:rPr>
            </w:pPr>
            <w:r>
              <w:rPr>
                <w:rFonts w:hint="eastAsia" w:ascii="宋体" w:hAnsi="宋体" w:eastAsia="宋体" w:cs="宋体"/>
                <w:color w:val="auto"/>
                <w:kern w:val="2"/>
                <w:sz w:val="22"/>
                <w:szCs w:val="22"/>
                <w:lang w:val="en-US" w:eastAsia="zh-CN" w:bidi="ar-SA"/>
              </w:rPr>
              <w:t>2.</w:t>
            </w:r>
            <w:r>
              <w:rPr>
                <w:rFonts w:hint="eastAsia"/>
                <w:lang w:val="en-US" w:eastAsia="zh-CN"/>
              </w:rPr>
              <w:t>以合计总价作为评审报价。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.报价为产品配送至采购人指定地点的人民币含税价，包括但不限于货物、包装、运输装卸费用、人工费、保险、关税、销售税、其他税以及</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包含的所有风险、责任等其他隐含的费用。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lang w:val="en-US" w:eastAsia="zh-CN"/>
              </w:rPr>
            </w:pP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en-US" w:eastAsia="zh-CN" w:bidi="ar-SA"/>
              </w:rPr>
              <w:t>.</w:t>
            </w:r>
            <w:bookmarkStart w:id="6" w:name="_GoBack"/>
            <w:r>
              <w:rPr>
                <w:rFonts w:hint="eastAsia" w:ascii="宋体" w:hAnsi="宋体" w:eastAsia="宋体" w:cs="宋体"/>
                <w:color w:val="auto"/>
                <w:sz w:val="22"/>
                <w:szCs w:val="22"/>
                <w:highlight w:val="none"/>
                <w:lang w:val="en-US" w:eastAsia="zh-CN" w:bidi="ar-SA"/>
              </w:rPr>
              <w:t>所报价格在</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执行期间是固定不变的，不得以任何理由予以变更</w:t>
            </w:r>
            <w:bookmarkEnd w:id="6"/>
            <w:r>
              <w:rPr>
                <w:rFonts w:hint="eastAsia" w:ascii="宋体" w:hAnsi="宋体" w:eastAsia="宋体" w:cs="宋体"/>
                <w:color w:val="auto"/>
                <w:sz w:val="22"/>
                <w:szCs w:val="22"/>
                <w:highlight w:val="none"/>
                <w:lang w:val="en-US" w:eastAsia="zh-CN" w:bidi="ar-SA"/>
              </w:rPr>
              <w:t>。报价不是固定价的响应文件将作为非实质性响应而予以拒绝。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1998" w:type="dxa"/>
            <w:vAlign w:val="center"/>
          </w:tcPr>
          <w:p>
            <w:pPr>
              <w:spacing w:line="24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验收要求</w:t>
            </w:r>
          </w:p>
        </w:tc>
        <w:tc>
          <w:tcPr>
            <w:tcW w:w="8041"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1.成交供应商应给出项目详细的供货清单，由采购人确认。当货物到达采购人指定的配送现场后，采购人和成交供应商依据供货清单共同对货物进行开箱检验，并对货物的数量、品质进行逐项检查。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2.验收以采购人的验收为准，应满足采购人的货物规格要求，由采购人、成交供应商共同进行货物的验收，依照国家及行业的相关规定以及响应文件承诺进行。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3.货物验收不合格或发现以次充好的，采购人有权无条件退货，成交供应商必须在</w:t>
            </w:r>
            <w:r>
              <w:rPr>
                <w:rFonts w:hint="eastAsia" w:ascii="宋体" w:hAnsi="宋体" w:cs="宋体"/>
                <w:color w:val="auto"/>
                <w:sz w:val="22"/>
                <w:szCs w:val="22"/>
                <w:highlight w:val="none"/>
                <w:lang w:val="en-US" w:eastAsia="zh-CN" w:bidi="ar-SA"/>
              </w:rPr>
              <w:t>3</w:t>
            </w:r>
            <w:r>
              <w:rPr>
                <w:rFonts w:hint="eastAsia" w:cs="宋体"/>
                <w:color w:val="auto"/>
                <w:sz w:val="22"/>
                <w:szCs w:val="22"/>
                <w:highlight w:val="none"/>
                <w:lang w:val="en-US" w:eastAsia="zh-CN" w:bidi="ar-SA"/>
              </w:rPr>
              <w:t>小时</w:t>
            </w:r>
            <w:r>
              <w:rPr>
                <w:rFonts w:hint="eastAsia" w:ascii="宋体" w:hAnsi="宋体" w:eastAsia="宋体" w:cs="宋体"/>
                <w:color w:val="auto"/>
                <w:sz w:val="22"/>
                <w:szCs w:val="22"/>
                <w:highlight w:val="none"/>
                <w:lang w:val="en-US" w:eastAsia="zh-CN" w:bidi="ar-SA"/>
              </w:rPr>
              <w:t>内提供符合</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约定的产品，否则，视为成交供应商逾期交货，将按</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条款进行处罚。</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4.验收完毕由采购人及成交供应商在送货验收单（或供货单）上签名。验收合格后交付采购人，采购人不承担因验收不合格所产生的配送、人工等相关一切费用。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1998" w:type="dxa"/>
            <w:vAlign w:val="center"/>
          </w:tcPr>
          <w:p>
            <w:pPr>
              <w:pStyle w:val="1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质保期及售后服务要求</w:t>
            </w:r>
          </w:p>
        </w:tc>
        <w:tc>
          <w:tcPr>
            <w:tcW w:w="8041"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1.供应商所投产品不能是长期积压产品</w:t>
            </w:r>
            <w:r>
              <w:rPr>
                <w:rFonts w:hint="eastAsia" w:ascii="宋体" w:hAnsi="宋体" w:cs="宋体"/>
                <w:color w:val="auto"/>
                <w:sz w:val="22"/>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default"/>
                <w:lang w:val="en-US" w:eastAsia="zh-CN"/>
              </w:rPr>
            </w:pPr>
            <w:r>
              <w:rPr>
                <w:rFonts w:hint="eastAsia" w:ascii="宋体" w:hAnsi="宋体" w:eastAsia="宋体" w:cs="宋体"/>
                <w:color w:val="auto"/>
                <w:sz w:val="22"/>
                <w:szCs w:val="22"/>
                <w:highlight w:val="none"/>
                <w:lang w:val="en-US" w:eastAsia="zh-CN" w:bidi="ar-SA"/>
              </w:rPr>
              <w:t>2.若食品存在质量问题或损坏，成交供应商须无偿更换，产生费用由成交供应商承担。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0" w:hRule="atLeast"/>
          <w:jc w:val="center"/>
        </w:trPr>
        <w:tc>
          <w:tcPr>
            <w:tcW w:w="1998" w:type="dxa"/>
            <w:vAlign w:val="center"/>
          </w:tcPr>
          <w:p>
            <w:pPr>
              <w:pStyle w:val="12"/>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ascii="宋体" w:hAnsi="宋体" w:eastAsia="宋体" w:cs="宋体"/>
                <w:color w:val="auto"/>
                <w:sz w:val="22"/>
                <w:szCs w:val="22"/>
                <w:highlight w:val="none"/>
                <w:lang w:eastAsia="zh-CN"/>
              </w:rPr>
            </w:pPr>
            <w:r>
              <w:rPr>
                <w:rFonts w:hint="eastAsia" w:cs="Tahoma"/>
                <w:b w:val="0"/>
                <w:bCs w:val="0"/>
                <w:color w:val="000000"/>
                <w:kern w:val="28"/>
                <w:sz w:val="21"/>
                <w:szCs w:val="21"/>
                <w:highlight w:val="none"/>
                <w:lang w:val="en-US" w:eastAsia="zh-CN"/>
              </w:rPr>
              <w:t>违约责任</w:t>
            </w:r>
          </w:p>
        </w:tc>
        <w:tc>
          <w:tcPr>
            <w:tcW w:w="8041" w:type="dxa"/>
            <w:vAlign w:val="top"/>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1.成交供应商提供的货物符合国家及行业的相关规定以及响应文件承诺，如不符合要求，采购人有权要求成交供应商限期更换符合要求的新产品，否则采购人将无条件退货，终止</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 xml:space="preserve">，所产生的一切损失均由成交供应商承担。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2.成交供应商必须严格按双方签订的</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要求及供货计划按时供应，成交供应商应按与采购人确认的采购单规定的时间提供服务，除不可抗力外，只要供货延期，成交供应商需以该欠货物的总款额为基数，按每日2%的标准向采购人支付违约金。</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bidi="ar-SA"/>
              </w:rPr>
              <w:t>3.若在</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履行期限内成交供应商未按</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履约或整改不达标或供货率达不到总体货物10%的，采购人有权终止</w:t>
            </w:r>
            <w:r>
              <w:rPr>
                <w:rFonts w:hint="eastAsia" w:ascii="宋体" w:hAnsi="宋体" w:cs="宋体"/>
                <w:color w:val="auto"/>
                <w:sz w:val="22"/>
                <w:szCs w:val="22"/>
                <w:highlight w:val="none"/>
                <w:lang w:val="en-US" w:eastAsia="zh-CN" w:bidi="ar-SA"/>
              </w:rPr>
              <w:t>项目</w:t>
            </w:r>
            <w:r>
              <w:rPr>
                <w:rFonts w:hint="eastAsia" w:ascii="宋体" w:hAnsi="宋体" w:eastAsia="宋体" w:cs="宋体"/>
                <w:color w:val="auto"/>
                <w:sz w:val="22"/>
                <w:szCs w:val="22"/>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0" w:hRule="atLeast"/>
          <w:jc w:val="center"/>
        </w:trPr>
        <w:tc>
          <w:tcPr>
            <w:tcW w:w="1998" w:type="dxa"/>
            <w:vAlign w:val="center"/>
          </w:tcPr>
          <w:p>
            <w:pPr>
              <w:spacing w:line="240" w:lineRule="auto"/>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其它</w:t>
            </w:r>
          </w:p>
        </w:tc>
        <w:tc>
          <w:tcPr>
            <w:tcW w:w="8041" w:type="dxa"/>
            <w:vAlign w:val="center"/>
          </w:tcPr>
          <w:p>
            <w:pPr>
              <w:spacing w:line="360" w:lineRule="auto"/>
              <w:ind w:left="0" w:leftChars="0" w:right="0" w:rightChars="0"/>
              <w:rPr>
                <w:rFonts w:hint="eastAsia" w:ascii="宋体" w:hAnsi="宋体" w:eastAsia="宋体" w:cs="宋体"/>
                <w:color w:val="auto"/>
                <w:sz w:val="22"/>
                <w:szCs w:val="22"/>
                <w:highlight w:val="none"/>
              </w:rPr>
            </w:pPr>
            <w:r>
              <w:rPr>
                <w:rFonts w:hint="eastAsia" w:ascii="宋体" w:hAnsi="宋体" w:eastAsia="宋体" w:cs="宋体"/>
                <w:sz w:val="22"/>
                <w:szCs w:val="22"/>
                <w:highlight w:val="none"/>
                <w:lang w:eastAsia="zh-CN"/>
              </w:rPr>
              <w:t>供应商在响应文件中可列明在</w:t>
            </w:r>
            <w:r>
              <w:rPr>
                <w:rFonts w:hint="eastAsia" w:cs="宋体"/>
                <w:sz w:val="22"/>
                <w:szCs w:val="22"/>
                <w:highlight w:val="none"/>
                <w:lang w:eastAsia="zh-CN"/>
              </w:rPr>
              <w:t>采购包</w:t>
            </w:r>
            <w:r>
              <w:rPr>
                <w:rFonts w:hint="eastAsia" w:ascii="宋体" w:hAnsi="宋体" w:eastAsia="宋体" w:cs="宋体"/>
                <w:sz w:val="22"/>
                <w:szCs w:val="22"/>
                <w:highlight w:val="none"/>
                <w:lang w:eastAsia="zh-CN"/>
              </w:rPr>
              <w:t>实施过程中要求采购人提供的配合条件，所列配合条件采购人将尽量配合解决，但不代表采购人全部接受，采购人有权全部或部分拒绝供应商提出的配合条件。</w:t>
            </w:r>
          </w:p>
        </w:tc>
      </w:tr>
    </w:tbl>
    <w:p>
      <w:pPr>
        <w:rPr>
          <w:b/>
        </w:rPr>
      </w:pPr>
    </w:p>
    <w:sectPr>
      <w:pgSz w:w="11906" w:h="16838"/>
      <w:pgMar w:top="930" w:right="1746" w:bottom="986"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A3A62"/>
    <w:multiLevelType w:val="singleLevel"/>
    <w:tmpl w:val="2C8A3A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816071"/>
    <w:rsid w:val="00053E78"/>
    <w:rsid w:val="00136FB5"/>
    <w:rsid w:val="002C04AB"/>
    <w:rsid w:val="00394C97"/>
    <w:rsid w:val="003C70B6"/>
    <w:rsid w:val="00563214"/>
    <w:rsid w:val="00685FF7"/>
    <w:rsid w:val="0075185B"/>
    <w:rsid w:val="00781198"/>
    <w:rsid w:val="007B6681"/>
    <w:rsid w:val="007C20DC"/>
    <w:rsid w:val="00816071"/>
    <w:rsid w:val="008401A0"/>
    <w:rsid w:val="00CA5AC3"/>
    <w:rsid w:val="00E964F2"/>
    <w:rsid w:val="00E97895"/>
    <w:rsid w:val="01355B30"/>
    <w:rsid w:val="07F01A92"/>
    <w:rsid w:val="093E6715"/>
    <w:rsid w:val="09DD200E"/>
    <w:rsid w:val="0AB51320"/>
    <w:rsid w:val="0D6434E1"/>
    <w:rsid w:val="0E697DAA"/>
    <w:rsid w:val="0EC72238"/>
    <w:rsid w:val="11FC08BE"/>
    <w:rsid w:val="1219200A"/>
    <w:rsid w:val="12E92C31"/>
    <w:rsid w:val="14AA33AD"/>
    <w:rsid w:val="159F05EF"/>
    <w:rsid w:val="174D5783"/>
    <w:rsid w:val="1B6F5412"/>
    <w:rsid w:val="1D5B7DA7"/>
    <w:rsid w:val="2074389D"/>
    <w:rsid w:val="235A793F"/>
    <w:rsid w:val="238458AD"/>
    <w:rsid w:val="28E52043"/>
    <w:rsid w:val="2A9F7D03"/>
    <w:rsid w:val="2CBD0A16"/>
    <w:rsid w:val="31340829"/>
    <w:rsid w:val="31715DD0"/>
    <w:rsid w:val="32C76E57"/>
    <w:rsid w:val="33DC5BEA"/>
    <w:rsid w:val="37413786"/>
    <w:rsid w:val="37617167"/>
    <w:rsid w:val="38DA7C74"/>
    <w:rsid w:val="3AAA11CD"/>
    <w:rsid w:val="3C635222"/>
    <w:rsid w:val="3D637A1E"/>
    <w:rsid w:val="3E852CC4"/>
    <w:rsid w:val="3FFE3A80"/>
    <w:rsid w:val="48743B67"/>
    <w:rsid w:val="4FCE279F"/>
    <w:rsid w:val="50C56305"/>
    <w:rsid w:val="50FB3C0D"/>
    <w:rsid w:val="512B55F2"/>
    <w:rsid w:val="56330390"/>
    <w:rsid w:val="58B98452"/>
    <w:rsid w:val="5AA378E4"/>
    <w:rsid w:val="5C0E2799"/>
    <w:rsid w:val="690F3155"/>
    <w:rsid w:val="69444B6D"/>
    <w:rsid w:val="694964C5"/>
    <w:rsid w:val="6E1B615F"/>
    <w:rsid w:val="71F23EDB"/>
    <w:rsid w:val="72E27499"/>
    <w:rsid w:val="7DC9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annotation text"/>
    <w:basedOn w:val="1"/>
    <w:semiHidden/>
    <w:unhideWhenUsed/>
    <w:qFormat/>
    <w:uiPriority w:val="99"/>
    <w:pPr>
      <w:jc w:val="left"/>
    </w:p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0"/>
    <w:rPr>
      <w:b/>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paragraph" w:customStyle="1" w:styleId="12">
    <w:name w:val="正文1"/>
    <w:qFormat/>
    <w:uiPriority w:val="0"/>
    <w:pPr>
      <w:widowControl w:val="0"/>
      <w:jc w:val="both"/>
    </w:pPr>
    <w:rPr>
      <w:rFonts w:ascii="Calibri" w:hAnsi="Calibri" w:eastAsia="宋体" w:cs="Times New Roman"/>
      <w:kern w:val="0"/>
      <w:sz w:val="20"/>
      <w:szCs w:val="20"/>
      <w:lang w:val="en-US" w:eastAsia="zh-CN" w:bidi="ar-SA"/>
    </w:rPr>
  </w:style>
  <w:style w:type="paragraph" w:customStyle="1" w:styleId="13">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4">
    <w:name w:val="投标正文小四"/>
    <w:basedOn w:val="1"/>
    <w:qFormat/>
    <w:uiPriority w:val="0"/>
    <w:pPr>
      <w:spacing w:line="360" w:lineRule="auto"/>
      <w:ind w:firstLine="200" w:firstLineChars="200"/>
    </w:pPr>
    <w:rPr>
      <w:sz w:val="24"/>
    </w:rPr>
  </w:style>
  <w:style w:type="paragraph" w:customStyle="1" w:styleId="15">
    <w:name w:val="null3"/>
    <w:hidden/>
    <w:qFormat/>
    <w:uiPriority w:val="0"/>
    <w:rPr>
      <w:rFonts w:hint="eastAsia" w:asciiTheme="minorHAnsi" w:hAnsiTheme="minorHAnsi" w:eastAsiaTheme="minorEastAsia" w:cstheme="minorBidi"/>
      <w:sz w:val="21"/>
      <w:szCs w:val="22"/>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2337</Words>
  <Characters>2386</Characters>
  <Lines>7</Lines>
  <Paragraphs>2</Paragraphs>
  <TotalTime>0</TotalTime>
  <ScaleCrop>false</ScaleCrop>
  <LinksUpToDate>false</LinksUpToDate>
  <CharactersWithSpaces>2438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2022-01-18T21:32:00Z</dcterms:created>
  <dc:creator>黎凤婵</dc:creator>
  <cp:lastModifiedBy>赖宇娟</cp:lastModifiedBy>
  <dcterms:modified xsi:type="dcterms:W3CDTF">2026-04-03T09:28:38Z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F5934554376D4FE3BBE8DDF9A7693DB9_13</vt:lpwstr>
  </property>
  <property fmtid="{D5CDD505-2E9C-101B-9397-08002B2CF9AE}" pid="4" name="KSOTemplateDocerSaveRecord">
    <vt:lpwstr>eyJoZGlkIjoiYzM0MTYxYzRmYWI5OTExNzE3YmU5OWM5MGI2MjgwYTAiLCJ1c2VySWQiOiI2MDA4NjAwMjQifQ==</vt:lpwstr>
  </property>
</Properties>
</file>