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pPr>
        <w:pStyle w:val="21"/>
        <w:rPr>
          <w:color w:val="auto"/>
        </w:rPr>
      </w:pPr>
    </w:p>
    <w:p>
      <w:pPr>
        <w:pStyle w:val="2"/>
        <w:jc w:val="center"/>
        <w:rPr>
          <w:b/>
          <w:bCs/>
          <w:color w:val="auto"/>
          <w:spacing w:val="-23"/>
          <w:sz w:val="72"/>
          <w:szCs w:val="72"/>
        </w:rPr>
      </w:pPr>
      <w:r>
        <w:rPr>
          <w:rFonts w:hint="eastAsia"/>
          <w:b/>
          <w:bCs/>
          <w:color w:val="auto"/>
          <w:spacing w:val="-23"/>
          <w:sz w:val="72"/>
          <w:szCs w:val="72"/>
          <w:lang w:val="en-US" w:eastAsia="zh-CN"/>
        </w:rPr>
        <w:t>中山市黄圃人民医院2026年制剂室药用原辅料（内包装及其它原辅料）采购项目</w:t>
      </w:r>
      <w:r>
        <w:rPr>
          <w:rFonts w:hint="eastAsia"/>
          <w:b/>
          <w:bCs/>
          <w:color w:val="auto"/>
          <w:spacing w:val="-23"/>
          <w:sz w:val="72"/>
          <w:szCs w:val="72"/>
        </w:rPr>
        <w:t>响应文件</w:t>
      </w:r>
    </w:p>
    <w:p>
      <w:pPr>
        <w:pStyle w:val="2"/>
        <w:jc w:val="center"/>
        <w:rPr>
          <w:b/>
          <w:bCs/>
          <w:color w:val="auto"/>
          <w:sz w:val="72"/>
          <w:szCs w:val="72"/>
        </w:rPr>
      </w:pPr>
      <w:r>
        <w:rPr>
          <w:rFonts w:hint="eastAsia"/>
          <w:b/>
          <w:bCs/>
          <w:color w:val="auto"/>
          <w:sz w:val="72"/>
          <w:szCs w:val="72"/>
        </w:rPr>
        <w:t>（正本/副本）</w:t>
      </w: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2"/>
        <w:jc w:val="left"/>
        <w:rPr>
          <w:rFonts w:hint="eastAsia" w:ascii="宋体" w:hAnsi="宋体" w:cs="宋体"/>
          <w:b/>
          <w:bCs/>
          <w:color w:val="auto"/>
          <w:sz w:val="32"/>
          <w:szCs w:val="32"/>
        </w:rPr>
      </w:pPr>
    </w:p>
    <w:p>
      <w:pPr>
        <w:pStyle w:val="21"/>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中山市黄圃人民医院2026年制剂室药用原辅料（内包装及其它原辅料）采购项目</w:t>
      </w:r>
    </w:p>
    <w:p>
      <w:pPr>
        <w:pStyle w:val="21"/>
        <w:ind w:left="0" w:leftChars="0" w:firstLine="964" w:firstLineChars="300"/>
        <w:rPr>
          <w:rFonts w:hint="default"/>
          <w:b/>
          <w:bCs/>
          <w:color w:val="auto"/>
          <w:lang w:val="en-US"/>
        </w:rPr>
      </w:pPr>
      <w:r>
        <w:rPr>
          <w:rFonts w:hint="eastAsia" w:ascii="宋体" w:hAnsi="宋体"/>
          <w:b/>
          <w:bCs/>
          <w:color w:val="auto"/>
          <w:kern w:val="0"/>
          <w:sz w:val="32"/>
          <w:szCs w:val="32"/>
          <w:lang w:eastAsia="zh-CN"/>
        </w:rPr>
        <w:t>项目编号：PYCG-YP-202603-11</w:t>
      </w:r>
    </w:p>
    <w:p>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pPr>
        <w:widowControl/>
        <w:spacing w:line="380" w:lineRule="exact"/>
        <w:jc w:val="left"/>
        <w:rPr>
          <w:rFonts w:hint="eastAsia" w:ascii="仿宋_GB2312" w:eastAsia="仿宋_GB2312" w:cs="宋体" w:hAnsiTheme="minorEastAsia"/>
          <w:b/>
          <w:bCs/>
          <w:color w:val="auto"/>
          <w:kern w:val="0"/>
          <w:sz w:val="28"/>
          <w:szCs w:val="28"/>
        </w:rPr>
      </w:pPr>
    </w:p>
    <w:p>
      <w:pPr>
        <w:widowControl/>
        <w:spacing w:line="500" w:lineRule="exact"/>
        <w:jc w:val="center"/>
        <w:rPr>
          <w:b/>
          <w:color w:val="auto"/>
          <w:sz w:val="24"/>
          <w:szCs w:val="24"/>
        </w:rPr>
      </w:pPr>
    </w:p>
    <w:p>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pPr>
        <w:jc w:val="center"/>
        <w:rPr>
          <w:rFonts w:hint="eastAsia" w:asciiTheme="minorEastAsia" w:hAnsiTheme="minorEastAsia" w:cstheme="minorEastAsia"/>
          <w:b/>
          <w:color w:val="auto"/>
          <w:sz w:val="36"/>
          <w:szCs w:val="36"/>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pPr>
        <w:spacing w:line="360" w:lineRule="auto"/>
        <w:ind w:firstLine="480" w:firstLineChars="200"/>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4.1报价表</w:t>
      </w:r>
    </w:p>
    <w:p>
      <w:pPr>
        <w:pStyle w:val="2"/>
        <w:rPr>
          <w:rFonts w:hint="default"/>
          <w:lang w:val="en-US" w:eastAsia="zh-CN"/>
        </w:rPr>
      </w:pPr>
      <w:r>
        <w:rPr>
          <w:rFonts w:hint="eastAsia" w:ascii="宋体" w:hAnsi="宋体" w:eastAsia="宋体" w:cs="宋体"/>
          <w:color w:val="auto"/>
          <w:sz w:val="24"/>
          <w:szCs w:val="24"/>
          <w:lang w:val="en-US" w:eastAsia="zh-CN"/>
        </w:rPr>
        <w:t xml:space="preserve">    4.2审评中心截图</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pPr>
        <w:pStyle w:val="3"/>
        <w:rPr>
          <w:color w:val="auto"/>
        </w:rPr>
      </w:pPr>
    </w:p>
    <w:p>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19"/>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pPr>
              <w:pStyle w:val="10"/>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2"/>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0"/>
        <w:spacing w:line="360" w:lineRule="exact"/>
        <w:rPr>
          <w:rFonts w:cs="宋体"/>
          <w:color w:val="auto"/>
          <w:sz w:val="21"/>
          <w:szCs w:val="21"/>
        </w:rPr>
      </w:pPr>
      <w:r>
        <w:rPr>
          <w:color w:val="auto"/>
          <w:sz w:val="22"/>
          <w:szCs w:val="21"/>
        </w:rPr>
        <w:t>日期：   年   月  日</w:t>
      </w: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pPr>
        <w:pStyle w:val="2"/>
        <w:rPr>
          <w:color w:val="auto"/>
        </w:rPr>
      </w:pPr>
    </w:p>
    <w:tbl>
      <w:tblPr>
        <w:tblStyle w:val="19"/>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p>
        </w:tc>
      </w:tr>
    </w:tbl>
    <w:p>
      <w:pPr>
        <w:pStyle w:val="10"/>
        <w:tabs>
          <w:tab w:val="decimal" w:pos="315"/>
          <w:tab w:val="left" w:pos="630"/>
        </w:tabs>
        <w:spacing w:after="0"/>
        <w:ind w:left="424" w:hanging="424" w:hangingChars="202"/>
        <w:rPr>
          <w:rFonts w:hint="eastAsia"/>
          <w:color w:val="auto"/>
          <w:sz w:val="21"/>
          <w:szCs w:val="21"/>
          <w:lang w:val="en-US"/>
        </w:rPr>
      </w:pPr>
    </w:p>
    <w:p>
      <w:pPr>
        <w:pStyle w:val="10"/>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0"/>
        <w:tabs>
          <w:tab w:val="decimal" w:pos="315"/>
          <w:tab w:val="left" w:pos="630"/>
        </w:tabs>
        <w:spacing w:after="0"/>
        <w:rPr>
          <w:color w:val="auto"/>
          <w:sz w:val="21"/>
          <w:szCs w:val="21"/>
        </w:rPr>
      </w:pPr>
    </w:p>
    <w:p>
      <w:pPr>
        <w:pStyle w:val="10"/>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0"/>
        <w:spacing w:line="360" w:lineRule="exact"/>
        <w:rPr>
          <w:rFonts w:cs="宋体"/>
          <w:color w:val="auto"/>
          <w:sz w:val="21"/>
          <w:szCs w:val="21"/>
        </w:rPr>
      </w:pPr>
      <w:r>
        <w:rPr>
          <w:color w:val="auto"/>
          <w:sz w:val="22"/>
          <w:szCs w:val="21"/>
        </w:rPr>
        <w:t>日期：   年   月  日</w:t>
      </w:r>
    </w:p>
    <w:p>
      <w:pPr>
        <w:pStyle w:val="10"/>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pPr>
        <w:spacing w:line="360" w:lineRule="auto"/>
        <w:rPr>
          <w:rFonts w:hint="eastAsia" w:ascii="宋体" w:hAnsi="宋体"/>
          <w:b/>
          <w:bCs/>
          <w:color w:val="auto"/>
        </w:rPr>
      </w:pPr>
    </w:p>
    <w:p>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中山市黄圃人民医院2026年制剂室药用原辅料（内包装及其它原辅料）采购项目（项目编号：PYCG-YP-202603-11）</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2"/>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1"/>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spacing w:line="360" w:lineRule="auto"/>
        <w:rPr>
          <w:rFonts w:ascii="宋体" w:hAnsi="宋体"/>
          <w:sz w:val="22"/>
          <w:szCs w:val="21"/>
        </w:rPr>
      </w:pPr>
      <w:r>
        <w:rPr>
          <w:rFonts w:ascii="宋体" w:hAnsi="宋体"/>
          <w:sz w:val="22"/>
          <w:szCs w:val="21"/>
        </w:rPr>
        <w:t>日期：   年   月  日</w:t>
      </w:r>
    </w:p>
    <w:p>
      <w:pPr>
        <w:spacing w:line="240" w:lineRule="auto"/>
        <w:rPr>
          <w:rFonts w:hint="eastAsia" w:ascii="宋体" w:hAnsi="宋体"/>
          <w:b/>
          <w:bCs/>
          <w:color w:val="auto"/>
          <w:szCs w:val="21"/>
        </w:rPr>
      </w:pPr>
      <w:r>
        <w:rPr>
          <w:rFonts w:hint="eastAsia" w:ascii="宋体" w:hAnsi="宋体"/>
          <w:b/>
          <w:bCs/>
          <w:color w:val="auto"/>
          <w:szCs w:val="21"/>
        </w:rPr>
        <w:br w:type="page"/>
      </w:r>
    </w:p>
    <w:p>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pPr>
        <w:spacing w:line="360" w:lineRule="auto"/>
        <w:jc w:val="center"/>
        <w:rPr>
          <w:rFonts w:hint="eastAsia"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中山市黄圃人民医院2026年制剂室药用原辅料（内包装及其它原辅料）采购项目（项目编号：PYCG-YP-202603-11）</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pPr>
        <w:tabs>
          <w:tab w:val="left" w:pos="840"/>
        </w:tabs>
        <w:spacing w:line="360" w:lineRule="auto"/>
        <w:rPr>
          <w:b/>
          <w:bCs/>
          <w:color w:val="auto"/>
          <w:szCs w:val="21"/>
        </w:rPr>
      </w:pPr>
      <w:r>
        <w:rPr>
          <w:rFonts w:hint="eastAsia"/>
          <w:b/>
          <w:bCs/>
          <w:color w:val="auto"/>
          <w:szCs w:val="21"/>
        </w:rPr>
        <w:t>（相关证明文件附后，并加盖供应商公章）</w:t>
      </w:r>
    </w:p>
    <w:p>
      <w:pPr>
        <w:pStyle w:val="2"/>
        <w:rPr>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spacing w:line="480" w:lineRule="exact"/>
        <w:rPr>
          <w:rFonts w:hint="eastAsia" w:ascii="宋体" w:hAnsi="宋体" w:cs="宋体" w:eastAsiaTheme="minorEastAsia"/>
          <w:b/>
          <w:bCs/>
          <w:color w:val="auto"/>
          <w:kern w:val="2"/>
          <w:sz w:val="21"/>
          <w:szCs w:val="21"/>
          <w:lang w:val="en-US" w:eastAsia="zh-CN" w:bidi="ar-SA"/>
        </w:rPr>
      </w:pPr>
    </w:p>
    <w:p>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pPr>
        <w:rPr>
          <w:rFonts w:hint="eastAsia" w:ascii="宋体" w:hAnsi="宋体"/>
          <w:b/>
          <w:bCs/>
          <w:color w:val="auto"/>
        </w:rPr>
      </w:pPr>
      <w:r>
        <w:rPr>
          <w:rFonts w:hint="eastAsia" w:ascii="宋体" w:hAnsi="宋体"/>
          <w:b/>
          <w:bCs/>
          <w:color w:val="auto"/>
        </w:rPr>
        <w:br w:type="page"/>
      </w:r>
    </w:p>
    <w:p>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中山市黄圃人民医院2026年制剂室药用原辅料（内包装及其它原辅料）采购项目（项目编号：PYCG-YP-202603-11）</w:t>
      </w:r>
      <w:r>
        <w:rPr>
          <w:rFonts w:ascii="宋体" w:hAnsi="宋体"/>
          <w:color w:val="auto"/>
        </w:rPr>
        <w:t>活动中，无以下围标、串标行为。</w:t>
      </w:r>
    </w:p>
    <w:p>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pPr>
        <w:spacing w:line="360" w:lineRule="auto"/>
        <w:ind w:left="720" w:hanging="720"/>
        <w:rPr>
          <w:rFonts w:hint="eastAsia" w:ascii="宋体" w:hAnsi="宋体"/>
          <w:color w:val="auto"/>
        </w:rPr>
      </w:pPr>
    </w:p>
    <w:p>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eastAsia" w:ascii="宋体" w:hAnsi="宋体"/>
          <w:color w:val="auto"/>
        </w:rPr>
      </w:pPr>
      <w:r>
        <w:rPr>
          <w:rFonts w:ascii="宋体" w:hAnsi="宋体"/>
          <w:color w:val="auto"/>
        </w:rPr>
        <w:t>特此承诺。</w:t>
      </w:r>
    </w:p>
    <w:p>
      <w:pPr>
        <w:spacing w:line="460" w:lineRule="exact"/>
        <w:ind w:firstLine="420" w:firstLineChars="200"/>
        <w:rPr>
          <w:rFonts w:hint="eastAsia" w:ascii="宋体" w:hAnsi="宋体"/>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rPr>
          <w:color w:val="auto"/>
        </w:rPr>
      </w:pPr>
      <w:r>
        <w:rPr>
          <w:color w:val="auto"/>
        </w:rPr>
        <w:br w:type="page"/>
      </w:r>
    </w:p>
    <w:p>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pPr>
        <w:tabs>
          <w:tab w:val="decimal" w:pos="315"/>
          <w:tab w:val="left" w:pos="630"/>
        </w:tabs>
        <w:spacing w:line="440" w:lineRule="exact"/>
        <w:ind w:firstLine="210" w:firstLineChars="100"/>
        <w:rPr>
          <w:color w:val="auto"/>
          <w:szCs w:val="21"/>
        </w:rPr>
      </w:pPr>
    </w:p>
    <w:p>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pPr>
        <w:spacing w:line="360" w:lineRule="auto"/>
        <w:rPr>
          <w:rFonts w:hint="eastAsia" w:ascii="宋体" w:hAnsi="宋体"/>
          <w:b/>
          <w:color w:val="auto"/>
          <w:sz w:val="24"/>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4"/>
        <w:rPr>
          <w:rFonts w:hint="eastAsia"/>
          <w:b/>
          <w:color w:val="auto"/>
          <w:sz w:val="28"/>
          <w:szCs w:val="28"/>
        </w:rPr>
      </w:pPr>
    </w:p>
    <w:p>
      <w:pPr>
        <w:spacing w:line="360" w:lineRule="auto"/>
        <w:rPr>
          <w:rFonts w:hint="eastAsia" w:ascii="宋体" w:hAnsi="宋体"/>
          <w:b/>
          <w:color w:val="auto"/>
          <w:sz w:val="24"/>
        </w:rPr>
      </w:pPr>
    </w:p>
    <w:p>
      <w:pPr>
        <w:widowControl/>
        <w:jc w:val="left"/>
        <w:rPr>
          <w:rFonts w:hint="eastAsia" w:ascii="宋体" w:hAnsi="宋体"/>
          <w:b/>
          <w:color w:val="auto"/>
          <w:sz w:val="28"/>
        </w:rPr>
      </w:pPr>
      <w:r>
        <w:rPr>
          <w:rFonts w:ascii="宋体" w:hAnsi="宋体"/>
          <w:b/>
          <w:color w:val="auto"/>
          <w:sz w:val="28"/>
        </w:rPr>
        <w:br w:type="page"/>
      </w:r>
    </w:p>
    <w:p>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中山市黄圃人民医院2026年制剂室药用原辅料（内包装及其它原辅料）采购项目（项目编号：PYCG-YP-202603-11）</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pPr>
        <w:tabs>
          <w:tab w:val="decimal" w:pos="315"/>
          <w:tab w:val="left" w:pos="630"/>
        </w:tabs>
        <w:spacing w:line="360" w:lineRule="auto"/>
        <w:rPr>
          <w:color w:val="auto"/>
          <w:szCs w:val="21"/>
        </w:rPr>
      </w:pPr>
      <w:r>
        <w:rPr>
          <w:rFonts w:hint="eastAsia"/>
          <w:color w:val="auto"/>
          <w:szCs w:val="21"/>
        </w:rPr>
        <w:t xml:space="preserve">           </w:t>
      </w:r>
    </w:p>
    <w:p>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pPr>
        <w:pStyle w:val="2"/>
        <w:rPr>
          <w:color w:val="auto"/>
        </w:rPr>
      </w:pPr>
    </w:p>
    <w:p>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pPr>
        <w:tabs>
          <w:tab w:val="left" w:pos="4140"/>
        </w:tabs>
        <w:spacing w:line="500" w:lineRule="exact"/>
        <w:ind w:firstLine="440" w:firstLineChars="200"/>
        <w:rPr>
          <w:rFonts w:hint="eastAsia" w:ascii="宋体" w:hAnsi="宋体"/>
          <w:color w:val="auto"/>
          <w:sz w:val="22"/>
          <w:szCs w:val="21"/>
        </w:rPr>
      </w:pPr>
    </w:p>
    <w:p>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pPr>
        <w:spacing w:before="156" w:beforeLines="50"/>
        <w:rPr>
          <w:rFonts w:hint="eastAsia" w:ascii="宋体" w:hAnsi="宋体"/>
          <w:color w:val="auto"/>
          <w:szCs w:val="21"/>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pPr>
        <w:rPr>
          <w:rFonts w:hint="eastAsia"/>
        </w:rPr>
      </w:pPr>
    </w:p>
    <w:p>
      <w:pPr>
        <w:numPr>
          <w:ilvl w:val="0"/>
          <w:numId w:val="4"/>
        </w:numPr>
        <w:spacing w:line="360" w:lineRule="auto"/>
        <w:jc w:val="center"/>
        <w:outlineLvl w:val="0"/>
        <w:rPr>
          <w:rFonts w:ascii="宋体" w:hAnsi="宋体"/>
          <w:b/>
          <w:bCs/>
          <w:color w:val="auto"/>
          <w:sz w:val="28"/>
          <w:szCs w:val="28"/>
        </w:rPr>
      </w:pPr>
      <w:bookmarkStart w:id="3" w:name="_Toc202252035"/>
      <w:bookmarkStart w:id="4" w:name="_Toc202819879"/>
      <w:bookmarkStart w:id="5" w:name="_Toc202251076"/>
      <w:bookmarkStart w:id="6" w:name="_Toc202254106"/>
      <w:bookmarkStart w:id="7" w:name="_Toc202816997"/>
      <w:bookmarkStart w:id="8" w:name="_Toc202820352"/>
      <w:bookmarkStart w:id="9" w:name="_Toc202251701"/>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pPr>
        <w:spacing w:line="360" w:lineRule="auto"/>
        <w:jc w:val="left"/>
        <w:rPr>
          <w:rFonts w:hint="default" w:ascii="宋体" w:hAnsi="宋体"/>
          <w:b/>
          <w:color w:val="auto"/>
          <w:szCs w:val="21"/>
        </w:rPr>
      </w:pPr>
      <w:r>
        <w:rPr>
          <w:rFonts w:ascii="宋体" w:hAnsi="宋体"/>
          <w:b/>
          <w:color w:val="auto"/>
          <w:szCs w:val="21"/>
        </w:rPr>
        <w:t>3.1 商务条款响应表</w:t>
      </w:r>
    </w:p>
    <w:p>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pPr>
              <w:pStyle w:val="29"/>
              <w:keepNext w:val="0"/>
              <w:adjustRightInd/>
              <w:spacing w:before="0" w:after="0" w:line="240" w:lineRule="auto"/>
              <w:rPr>
                <w:rFonts w:hint="default" w:ascii="宋体" w:hAnsi="宋体"/>
                <w:color w:val="auto"/>
                <w:spacing w:val="0"/>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4"/>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4"/>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lang w:val="en-US" w:eastAsia="zh-CN" w:bidi="ar-SA"/>
              </w:rPr>
              <w:t>服务期的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pPr>
              <w:snapToGrid w:val="0"/>
              <w:jc w:val="center"/>
              <w:rPr>
                <w:rFonts w:hint="eastAsia" w:ascii="宋体" w:hAnsi="宋体" w:eastAsia="宋体"/>
                <w:color w:val="auto"/>
                <w:sz w:val="22"/>
                <w:szCs w:val="21"/>
                <w:lang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color w:val="auto"/>
          <w:szCs w:val="21"/>
          <w:lang w:val="en-GB"/>
        </w:rPr>
      </w:pPr>
    </w:p>
    <w:p>
      <w:pPr>
        <w:adjustRightInd w:val="0"/>
        <w:snapToGrid w:val="0"/>
        <w:spacing w:line="360" w:lineRule="auto"/>
        <w:rPr>
          <w:rFonts w:hint="default" w:ascii="宋体" w:hAnsi="宋体"/>
          <w:color w:val="auto"/>
          <w:szCs w:val="21"/>
          <w:lang w:val="en-GB"/>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autoSpaceDE w:val="0"/>
        <w:autoSpaceDN w:val="0"/>
        <w:adjustRightInd w:val="0"/>
        <w:spacing w:line="360" w:lineRule="auto"/>
        <w:rPr>
          <w:rFonts w:ascii="宋体" w:hAnsi="宋体"/>
          <w:color w:val="auto"/>
          <w:sz w:val="22"/>
          <w:szCs w:val="21"/>
        </w:rPr>
      </w:pPr>
    </w:p>
    <w:p>
      <w:pPr>
        <w:pStyle w:val="2"/>
        <w:numPr>
          <w:ilvl w:val="0"/>
          <w:numId w:val="0"/>
        </w:numPr>
        <w:rPr>
          <w:rFonts w:hint="eastAsia"/>
        </w:rPr>
      </w:pPr>
    </w:p>
    <w:p>
      <w:pPr>
        <w:spacing w:line="360" w:lineRule="auto"/>
        <w:jc w:val="left"/>
        <w:rPr>
          <w:rFonts w:hint="eastAsia" w:ascii="宋体" w:hAnsi="宋体"/>
          <w:b/>
          <w:color w:val="auto"/>
          <w:szCs w:val="21"/>
          <w:highlight w:val="none"/>
          <w:lang w:val="en-US" w:eastAsia="zh-CN"/>
        </w:rPr>
      </w:pPr>
      <w:r>
        <w:rPr>
          <w:rStyle w:val="26"/>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19"/>
        <w:tblW w:w="10195" w:type="dxa"/>
        <w:jc w:val="center"/>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exact"/>
          <w:jc w:val="center"/>
        </w:trPr>
        <w:tc>
          <w:tcPr>
            <w:tcW w:w="625" w:type="dxa"/>
            <w:vAlign w:val="center"/>
          </w:tcPr>
          <w:p>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pPr>
              <w:jc w:val="left"/>
              <w:rPr>
                <w:rFonts w:hint="default" w:ascii="宋体" w:hAnsi="宋体"/>
                <w:color w:val="auto"/>
                <w:szCs w:val="21"/>
                <w:highlight w:val="none"/>
                <w:u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p>
        </w:tc>
      </w:tr>
    </w:tbl>
    <w:p>
      <w:pPr>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6"/>
          <w:rFonts w:hint="eastAsia" w:ascii="宋体" w:hAnsi="宋体" w:eastAsia="宋体" w:cs="宋体"/>
          <w:color w:val="auto"/>
          <w:kern w:val="2"/>
          <w:sz w:val="24"/>
          <w:szCs w:val="24"/>
          <w:highlight w:val="none"/>
          <w:lang w:val="en-US" w:eastAsia="zh-CN"/>
        </w:rPr>
        <w:br w:type="page"/>
      </w:r>
      <w:r>
        <w:rPr>
          <w:rStyle w:val="26"/>
          <w:rFonts w:hint="eastAsia" w:ascii="宋体" w:hAnsi="宋体" w:eastAsia="宋体" w:cs="宋体"/>
          <w:b/>
          <w:bCs/>
          <w:color w:val="auto"/>
          <w:kern w:val="2"/>
          <w:sz w:val="24"/>
          <w:szCs w:val="24"/>
          <w:highlight w:val="none"/>
          <w:lang w:val="en-US" w:eastAsia="zh-CN"/>
        </w:rPr>
        <w:t>3</w:t>
      </w:r>
      <w:r>
        <w:rPr>
          <w:rStyle w:val="26"/>
          <w:rFonts w:hint="eastAsia" w:ascii="宋体" w:hAnsi="宋体" w:eastAsia="宋体" w:cs="宋体"/>
          <w:b/>
          <w:bCs/>
          <w:color w:val="auto"/>
          <w:kern w:val="2"/>
          <w:sz w:val="24"/>
          <w:szCs w:val="24"/>
          <w:highlight w:val="none"/>
        </w:rPr>
        <w:t>.</w:t>
      </w:r>
      <w:r>
        <w:rPr>
          <w:rStyle w:val="26"/>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19"/>
        <w:tblW w:w="9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pPr>
              <w:pStyle w:val="10"/>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pPr>
        <w:rPr>
          <w:rFonts w:hint="default"/>
          <w:color w:val="auto"/>
          <w:highlight w:val="none"/>
        </w:rPr>
      </w:pPr>
    </w:p>
    <w:p>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pPr>
        <w:pStyle w:val="21"/>
        <w:rPr>
          <w:rFonts w:ascii="宋体" w:hAnsi="宋体"/>
          <w:color w:val="auto"/>
          <w:szCs w:val="21"/>
          <w:highlight w:val="none"/>
        </w:rPr>
      </w:pPr>
    </w:p>
    <w:p>
      <w:pPr>
        <w:pStyle w:val="21"/>
        <w:rPr>
          <w:rFonts w:hint="default" w:ascii="宋体" w:hAnsi="宋体"/>
          <w:color w:val="auto"/>
          <w:szCs w:val="21"/>
          <w:highlight w:val="none"/>
        </w:rPr>
      </w:pPr>
    </w:p>
    <w:p>
      <w:pPr>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6"/>
          <w:rFonts w:hint="eastAsia" w:ascii="宋体" w:hAnsi="宋体" w:eastAsia="宋体" w:cs="宋体"/>
          <w:color w:val="auto"/>
          <w:kern w:val="2"/>
          <w:sz w:val="24"/>
          <w:szCs w:val="24"/>
          <w:highlight w:val="none"/>
          <w:lang w:val="en-US" w:eastAsia="zh-CN"/>
        </w:rPr>
        <w:t>3.4</w:t>
      </w:r>
      <w:r>
        <w:rPr>
          <w:rStyle w:val="26"/>
          <w:rFonts w:hint="eastAsia" w:ascii="宋体" w:hAnsi="宋体" w:eastAsia="宋体" w:cs="宋体"/>
          <w:color w:val="auto"/>
          <w:kern w:val="2"/>
          <w:sz w:val="24"/>
          <w:szCs w:val="24"/>
          <w:highlight w:val="none"/>
        </w:rPr>
        <w:t>一般性响应用户需求条款响应表</w:t>
      </w:r>
    </w:p>
    <w:tbl>
      <w:tblPr>
        <w:tblStyle w:val="19"/>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92" w:hRule="exact"/>
          <w:jc w:val="center"/>
        </w:trPr>
        <w:tc>
          <w:tcPr>
            <w:tcW w:w="637"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bl>
    <w:p>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pPr>
        <w:adjustRightInd w:val="0"/>
        <w:snapToGrid w:val="0"/>
        <w:spacing w:line="360" w:lineRule="auto"/>
        <w:rPr>
          <w:rFonts w:hint="eastAsia" w:ascii="宋体" w:hAnsi="宋体"/>
          <w:b/>
          <w:color w:val="auto"/>
          <w:highlight w:val="none"/>
          <w:lang w:val="en-GB"/>
        </w:rPr>
      </w:pPr>
    </w:p>
    <w:p>
      <w:pPr>
        <w:adjustRightInd w:val="0"/>
        <w:snapToGrid w:val="0"/>
        <w:spacing w:line="360" w:lineRule="auto"/>
        <w:rPr>
          <w:rFonts w:hint="eastAsia" w:ascii="宋体" w:hAnsi="宋体"/>
          <w:color w:val="auto"/>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pPr>
        <w:spacing w:line="360" w:lineRule="auto"/>
        <w:rPr>
          <w:rStyle w:val="26"/>
          <w:rFonts w:hint="eastAsia" w:ascii="宋体" w:hAnsi="宋体" w:eastAsia="宋体" w:cs="宋体"/>
          <w:color w:val="auto"/>
          <w:kern w:val="2"/>
          <w:sz w:val="24"/>
          <w:szCs w:val="24"/>
          <w:lang w:val="en-US" w:eastAsia="zh-CN"/>
        </w:rPr>
      </w:pPr>
    </w:p>
    <w:p>
      <w:pPr>
        <w:spacing w:line="360" w:lineRule="auto"/>
        <w:rPr>
          <w:rStyle w:val="26"/>
          <w:rFonts w:hint="eastAsia" w:ascii="宋体" w:hAnsi="宋体" w:eastAsia="宋体" w:cs="宋体"/>
          <w:color w:val="auto"/>
          <w:kern w:val="2"/>
          <w:sz w:val="24"/>
          <w:szCs w:val="24"/>
        </w:rPr>
      </w:pPr>
      <w:r>
        <w:rPr>
          <w:rStyle w:val="26"/>
          <w:rFonts w:hint="eastAsia" w:ascii="宋体" w:hAnsi="宋体" w:eastAsia="宋体" w:cs="宋体"/>
          <w:color w:val="auto"/>
          <w:kern w:val="2"/>
          <w:sz w:val="24"/>
          <w:szCs w:val="24"/>
          <w:lang w:val="en-US" w:eastAsia="zh-CN"/>
        </w:rPr>
        <w:t>3</w:t>
      </w:r>
      <w:r>
        <w:rPr>
          <w:rStyle w:val="26"/>
          <w:rFonts w:hint="eastAsia" w:ascii="宋体" w:hAnsi="宋体" w:eastAsia="宋体" w:cs="宋体"/>
          <w:color w:val="auto"/>
          <w:kern w:val="2"/>
          <w:sz w:val="24"/>
          <w:szCs w:val="24"/>
        </w:rPr>
        <w:t>.</w:t>
      </w:r>
      <w:r>
        <w:rPr>
          <w:rStyle w:val="26"/>
          <w:rFonts w:hint="eastAsia" w:ascii="宋体" w:hAnsi="宋体" w:eastAsia="宋体" w:cs="宋体"/>
          <w:color w:val="auto"/>
          <w:kern w:val="2"/>
          <w:sz w:val="24"/>
          <w:szCs w:val="24"/>
          <w:lang w:val="en-US" w:eastAsia="zh-CN"/>
        </w:rPr>
        <w:t>5</w:t>
      </w:r>
      <w:r>
        <w:rPr>
          <w:rStyle w:val="26"/>
          <w:rFonts w:hint="eastAsia" w:ascii="宋体" w:hAnsi="宋体" w:eastAsia="宋体" w:cs="宋体"/>
          <w:color w:val="auto"/>
          <w:kern w:val="2"/>
          <w:sz w:val="24"/>
          <w:szCs w:val="24"/>
        </w:rPr>
        <w:t>供应商综合概况</w:t>
      </w:r>
    </w:p>
    <w:p>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pPr>
              <w:tabs>
                <w:tab w:val="left" w:pos="540"/>
              </w:tabs>
              <w:snapToGrid w:val="0"/>
              <w:ind w:right="-105" w:rightChars="-50"/>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pPr>
              <w:pStyle w:val="2"/>
              <w:rPr>
                <w:rFonts w:hint="eastAsia" w:ascii="宋体" w:hAnsi="宋体"/>
                <w:color w:val="auto"/>
                <w:szCs w:val="21"/>
              </w:rPr>
            </w:pPr>
          </w:p>
          <w:p>
            <w:pPr>
              <w:pStyle w:val="2"/>
              <w:rPr>
                <w:color w:val="auto"/>
              </w:rPr>
            </w:pPr>
          </w:p>
        </w:tc>
      </w:tr>
    </w:tbl>
    <w:p>
      <w:pPr>
        <w:pStyle w:val="25"/>
        <w:rPr>
          <w:rFonts w:hint="eastAsia" w:ascii="宋体" w:hAnsi="宋体"/>
          <w:color w:val="auto"/>
          <w:spacing w:val="0"/>
          <w:sz w:val="21"/>
          <w:szCs w:val="21"/>
          <w:lang w:val="en-GB"/>
        </w:rPr>
      </w:pPr>
    </w:p>
    <w:p>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19"/>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eastAsia"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1</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2</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pStyle w:val="27"/>
              <w:ind w:right="-105"/>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pPr>
        <w:rPr>
          <w:rFonts w:hint="eastAsia" w:ascii="宋体" w:hAnsi="宋体"/>
          <w:b/>
          <w:color w:val="auto"/>
          <w:szCs w:val="21"/>
        </w:rPr>
      </w:pPr>
    </w:p>
    <w:p>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19"/>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eastAsia"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1</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2</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pPr>
        <w:spacing w:line="360" w:lineRule="auto"/>
        <w:jc w:val="left"/>
        <w:outlineLvl w:val="0"/>
        <w:rPr>
          <w:rStyle w:val="28"/>
          <w:rFonts w:hint="eastAsia" w:ascii="宋体" w:hAnsi="宋体" w:eastAsia="宋体" w:cs="宋体"/>
          <w:color w:val="auto"/>
          <w:kern w:val="2"/>
          <w:sz w:val="24"/>
          <w:szCs w:val="24"/>
          <w:lang w:val="en-US" w:eastAsia="zh-CN" w:bidi="ar-SA"/>
        </w:rPr>
      </w:pPr>
    </w:p>
    <w:p>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28"/>
          <w:rFonts w:hint="eastAsia" w:ascii="宋体" w:hAnsi="宋体" w:eastAsia="宋体" w:cs="宋体"/>
          <w:color w:val="auto"/>
          <w:kern w:val="2"/>
          <w:sz w:val="24"/>
          <w:szCs w:val="24"/>
          <w:lang w:val="en-US" w:eastAsia="zh-CN" w:bidi="ar-SA"/>
        </w:rPr>
        <w:br w:type="page"/>
      </w:r>
    </w:p>
    <w:p>
      <w:pPr>
        <w:pStyle w:val="7"/>
        <w:spacing w:line="360" w:lineRule="auto"/>
        <w:ind w:firstLine="0" w:firstLineChars="0"/>
        <w:jc w:val="both"/>
        <w:outlineLvl w:val="0"/>
        <w:rPr>
          <w:rFonts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pPr>
        <w:pStyle w:val="7"/>
        <w:spacing w:line="360" w:lineRule="auto"/>
        <w:ind w:firstLine="0" w:firstLineChars="0"/>
        <w:jc w:val="left"/>
        <w:outlineLvl w:val="0"/>
        <w:rPr>
          <w:rFonts w:hint="eastAsia" w:cs="宋体"/>
          <w:b/>
          <w:bCs/>
          <w:color w:val="auto"/>
          <w:sz w:val="30"/>
          <w:szCs w:val="30"/>
        </w:rPr>
      </w:pPr>
      <w:bookmarkStart w:id="17" w:name="_GoBack"/>
      <w:r>
        <w:rPr>
          <w:rFonts w:hint="eastAsia" w:cs="宋体"/>
          <w:b/>
          <w:bCs/>
          <w:color w:val="auto"/>
          <w:sz w:val="30"/>
          <w:szCs w:val="30"/>
          <w:lang w:val="en-US" w:eastAsia="zh-CN"/>
        </w:rPr>
        <w:t>4.1</w:t>
      </w:r>
      <w:r>
        <w:rPr>
          <w:rFonts w:hint="eastAsia" w:cs="宋体"/>
          <w:b/>
          <w:bCs/>
          <w:color w:val="auto"/>
          <w:sz w:val="30"/>
          <w:szCs w:val="30"/>
        </w:rPr>
        <w:t>报价表</w:t>
      </w:r>
    </w:p>
    <w:bookmarkEnd w:id="17"/>
    <w:p>
      <w:pPr>
        <w:pStyle w:val="7"/>
        <w:spacing w:line="360" w:lineRule="auto"/>
        <w:ind w:firstLine="0" w:firstLineChars="0"/>
        <w:jc w:val="left"/>
        <w:outlineLvl w:val="0"/>
        <w:rPr>
          <w:rFonts w:hint="eastAsia" w:cs="宋体" w:eastAsiaTheme="minorEastAsia"/>
          <w:b w:val="0"/>
          <w:bCs w:val="0"/>
          <w:color w:val="auto"/>
          <w:sz w:val="30"/>
          <w:szCs w:val="30"/>
          <w:lang w:eastAsia="zh-CN"/>
        </w:rPr>
      </w:pPr>
      <w:r>
        <w:rPr>
          <w:rFonts w:hint="eastAsia" w:cs="宋体"/>
          <w:b/>
          <w:bCs/>
          <w:color w:val="auto"/>
          <w:sz w:val="24"/>
          <w:szCs w:val="24"/>
          <w:lang w:eastAsia="zh-CN"/>
        </w:rPr>
        <w:t>项目名称：</w:t>
      </w:r>
      <w:r>
        <w:rPr>
          <w:rFonts w:hint="eastAsia" w:cs="宋体"/>
          <w:b w:val="0"/>
          <w:bCs w:val="0"/>
          <w:color w:val="auto"/>
          <w:sz w:val="24"/>
          <w:szCs w:val="24"/>
          <w:lang w:eastAsia="zh-CN"/>
        </w:rPr>
        <w:t>中山市黄圃人民医院2026年制剂室药用原辅料（内包装材料及其它原辅料）采购项目（项目编号：PYCG-YP-202603-11）。</w:t>
      </w:r>
    </w:p>
    <w:tbl>
      <w:tblPr>
        <w:tblStyle w:val="19"/>
        <w:tblW w:w="10853" w:type="dxa"/>
        <w:jc w:val="center"/>
        <w:tblInd w:w="-23" w:type="dxa"/>
        <w:tblLayout w:type="fixed"/>
        <w:tblCellMar>
          <w:top w:w="0" w:type="dxa"/>
          <w:left w:w="108" w:type="dxa"/>
          <w:bottom w:w="0" w:type="dxa"/>
          <w:right w:w="108" w:type="dxa"/>
        </w:tblCellMar>
      </w:tblPr>
      <w:tblGrid>
        <w:gridCol w:w="747"/>
        <w:gridCol w:w="1373"/>
        <w:gridCol w:w="971"/>
        <w:gridCol w:w="1100"/>
        <w:gridCol w:w="866"/>
        <w:gridCol w:w="1667"/>
        <w:gridCol w:w="1317"/>
        <w:gridCol w:w="866"/>
        <w:gridCol w:w="1000"/>
        <w:gridCol w:w="946"/>
      </w:tblGrid>
      <w:tr>
        <w:tblPrEx>
          <w:tblLayout w:type="fixed"/>
        </w:tblPrEx>
        <w:trPr>
          <w:trHeight w:val="620" w:hRule="atLeast"/>
          <w:jc w:val="center"/>
        </w:trPr>
        <w:tc>
          <w:tcPr>
            <w:tcW w:w="74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序号</w:t>
            </w:r>
          </w:p>
        </w:tc>
        <w:tc>
          <w:tcPr>
            <w:tcW w:w="13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名称</w:t>
            </w:r>
          </w:p>
        </w:tc>
        <w:tc>
          <w:tcPr>
            <w:tcW w:w="9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规格参数</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2026年</w:t>
            </w:r>
          </w:p>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计划量</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单位</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单价最高限价</w:t>
            </w:r>
          </w:p>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（元/单位）</w:t>
            </w:r>
          </w:p>
        </w:tc>
        <w:tc>
          <w:tcPr>
            <w:tcW w:w="1317" w:type="dxa"/>
            <w:tcBorders>
              <w:top w:val="single" w:color="auto" w:sz="4" w:space="0"/>
              <w:left w:val="nil"/>
              <w:bottom w:val="single" w:color="auto" w:sz="4" w:space="0"/>
              <w:right w:val="single" w:color="auto" w:sz="4" w:space="0"/>
            </w:tcBorders>
            <w:shd w:val="clear" w:color="auto" w:fill="auto"/>
            <w:vAlign w:val="center"/>
          </w:tcPr>
          <w:p>
            <w:pPr>
              <w:widowControl/>
              <w:jc w:val="center"/>
              <w:rPr>
                <w:b/>
              </w:rPr>
            </w:pPr>
            <w:r>
              <w:rPr>
                <w:rFonts w:hint="eastAsia"/>
                <w:b/>
              </w:rPr>
              <w:t>统一折扣率（%）</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ascii="宋体" w:hAnsi="宋体" w:cs="宋体"/>
                <w:b/>
                <w:bCs/>
                <w:color w:val="000000" w:themeColor="text1"/>
                <w:kern w:val="0"/>
                <w:sz w:val="22"/>
                <w:szCs w:val="22"/>
                <w14:textFill>
                  <w14:solidFill>
                    <w14:schemeClr w14:val="tx1"/>
                  </w14:solidFill>
                </w14:textFill>
              </w:rPr>
              <w:t>生产厂家</w:t>
            </w:r>
          </w:p>
        </w:tc>
        <w:tc>
          <w:tcPr>
            <w:tcW w:w="1000" w:type="dxa"/>
            <w:tcBorders>
              <w:top w:val="single" w:color="auto" w:sz="4" w:space="0"/>
              <w:left w:val="nil"/>
              <w:bottom w:val="single" w:color="auto" w:sz="4" w:space="0"/>
              <w:right w:val="single" w:color="auto" w:sz="4" w:space="0"/>
            </w:tcBorders>
            <w:vAlign w:val="center"/>
          </w:tcPr>
          <w:p>
            <w:pPr>
              <w:widowControl/>
              <w:jc w:val="center"/>
            </w:pPr>
            <w:r>
              <w:rPr>
                <w:rFonts w:hint="eastAsia" w:ascii="宋体" w:hAnsi="宋体" w:cs="宋体"/>
                <w:b/>
                <w:bCs/>
                <w:color w:val="000000" w:themeColor="text1"/>
                <w:kern w:val="0"/>
                <w:sz w:val="22"/>
                <w:szCs w:val="22"/>
                <w14:textFill>
                  <w14:solidFill>
                    <w14:schemeClr w14:val="tx1"/>
                  </w14:solidFill>
                </w14:textFill>
              </w:rPr>
              <w:t>登记号</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ascii="宋体" w:hAnsi="宋体" w:cs="宋体"/>
                <w:b/>
                <w:bCs/>
                <w:color w:val="000000" w:themeColor="text1"/>
                <w:kern w:val="0"/>
                <w:sz w:val="22"/>
                <w:szCs w:val="22"/>
                <w14:textFill>
                  <w14:solidFill>
                    <w14:schemeClr w14:val="tx1"/>
                  </w14:solidFill>
                </w14:textFill>
              </w:rPr>
              <w:t>原辅料分类</w:t>
            </w:r>
          </w:p>
        </w:tc>
      </w:tr>
      <w:tr>
        <w:tblPrEx>
          <w:tblLayout w:type="fixed"/>
          <w:tblCellMar>
            <w:top w:w="0" w:type="dxa"/>
            <w:left w:w="108" w:type="dxa"/>
            <w:bottom w:w="0" w:type="dxa"/>
            <w:right w:w="108" w:type="dxa"/>
          </w:tblCellMar>
        </w:tblPrEx>
        <w:trPr>
          <w:trHeight w:val="699"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明胶空心胶囊(全绿)</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66</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万粒</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148.41</w:t>
            </w:r>
          </w:p>
        </w:tc>
        <w:tc>
          <w:tcPr>
            <w:tcW w:w="1317" w:type="dxa"/>
            <w:vMerge w:val="restart"/>
            <w:tcBorders>
              <w:top w:val="single" w:color="auto" w:sz="4" w:space="0"/>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widowControl/>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699"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明胶空心胶囊（桔红）</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180</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万粒</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148.41</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widowControl/>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699"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明胶空心胶囊（红黄）</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万粒</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143.56</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widowControl/>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699"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明胶空心胶囊（红黄）</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120</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万粒</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128.04</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widowControl/>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699"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玉米淀粉</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25kg</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750</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kg</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8.73</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widowControl/>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593"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羟苯乙酯</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500g</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瓶</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58.2</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576"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氯化钠</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1kg</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70</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袋</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5.82</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592"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氢氧化钠</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500g</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270</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瓶</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25.22</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592"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13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苯甲酸</w:t>
            </w:r>
          </w:p>
        </w:tc>
        <w:tc>
          <w:tcPr>
            <w:tcW w:w="9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500g</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包</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17.46</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699"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呋喃西林</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1kg</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kg</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5335</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699"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白凡士林</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18kg</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桶</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291</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643"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苯甲酸钠</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25kg</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75</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kg</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27.16</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609"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w:t>
            </w:r>
          </w:p>
        </w:tc>
        <w:tc>
          <w:tcPr>
            <w:tcW w:w="13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聚山梨酯80</w:t>
            </w:r>
          </w:p>
        </w:tc>
        <w:tc>
          <w:tcPr>
            <w:tcW w:w="9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500ml</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140</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瓶</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19.4</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593"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14</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软皂</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500g</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26</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瓶</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11.64</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609"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冰醋酸</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500ml</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瓶</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33.95</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699" w:hRule="atLeast"/>
          <w:jc w:val="center"/>
        </w:trPr>
        <w:tc>
          <w:tcPr>
            <w:tcW w:w="74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16</w:t>
            </w:r>
          </w:p>
        </w:tc>
        <w:tc>
          <w:tcPr>
            <w:tcW w:w="13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轻质液状石蜡</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500ml</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350</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瓶</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10.67</w:t>
            </w:r>
          </w:p>
        </w:tc>
        <w:tc>
          <w:tcPr>
            <w:tcW w:w="1317" w:type="dxa"/>
            <w:vMerge w:val="continue"/>
            <w:tcBorders>
              <w:left w:val="nil"/>
              <w:right w:val="single" w:color="auto" w:sz="4" w:space="0"/>
            </w:tcBorders>
            <w:shd w:val="clear" w:color="auto" w:fill="auto"/>
            <w:vAlign w:val="center"/>
          </w:tcPr>
          <w:p>
            <w:pPr>
              <w:jc w:val="center"/>
            </w:pPr>
          </w:p>
        </w:tc>
        <w:tc>
          <w:tcPr>
            <w:tcW w:w="866" w:type="dxa"/>
            <w:tcBorders>
              <w:top w:val="nil"/>
              <w:left w:val="nil"/>
              <w:bottom w:val="single" w:color="auto" w:sz="4" w:space="0"/>
              <w:right w:val="single" w:color="auto" w:sz="4" w:space="0"/>
            </w:tcBorders>
            <w:shd w:val="clear" w:color="auto" w:fill="auto"/>
            <w:vAlign w:val="center"/>
          </w:tcPr>
          <w:p>
            <w:pPr>
              <w:widowControl/>
              <w:jc w:val="center"/>
            </w:pPr>
          </w:p>
        </w:tc>
        <w:tc>
          <w:tcPr>
            <w:tcW w:w="1000" w:type="dxa"/>
            <w:tcBorders>
              <w:top w:val="single" w:color="auto" w:sz="4" w:space="0"/>
              <w:left w:val="nil"/>
              <w:bottom w:val="single" w:color="auto" w:sz="4" w:space="0"/>
              <w:right w:val="single" w:color="auto" w:sz="4" w:space="0"/>
            </w:tcBorders>
            <w:vAlign w:val="center"/>
          </w:tcPr>
          <w:p>
            <w:pPr>
              <w:widowControl/>
              <w:jc w:val="center"/>
            </w:pPr>
          </w:p>
        </w:tc>
        <w:tc>
          <w:tcPr>
            <w:tcW w:w="94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jc w:val="center"/>
            </w:pPr>
            <w:r>
              <w:rPr>
                <w:rFonts w:hint="eastAsia" w:ascii="宋体" w:hAnsi="宋体" w:cs="宋体"/>
                <w:color w:val="000000" w:themeColor="text1"/>
                <w:kern w:val="0"/>
                <w:sz w:val="22"/>
                <w:szCs w:val="22"/>
                <w14:textFill>
                  <w14:solidFill>
                    <w14:schemeClr w14:val="tx1"/>
                  </w14:solidFill>
                </w14:textFill>
              </w:rPr>
              <w:t>辅料</w:t>
            </w:r>
          </w:p>
        </w:tc>
      </w:tr>
      <w:tr>
        <w:tblPrEx>
          <w:tblLayout w:type="fixed"/>
          <w:tblCellMar>
            <w:top w:w="0" w:type="dxa"/>
            <w:left w:w="108" w:type="dxa"/>
            <w:bottom w:w="0" w:type="dxa"/>
            <w:right w:w="108" w:type="dxa"/>
          </w:tblCellMar>
        </w:tblPrEx>
        <w:trPr>
          <w:trHeight w:val="699"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17</w:t>
            </w:r>
          </w:p>
        </w:tc>
        <w:tc>
          <w:tcPr>
            <w:tcW w:w="13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其他（2026年业务发展可能新增品种）</w:t>
            </w:r>
          </w:p>
        </w:tc>
        <w:tc>
          <w:tcPr>
            <w:tcW w:w="9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w:t>
            </w:r>
          </w:p>
        </w:tc>
        <w:tc>
          <w:tcPr>
            <w:tcW w:w="16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2500</w:t>
            </w:r>
          </w:p>
        </w:tc>
        <w:tc>
          <w:tcPr>
            <w:tcW w:w="1317" w:type="dxa"/>
            <w:vMerge w:val="continue"/>
            <w:tcBorders>
              <w:left w:val="nil"/>
              <w:bottom w:val="single" w:color="auto" w:sz="4" w:space="0"/>
              <w:right w:val="single" w:color="auto" w:sz="4" w:space="0"/>
            </w:tcBorders>
            <w:shd w:val="clear" w:color="auto" w:fill="auto"/>
            <w:vAlign w:val="center"/>
          </w:tcPr>
          <w:p>
            <w:pPr>
              <w:widowControl/>
              <w:jc w:val="center"/>
            </w:pPr>
          </w:p>
        </w:tc>
        <w:tc>
          <w:tcPr>
            <w:tcW w:w="866"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ascii="宋体" w:hAnsi="宋体" w:cs="宋体"/>
                <w:color w:val="000000" w:themeColor="text1"/>
                <w:kern w:val="0"/>
                <w:sz w:val="22"/>
                <w:szCs w:val="22"/>
                <w14:textFill>
                  <w14:solidFill>
                    <w14:schemeClr w14:val="tx1"/>
                  </w14:solidFill>
                </w14:textFill>
              </w:rPr>
              <w:t>/</w:t>
            </w:r>
          </w:p>
        </w:tc>
        <w:tc>
          <w:tcPr>
            <w:tcW w:w="1000" w:type="dxa"/>
            <w:tcBorders>
              <w:top w:val="single" w:color="auto" w:sz="4" w:space="0"/>
              <w:left w:val="nil"/>
              <w:bottom w:val="single" w:color="auto" w:sz="4" w:space="0"/>
              <w:right w:val="single" w:color="auto" w:sz="4" w:space="0"/>
            </w:tcBorders>
            <w:vAlign w:val="center"/>
          </w:tcPr>
          <w:p>
            <w:pPr>
              <w:widowControl/>
              <w:jc w:val="center"/>
            </w:pPr>
            <w:r>
              <w:rPr>
                <w:rFonts w:hint="eastAsia" w:ascii="宋体" w:hAnsi="宋体" w:cs="宋体"/>
                <w:color w:val="000000" w:themeColor="text1"/>
                <w:kern w:val="0"/>
                <w:sz w:val="24"/>
                <w14:textFill>
                  <w14:solidFill>
                    <w14:schemeClr w14:val="tx1"/>
                  </w14:solidFill>
                </w14:textFill>
              </w:rPr>
              <w:t>/</w:t>
            </w:r>
          </w:p>
        </w:tc>
        <w:tc>
          <w:tcPr>
            <w:tcW w:w="94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w:t>
            </w:r>
          </w:p>
          <w:p>
            <w:pPr>
              <w:jc w:val="center"/>
            </w:pPr>
            <w:r>
              <w:rPr>
                <w:rFonts w:hint="eastAsia" w:ascii="宋体" w:hAnsi="宋体" w:cs="宋体"/>
                <w:color w:val="000000" w:themeColor="text1"/>
                <w:kern w:val="0"/>
                <w:sz w:val="22"/>
                <w:szCs w:val="22"/>
                <w14:textFill>
                  <w14:solidFill>
                    <w14:schemeClr w14:val="tx1"/>
                  </w14:solidFill>
                </w14:textFill>
              </w:rPr>
              <w:t>辅料</w:t>
            </w:r>
          </w:p>
        </w:tc>
      </w:tr>
    </w:tbl>
    <w:p>
      <w:pPr>
        <w:ind w:right="1430"/>
        <w:jc w:val="left"/>
        <w:rPr>
          <w:rFonts w:eastAsia="宋体" w:cs="Tahoma"/>
          <w:color w:val="auto"/>
          <w:kern w:val="28"/>
          <w:szCs w:val="24"/>
        </w:rPr>
      </w:pPr>
    </w:p>
    <w:p>
      <w:pPr>
        <w:spacing w:line="360" w:lineRule="auto"/>
        <w:ind w:left="632" w:hanging="632" w:hangingChars="300"/>
        <w:rPr>
          <w:rFonts w:hint="eastAsia"/>
          <w:b/>
          <w:color w:val="auto"/>
          <w:szCs w:val="21"/>
          <w:lang w:val="en-US" w:eastAsia="zh-CN"/>
        </w:rPr>
      </w:pPr>
      <w:r>
        <w:rPr>
          <w:rFonts w:hint="eastAsia"/>
          <w:b/>
          <w:color w:val="auto"/>
          <w:szCs w:val="21"/>
        </w:rPr>
        <w:t>备注：1</w:t>
      </w:r>
      <w:r>
        <w:rPr>
          <w:rFonts w:hint="eastAsia"/>
          <w:b/>
          <w:color w:val="auto"/>
          <w:szCs w:val="21"/>
          <w:lang w:val="en-US" w:eastAsia="zh-CN"/>
        </w:rPr>
        <w:t>.本项目以统一折扣率进行报价，统一折扣率必须为固定报价，不能为区间值。统一折扣率报价范围为0-100%且不为0。统一折扣率在本项目期限内不作调整。</w:t>
      </w:r>
    </w:p>
    <w:p>
      <w:pPr>
        <w:numPr>
          <w:ilvl w:val="0"/>
          <w:numId w:val="0"/>
        </w:numPr>
        <w:spacing w:line="360" w:lineRule="auto"/>
        <w:ind w:leftChars="304"/>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报价</w:t>
      </w:r>
      <w:r>
        <w:rPr>
          <w:rFonts w:hint="eastAsia" w:ascii="宋体" w:hAnsi="宋体" w:eastAsia="宋体" w:cs="宋体"/>
          <w:b/>
          <w:bCs/>
          <w:color w:val="000000" w:themeColor="text1"/>
          <w:sz w:val="21"/>
          <w:szCs w:val="21"/>
          <w:highlight w:val="none"/>
          <w:lang w:eastAsia="zh-CN"/>
          <w14:textFill>
            <w14:solidFill>
              <w14:schemeClr w14:val="tx1"/>
            </w14:solidFill>
          </w14:textFill>
        </w:rPr>
        <w:t>为</w:t>
      </w:r>
      <w:r>
        <w:rPr>
          <w:rFonts w:hint="eastAsia" w:ascii="宋体" w:hAnsi="宋体" w:eastAsia="宋体" w:cs="宋体"/>
          <w:b/>
          <w:bCs/>
          <w:color w:val="000000" w:themeColor="text1"/>
          <w:sz w:val="21"/>
          <w:szCs w:val="21"/>
          <w:highlight w:val="none"/>
          <w14:textFill>
            <w14:solidFill>
              <w14:schemeClr w14:val="tx1"/>
            </w14:solidFill>
          </w14:textFill>
        </w:rPr>
        <w:t>到货全包价，承担交货前的所有费用，包括但不限于运输费、途中保险费、装车费、途中损耗与损失费及货物运送至交货地点后的卸车费等及合同实施过程中的一切可预见和不可预见费用。</w:t>
      </w:r>
    </w:p>
    <w:p>
      <w:pPr>
        <w:numPr>
          <w:ilvl w:val="0"/>
          <w:numId w:val="0"/>
        </w:numPr>
        <w:spacing w:line="360" w:lineRule="auto"/>
        <w:ind w:leftChars="304"/>
        <w:rPr>
          <w:b/>
          <w:color w:val="auto"/>
          <w:szCs w:val="21"/>
        </w:rPr>
      </w:pPr>
      <w:r>
        <w:rPr>
          <w:rFonts w:hint="eastAsia"/>
          <w:b/>
          <w:color w:val="auto"/>
          <w:szCs w:val="21"/>
          <w:lang w:val="en-US" w:eastAsia="zh-CN"/>
        </w:rPr>
        <w:t>3.</w:t>
      </w:r>
      <w:r>
        <w:rPr>
          <w:rFonts w:hint="eastAsia"/>
          <w:b/>
          <w:color w:val="auto"/>
          <w:szCs w:val="21"/>
        </w:rPr>
        <w:t>报价保留小数点后2位，四舍五入，大小写不一致的以大写为准。</w:t>
      </w:r>
    </w:p>
    <w:p>
      <w:pPr>
        <w:spacing w:line="360" w:lineRule="auto"/>
        <w:ind w:firstLine="632" w:firstLineChars="300"/>
        <w:rPr>
          <w:rFonts w:hint="eastAsia" w:ascii="宋体" w:hAnsi="宋体" w:eastAsia="宋体" w:cs="Times New Roman"/>
          <w:b/>
          <w:bCs/>
          <w:color w:val="auto"/>
          <w:sz w:val="32"/>
          <w:szCs w:val="32"/>
        </w:rPr>
      </w:pPr>
      <w:r>
        <w:rPr>
          <w:rFonts w:hint="eastAsia"/>
          <w:b/>
          <w:color w:val="auto"/>
          <w:szCs w:val="21"/>
          <w:lang w:val="en-US" w:eastAsia="zh-CN"/>
        </w:rPr>
        <w:t>4.</w:t>
      </w:r>
      <w:r>
        <w:rPr>
          <w:rFonts w:hint="eastAsia"/>
          <w:b/>
          <w:color w:val="auto"/>
          <w:szCs w:val="21"/>
        </w:rPr>
        <w:t>货币单位为人民币。</w:t>
      </w:r>
    </w:p>
    <w:p>
      <w:pPr>
        <w:spacing w:line="300" w:lineRule="auto"/>
        <w:ind w:firstLine="420" w:firstLineChars="200"/>
        <w:rPr>
          <w:rFonts w:hint="eastAsia" w:ascii="宋体" w:hAnsi="宋体"/>
          <w:color w:val="auto"/>
          <w:szCs w:val="21"/>
          <w:lang w:bidi="en-US"/>
        </w:rPr>
      </w:pPr>
    </w:p>
    <w:p>
      <w:pPr>
        <w:autoSpaceDE w:val="0"/>
        <w:autoSpaceDN w:val="0"/>
        <w:adjustRightInd w:val="0"/>
        <w:spacing w:line="360" w:lineRule="auto"/>
        <w:ind w:left="420"/>
        <w:rPr>
          <w:rFonts w:hint="eastAsia" w:ascii="宋体" w:hAnsi="宋体" w:eastAsia="宋体"/>
          <w:color w:val="auto"/>
          <w:sz w:val="22"/>
          <w:szCs w:val="21"/>
        </w:rPr>
      </w:pP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ind w:left="420"/>
        <w:rPr>
          <w:rFonts w:hint="eastAsia" w:ascii="宋体" w:hAnsi="宋体" w:eastAsia="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 xml:space="preserve">  日</w:t>
      </w:r>
    </w:p>
    <w:p>
      <w:pPr>
        <w:rPr>
          <w:rFonts w:cs="宋体"/>
          <w:b/>
          <w:bCs/>
          <w:color w:val="auto"/>
          <w:sz w:val="28"/>
          <w:szCs w:val="28"/>
        </w:rPr>
      </w:pPr>
      <w:r>
        <w:rPr>
          <w:rFonts w:hint="eastAsia" w:eastAsia="宋体"/>
          <w:color w:val="auto"/>
        </w:rPr>
        <w:br w:type="page"/>
      </w:r>
    </w:p>
    <w:p>
      <w:pPr>
        <w:spacing w:line="360" w:lineRule="auto"/>
        <w:jc w:val="left"/>
        <w:rPr>
          <w:b/>
          <w:sz w:val="28"/>
        </w:rPr>
      </w:pPr>
      <w:r>
        <w:rPr>
          <w:rFonts w:hint="eastAsia"/>
          <w:b/>
          <w:sz w:val="28"/>
          <w:lang w:val="en-US" w:eastAsia="zh-CN"/>
        </w:rPr>
        <w:t>4.2</w:t>
      </w:r>
      <w:r>
        <w:rPr>
          <w:rFonts w:hint="eastAsia"/>
          <w:b/>
          <w:sz w:val="28"/>
        </w:rPr>
        <w:t>审评中心截图：需将本项目所投药用原料、药用辅料（包含上述报价序号1-序号16的采购内容）逐一列出相关信息，并提供国家药品监督管理局药品审评中心截图</w:t>
      </w:r>
      <w:r>
        <w:rPr>
          <w:rFonts w:hint="eastAsia"/>
          <w:b/>
          <w:sz w:val="28"/>
          <w:lang w:eastAsia="zh-CN"/>
        </w:rPr>
        <w:t>。</w:t>
      </w:r>
    </w:p>
    <w:p>
      <w:pPr>
        <w:spacing w:line="360" w:lineRule="auto"/>
        <w:jc w:val="center"/>
        <w:rPr>
          <w:sz w:val="28"/>
        </w:rPr>
      </w:pPr>
      <w:r>
        <w:rPr>
          <w:sz w:val="28"/>
        </w:rPr>
        <w:t>XXXX</w:t>
      </w:r>
      <w:r>
        <w:rPr>
          <w:rFonts w:hint="eastAsia"/>
          <w:sz w:val="28"/>
        </w:rPr>
        <w:t>（供应商名称）的审评中心截图</w:t>
      </w:r>
    </w:p>
    <w:tbl>
      <w:tblPr>
        <w:tblStyle w:val="19"/>
        <w:tblW w:w="11081" w:type="dxa"/>
        <w:jc w:val="center"/>
        <w:tblInd w:w="-1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547"/>
        <w:gridCol w:w="1980"/>
        <w:gridCol w:w="1417"/>
        <w:gridCol w:w="647"/>
        <w:gridCol w:w="1434"/>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865" w:type="dxa"/>
            <w:vAlign w:val="center"/>
          </w:tcPr>
          <w:p>
            <w:pPr>
              <w:jc w:val="center"/>
              <w:rPr>
                <w:sz w:val="22"/>
              </w:rPr>
            </w:pPr>
            <w:r>
              <w:rPr>
                <w:sz w:val="22"/>
              </w:rPr>
              <w:t>序号</w:t>
            </w:r>
          </w:p>
        </w:tc>
        <w:tc>
          <w:tcPr>
            <w:tcW w:w="2547" w:type="dxa"/>
          </w:tcPr>
          <w:p>
            <w:pPr>
              <w:jc w:val="center"/>
              <w:rPr>
                <w:sz w:val="22"/>
              </w:rPr>
            </w:pPr>
            <w:r>
              <w:rPr>
                <w:sz w:val="22"/>
              </w:rPr>
              <w:t>类别</w:t>
            </w:r>
          </w:p>
        </w:tc>
        <w:tc>
          <w:tcPr>
            <w:tcW w:w="1980" w:type="dxa"/>
            <w:vAlign w:val="center"/>
          </w:tcPr>
          <w:p>
            <w:pPr>
              <w:jc w:val="center"/>
              <w:rPr>
                <w:sz w:val="22"/>
              </w:rPr>
            </w:pPr>
            <w:r>
              <w:rPr>
                <w:sz w:val="22"/>
              </w:rPr>
              <w:t>名称</w:t>
            </w:r>
          </w:p>
        </w:tc>
        <w:tc>
          <w:tcPr>
            <w:tcW w:w="1417" w:type="dxa"/>
            <w:vAlign w:val="center"/>
          </w:tcPr>
          <w:p>
            <w:pPr>
              <w:jc w:val="center"/>
              <w:rPr>
                <w:sz w:val="22"/>
              </w:rPr>
            </w:pPr>
            <w:r>
              <w:rPr>
                <w:sz w:val="22"/>
              </w:rPr>
              <w:t>规格</w:t>
            </w:r>
          </w:p>
        </w:tc>
        <w:tc>
          <w:tcPr>
            <w:tcW w:w="647" w:type="dxa"/>
            <w:vAlign w:val="center"/>
          </w:tcPr>
          <w:p>
            <w:pPr>
              <w:jc w:val="center"/>
              <w:rPr>
                <w:sz w:val="22"/>
              </w:rPr>
            </w:pPr>
            <w:r>
              <w:rPr>
                <w:sz w:val="22"/>
              </w:rPr>
              <w:t>执行标准</w:t>
            </w:r>
          </w:p>
        </w:tc>
        <w:tc>
          <w:tcPr>
            <w:tcW w:w="1434" w:type="dxa"/>
            <w:vAlign w:val="center"/>
          </w:tcPr>
          <w:p>
            <w:pPr>
              <w:jc w:val="center"/>
              <w:rPr>
                <w:sz w:val="22"/>
              </w:rPr>
            </w:pPr>
            <w:r>
              <w:rPr>
                <w:sz w:val="22"/>
              </w:rPr>
              <w:t>生产厂家</w:t>
            </w:r>
          </w:p>
        </w:tc>
        <w:tc>
          <w:tcPr>
            <w:tcW w:w="2191" w:type="dxa"/>
            <w:vAlign w:val="center"/>
          </w:tcPr>
          <w:p>
            <w:pPr>
              <w:jc w:val="center"/>
              <w:rPr>
                <w:sz w:val="22"/>
              </w:rPr>
            </w:pPr>
            <w:r>
              <w:rPr>
                <w:sz w:val="22"/>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865" w:type="dxa"/>
            <w:vAlign w:val="center"/>
          </w:tcPr>
          <w:p>
            <w:pPr>
              <w:jc w:val="center"/>
              <w:rPr>
                <w:bCs/>
                <w:color w:val="000000"/>
                <w:sz w:val="22"/>
              </w:rPr>
            </w:pPr>
            <w:r>
              <w:rPr>
                <w:bCs/>
                <w:color w:val="000000"/>
                <w:sz w:val="22"/>
              </w:rPr>
              <w:t xml:space="preserve">1 </w:t>
            </w:r>
          </w:p>
        </w:tc>
        <w:tc>
          <w:tcPr>
            <w:tcW w:w="2547" w:type="dxa"/>
          </w:tcPr>
          <w:p>
            <w:pPr>
              <w:jc w:val="center"/>
              <w:rPr>
                <w:sz w:val="22"/>
              </w:rPr>
            </w:pPr>
            <w:r>
              <w:rPr>
                <w:sz w:val="22"/>
              </w:rPr>
              <w:t>药用</w:t>
            </w:r>
          </w:p>
          <w:p>
            <w:pPr>
              <w:jc w:val="center"/>
              <w:rPr>
                <w:sz w:val="22"/>
              </w:rPr>
            </w:pPr>
            <w:r>
              <w:rPr>
                <w:sz w:val="22"/>
              </w:rPr>
              <w:t>辅料</w:t>
            </w:r>
          </w:p>
        </w:tc>
        <w:tc>
          <w:tcPr>
            <w:tcW w:w="1980" w:type="dxa"/>
            <w:vAlign w:val="center"/>
          </w:tcPr>
          <w:p>
            <w:pPr>
              <w:rPr>
                <w:rFonts w:asciiTheme="minorEastAsia" w:hAnsiTheme="minorEastAsia" w:eastAsiaTheme="minorEastAsia"/>
                <w:szCs w:val="21"/>
              </w:rPr>
            </w:pPr>
          </w:p>
        </w:tc>
        <w:tc>
          <w:tcPr>
            <w:tcW w:w="1417" w:type="dxa"/>
            <w:vAlign w:val="center"/>
          </w:tcPr>
          <w:p>
            <w:pPr>
              <w:rPr>
                <w:rFonts w:asciiTheme="minorEastAsia" w:hAnsiTheme="minorEastAsia" w:eastAsiaTheme="minorEastAsia"/>
                <w:szCs w:val="21"/>
              </w:rPr>
            </w:pPr>
          </w:p>
        </w:tc>
        <w:tc>
          <w:tcPr>
            <w:tcW w:w="647" w:type="dxa"/>
            <w:vAlign w:val="center"/>
          </w:tcPr>
          <w:p>
            <w:pPr>
              <w:rPr>
                <w:sz w:val="22"/>
              </w:rPr>
            </w:pPr>
          </w:p>
        </w:tc>
        <w:tc>
          <w:tcPr>
            <w:tcW w:w="1434" w:type="dxa"/>
            <w:vAlign w:val="center"/>
          </w:tcPr>
          <w:p>
            <w:pPr>
              <w:jc w:val="center"/>
              <w:rPr>
                <w:bCs/>
                <w:color w:val="000000"/>
                <w:sz w:val="22"/>
              </w:rPr>
            </w:pPr>
          </w:p>
        </w:tc>
        <w:tc>
          <w:tcPr>
            <w:tcW w:w="2191" w:type="dxa"/>
            <w:vAlign w:val="center"/>
          </w:tcPr>
          <w:p>
            <w:pPr>
              <w:jc w:val="center"/>
              <w:rPr>
                <w:bCs/>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4" w:hRule="atLeast"/>
          <w:jc w:val="center"/>
        </w:trPr>
        <w:tc>
          <w:tcPr>
            <w:tcW w:w="865" w:type="dxa"/>
            <w:vAlign w:val="center"/>
          </w:tcPr>
          <w:p>
            <w:pPr>
              <w:jc w:val="center"/>
              <w:rPr>
                <w:bCs/>
                <w:color w:val="000000"/>
                <w:sz w:val="22"/>
              </w:rPr>
            </w:pPr>
            <w:r>
              <w:rPr>
                <w:sz w:val="22"/>
              </w:rPr>
              <w:t>国家药品监督管理局药品审评中心</w:t>
            </w:r>
            <w:r>
              <w:rPr>
                <w:rFonts w:hint="eastAsia"/>
                <w:sz w:val="22"/>
              </w:rPr>
              <w:t>截图</w:t>
            </w:r>
          </w:p>
        </w:tc>
        <w:tc>
          <w:tcPr>
            <w:tcW w:w="10216" w:type="dxa"/>
            <w:gridSpan w:val="6"/>
          </w:tcPr>
          <w:p>
            <w:pPr>
              <w:jc w:val="left"/>
              <w:rPr>
                <w:bCs/>
                <w:color w:val="000000"/>
                <w:sz w:val="22"/>
              </w:rPr>
            </w:pPr>
            <w:r>
              <w:rPr>
                <w:rFonts w:hint="eastAsia"/>
                <w:b/>
                <w:bCs/>
                <w:color w:val="FF0000"/>
                <w:sz w:val="22"/>
              </w:rPr>
              <w:t>示例（请删除以下图片并替换）</w:t>
            </w:r>
          </w:p>
          <w:p>
            <w:pPr>
              <w:jc w:val="left"/>
              <w:rPr>
                <w:bCs/>
                <w:color w:val="000000"/>
                <w:sz w:val="22"/>
              </w:rPr>
            </w:pPr>
          </w:p>
          <w:p>
            <w:pPr>
              <w:jc w:val="left"/>
              <w:rPr>
                <w:bCs/>
                <w:color w:val="000000"/>
                <w:sz w:val="22"/>
              </w:rPr>
            </w:pPr>
            <w:r>
              <w:drawing>
                <wp:inline distT="0" distB="0" distL="114300" distR="114300">
                  <wp:extent cx="6478270" cy="2863850"/>
                  <wp:effectExtent l="0" t="0" r="17780" b="1270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6478270" cy="2863850"/>
                          </a:xfrm>
                          <a:prstGeom prst="rect">
                            <a:avLst/>
                          </a:prstGeom>
                          <a:noFill/>
                          <a:ln>
                            <a:noFill/>
                          </a:ln>
                        </pic:spPr>
                      </pic:pic>
                    </a:graphicData>
                  </a:graphic>
                </wp:inline>
              </w:drawing>
            </w:r>
          </w:p>
        </w:tc>
      </w:tr>
    </w:tbl>
    <w:p>
      <w:pPr>
        <w:ind w:firstLine="660" w:firstLineChars="300"/>
        <w:rPr>
          <w:sz w:val="22"/>
        </w:rPr>
      </w:pPr>
    </w:p>
    <w:p>
      <w:pPr>
        <w:pStyle w:val="16"/>
        <w:widowControl w:val="0"/>
        <w:spacing w:before="0" w:beforeAutospacing="0" w:after="0" w:afterAutospacing="0" w:line="360" w:lineRule="auto"/>
        <w:ind w:left="420"/>
        <w:jc w:val="both"/>
      </w:pPr>
      <w:r>
        <w:rPr>
          <w:rFonts w:hint="eastAsia"/>
          <w:color w:val="000000"/>
          <w:sz w:val="22"/>
          <w:szCs w:val="22"/>
        </w:rPr>
        <w:t>供应商名称（加盖公章）：</w:t>
      </w:r>
    </w:p>
    <w:p>
      <w:pPr>
        <w:pStyle w:val="16"/>
        <w:widowControl w:val="0"/>
        <w:spacing w:before="0" w:beforeAutospacing="0" w:after="0" w:afterAutospacing="0" w:line="360" w:lineRule="auto"/>
        <w:ind w:left="420"/>
        <w:jc w:val="both"/>
      </w:pPr>
      <w:r>
        <w:rPr>
          <w:rFonts w:hint="eastAsia"/>
          <w:color w:val="000000"/>
          <w:sz w:val="22"/>
          <w:szCs w:val="22"/>
        </w:rPr>
        <w:t>供应商法定代表人（或法定代表人授权代表）签字或签章：</w:t>
      </w:r>
    </w:p>
    <w:p>
      <w:pPr>
        <w:pStyle w:val="16"/>
        <w:widowControl w:val="0"/>
        <w:spacing w:before="0" w:beforeAutospacing="0" w:after="0" w:afterAutospacing="0" w:line="360" w:lineRule="auto"/>
        <w:ind w:left="420"/>
        <w:jc w:val="both"/>
      </w:pPr>
      <w:r>
        <w:rPr>
          <w:rFonts w:hint="eastAsia"/>
          <w:color w:val="000000"/>
          <w:sz w:val="22"/>
          <w:szCs w:val="22"/>
        </w:rPr>
        <w:t>日期：   年   月   日</w:t>
      </w:r>
    </w:p>
    <w:p>
      <w:pPr>
        <w:pStyle w:val="7"/>
        <w:spacing w:line="360" w:lineRule="auto"/>
        <w:ind w:firstLine="0" w:firstLineChars="0"/>
        <w:jc w:val="center"/>
        <w:outlineLvl w:val="0"/>
        <w:rPr>
          <w:rFonts w:hint="eastAsia" w:cs="宋体"/>
          <w:b/>
          <w:bCs/>
          <w:color w:val="auto"/>
          <w:sz w:val="28"/>
          <w:szCs w:val="28"/>
          <w:lang w:eastAsia="zh-CN"/>
        </w:rPr>
      </w:pPr>
    </w:p>
    <w:p>
      <w:pPr>
        <w:pStyle w:val="7"/>
        <w:spacing w:line="360" w:lineRule="auto"/>
        <w:ind w:firstLine="0" w:firstLineChars="0"/>
        <w:jc w:val="center"/>
        <w:outlineLvl w:val="0"/>
        <w:rPr>
          <w:rFonts w:hint="eastAsia" w:cs="宋体"/>
          <w:b/>
          <w:bCs/>
          <w:color w:val="auto"/>
          <w:sz w:val="28"/>
          <w:szCs w:val="28"/>
          <w:lang w:eastAsia="zh-CN"/>
        </w:rPr>
      </w:pPr>
    </w:p>
    <w:p>
      <w:pPr>
        <w:pStyle w:val="7"/>
        <w:spacing w:line="360" w:lineRule="auto"/>
        <w:ind w:firstLine="0" w:firstLineChars="0"/>
        <w:jc w:val="both"/>
        <w:outlineLvl w:val="0"/>
        <w:rPr>
          <w:rFonts w:hint="eastAsia" w:cs="宋体"/>
          <w:b/>
          <w:bCs/>
          <w:color w:val="auto"/>
          <w:sz w:val="28"/>
          <w:szCs w:val="28"/>
          <w:lang w:eastAsia="zh-CN"/>
        </w:rPr>
      </w:pPr>
    </w:p>
    <w:p>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pPr>
        <w:pStyle w:val="7"/>
        <w:spacing w:line="360" w:lineRule="auto"/>
        <w:ind w:firstLine="0" w:firstLineChars="0"/>
        <w:outlineLvl w:val="0"/>
        <w:rPr>
          <w:rFonts w:hint="eastAsia" w:eastAsia="宋体" w:cs="宋体"/>
          <w:color w:val="auto"/>
          <w:sz w:val="24"/>
          <w:szCs w:val="24"/>
        </w:rPr>
      </w:pPr>
    </w:p>
    <w:p>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pPr>
        <w:pStyle w:val="7"/>
        <w:spacing w:line="360" w:lineRule="auto"/>
        <w:ind w:firstLine="0" w:firstLineChars="0"/>
        <w:outlineLvl w:val="0"/>
        <w:rPr>
          <w:rFonts w:hint="eastAsia" w:eastAsia="宋体" w:cs="宋体"/>
          <w:color w:val="auto"/>
          <w:sz w:val="24"/>
          <w:szCs w:val="24"/>
        </w:rPr>
      </w:pPr>
    </w:p>
    <w:p>
      <w:pPr>
        <w:pStyle w:val="7"/>
        <w:spacing w:line="360" w:lineRule="auto"/>
        <w:ind w:firstLine="480"/>
        <w:outlineLvl w:val="0"/>
        <w:rPr>
          <w:rFonts w:hint="eastAsia" w:eastAsia="宋体" w:cs="宋体"/>
          <w:color w:val="auto"/>
          <w:sz w:val="24"/>
          <w:szCs w:val="24"/>
        </w:rPr>
      </w:pPr>
    </w:p>
    <w:p>
      <w:pPr>
        <w:pStyle w:val="3"/>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F53743"/>
    <w:rsid w:val="022573A2"/>
    <w:rsid w:val="02875A63"/>
    <w:rsid w:val="02E659B1"/>
    <w:rsid w:val="03D01413"/>
    <w:rsid w:val="041158CF"/>
    <w:rsid w:val="04275E11"/>
    <w:rsid w:val="04D414F7"/>
    <w:rsid w:val="04F90E71"/>
    <w:rsid w:val="05033049"/>
    <w:rsid w:val="05AF76AE"/>
    <w:rsid w:val="05C1727E"/>
    <w:rsid w:val="05C56ED2"/>
    <w:rsid w:val="05CC0260"/>
    <w:rsid w:val="060A2B37"/>
    <w:rsid w:val="06F53DF8"/>
    <w:rsid w:val="07D4667C"/>
    <w:rsid w:val="08962DA7"/>
    <w:rsid w:val="09880942"/>
    <w:rsid w:val="0A2F7010"/>
    <w:rsid w:val="0A8C5578"/>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7103D25"/>
    <w:rsid w:val="17773DA4"/>
    <w:rsid w:val="17B943BD"/>
    <w:rsid w:val="17F84EE5"/>
    <w:rsid w:val="1855368E"/>
    <w:rsid w:val="18915552"/>
    <w:rsid w:val="18B52DD6"/>
    <w:rsid w:val="192D5062"/>
    <w:rsid w:val="19757302"/>
    <w:rsid w:val="1991739F"/>
    <w:rsid w:val="19C40446"/>
    <w:rsid w:val="19E5593D"/>
    <w:rsid w:val="1A2B0B56"/>
    <w:rsid w:val="1A5328A6"/>
    <w:rsid w:val="1AFA455C"/>
    <w:rsid w:val="1C0876C1"/>
    <w:rsid w:val="1C5B3C94"/>
    <w:rsid w:val="1CC57360"/>
    <w:rsid w:val="1CD674AF"/>
    <w:rsid w:val="1D9531D6"/>
    <w:rsid w:val="1F2D7B6A"/>
    <w:rsid w:val="1FD004F5"/>
    <w:rsid w:val="1FED72F9"/>
    <w:rsid w:val="20397FE5"/>
    <w:rsid w:val="20B7110B"/>
    <w:rsid w:val="20F46465"/>
    <w:rsid w:val="219F0AC7"/>
    <w:rsid w:val="21F506E7"/>
    <w:rsid w:val="22EF0C2F"/>
    <w:rsid w:val="23130E25"/>
    <w:rsid w:val="23243032"/>
    <w:rsid w:val="23CD572C"/>
    <w:rsid w:val="242B6642"/>
    <w:rsid w:val="250749B9"/>
    <w:rsid w:val="2536529E"/>
    <w:rsid w:val="26DE7F33"/>
    <w:rsid w:val="27E15995"/>
    <w:rsid w:val="27FD02F5"/>
    <w:rsid w:val="2818512F"/>
    <w:rsid w:val="29477EAF"/>
    <w:rsid w:val="29946A38"/>
    <w:rsid w:val="29C9048F"/>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C6688D"/>
    <w:rsid w:val="43331DEA"/>
    <w:rsid w:val="43655275"/>
    <w:rsid w:val="4379487C"/>
    <w:rsid w:val="44935D9E"/>
    <w:rsid w:val="44C147DB"/>
    <w:rsid w:val="451253A6"/>
    <w:rsid w:val="459C2AA4"/>
    <w:rsid w:val="45BA582E"/>
    <w:rsid w:val="4654337F"/>
    <w:rsid w:val="47321912"/>
    <w:rsid w:val="473B1288"/>
    <w:rsid w:val="477B46DA"/>
    <w:rsid w:val="47DB3D58"/>
    <w:rsid w:val="486B20A3"/>
    <w:rsid w:val="4893018E"/>
    <w:rsid w:val="48A94A29"/>
    <w:rsid w:val="48BB180F"/>
    <w:rsid w:val="49BA799D"/>
    <w:rsid w:val="49BE56DF"/>
    <w:rsid w:val="4A0F2CAA"/>
    <w:rsid w:val="4A2D016F"/>
    <w:rsid w:val="4BD42F98"/>
    <w:rsid w:val="4BF70A34"/>
    <w:rsid w:val="4C651E42"/>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726D08"/>
    <w:rsid w:val="57236B81"/>
    <w:rsid w:val="58586CFE"/>
    <w:rsid w:val="58DC4AE7"/>
    <w:rsid w:val="59154BEF"/>
    <w:rsid w:val="591A5966"/>
    <w:rsid w:val="594C4966"/>
    <w:rsid w:val="598558D1"/>
    <w:rsid w:val="5B8F4FC4"/>
    <w:rsid w:val="5BC83DB4"/>
    <w:rsid w:val="5C1D6FB3"/>
    <w:rsid w:val="5C3953BB"/>
    <w:rsid w:val="5C69772C"/>
    <w:rsid w:val="6013383A"/>
    <w:rsid w:val="60474C82"/>
    <w:rsid w:val="6063044C"/>
    <w:rsid w:val="607466A0"/>
    <w:rsid w:val="60F4333C"/>
    <w:rsid w:val="610012C3"/>
    <w:rsid w:val="61420D00"/>
    <w:rsid w:val="616E1341"/>
    <w:rsid w:val="61801B97"/>
    <w:rsid w:val="625E2CFC"/>
    <w:rsid w:val="62CC631F"/>
    <w:rsid w:val="62E96ED1"/>
    <w:rsid w:val="647749B0"/>
    <w:rsid w:val="648275DD"/>
    <w:rsid w:val="661448A6"/>
    <w:rsid w:val="666A5A73"/>
    <w:rsid w:val="6692787F"/>
    <w:rsid w:val="66DB2FD4"/>
    <w:rsid w:val="671D183F"/>
    <w:rsid w:val="67BC0C6C"/>
    <w:rsid w:val="67C972D1"/>
    <w:rsid w:val="68E63EB3"/>
    <w:rsid w:val="690507D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AD572A"/>
    <w:rsid w:val="6FCF7733"/>
    <w:rsid w:val="70C41566"/>
    <w:rsid w:val="70CE774F"/>
    <w:rsid w:val="70ED4030"/>
    <w:rsid w:val="71E11004"/>
    <w:rsid w:val="723B526F"/>
    <w:rsid w:val="728704B4"/>
    <w:rsid w:val="72BA6194"/>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8"/>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7">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qFormat/>
    <w:uiPriority w:val="0"/>
    <w:rPr>
      <w:rFonts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qFormat/>
    <w:uiPriority w:val="0"/>
    <w:pPr>
      <w:spacing w:beforeAutospacing="1" w:afterAutospacing="1"/>
      <w:jc w:val="left"/>
    </w:pPr>
    <w:rPr>
      <w:rFonts w:cs="Times New Roman"/>
      <w:kern w:val="0"/>
      <w:sz w:val="24"/>
    </w:rPr>
  </w:style>
  <w:style w:type="character" w:styleId="18">
    <w:name w:val="Strong"/>
    <w:basedOn w:val="17"/>
    <w:qFormat/>
    <w:uiPriority w:val="0"/>
    <w:rPr>
      <w:b/>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_Style 5"/>
    <w:basedOn w:val="1"/>
    <w:qFormat/>
    <w:uiPriority w:val="0"/>
    <w:pPr>
      <w:ind w:firstLine="420" w:firstLineChars="200"/>
    </w:pPr>
  </w:style>
  <w:style w:type="paragraph" w:customStyle="1" w:styleId="22">
    <w:name w:val="样式1"/>
    <w:basedOn w:val="1"/>
    <w:qFormat/>
    <w:uiPriority w:val="0"/>
    <w:pPr>
      <w:spacing w:line="360" w:lineRule="auto"/>
    </w:pPr>
    <w:rPr>
      <w:rFonts w:hint="eastAsia" w:ascii="Times New Roman" w:hAnsi="Times New Roman" w:eastAsia="仿宋"/>
      <w:sz w:val="24"/>
    </w:rPr>
  </w:style>
  <w:style w:type="paragraph" w:customStyle="1" w:styleId="23">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4">
    <w:name w:val="Default"/>
    <w:next w:val="25"/>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表格文字"/>
    <w:basedOn w:val="1"/>
    <w:next w:val="2"/>
    <w:qFormat/>
    <w:uiPriority w:val="0"/>
    <w:pPr>
      <w:spacing w:before="25" w:after="25" w:line="300" w:lineRule="auto"/>
    </w:pPr>
    <w:rPr>
      <w:rFonts w:ascii="Times" w:hAnsi="Times" w:cs="Times New Roman"/>
      <w:spacing w:val="10"/>
      <w:sz w:val="24"/>
    </w:rPr>
  </w:style>
  <w:style w:type="character" w:customStyle="1" w:styleId="26">
    <w:name w:val="标题 2 字符"/>
    <w:link w:val="4"/>
    <w:qFormat/>
    <w:uiPriority w:val="0"/>
    <w:rPr>
      <w:rFonts w:hint="default" w:ascii="Arial" w:hAnsi="Arial" w:eastAsia="黑体" w:cs="Times New Roman"/>
      <w:b/>
      <w:bCs/>
      <w:kern w:val="0"/>
      <w:sz w:val="32"/>
      <w:szCs w:val="32"/>
    </w:rPr>
  </w:style>
  <w:style w:type="paragraph" w:customStyle="1" w:styleId="27">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28">
    <w:name w:val="标题 2 Char1"/>
    <w:link w:val="4"/>
    <w:qFormat/>
    <w:uiPriority w:val="0"/>
    <w:rPr>
      <w:rFonts w:hint="default" w:ascii="Arial" w:hAnsi="Arial" w:eastAsia="黑体" w:cs="Times New Roman"/>
      <w:b/>
      <w:bCs/>
      <w:kern w:val="0"/>
      <w:sz w:val="32"/>
      <w:szCs w:val="32"/>
    </w:rPr>
  </w:style>
  <w:style w:type="paragraph" w:customStyle="1" w:styleId="29">
    <w:name w:val="图"/>
    <w:basedOn w:val="1"/>
    <w:qFormat/>
    <w:uiPriority w:val="0"/>
    <w:pPr>
      <w:keepNext/>
      <w:adjustRightInd w:val="0"/>
      <w:snapToGrid w:val="0"/>
      <w:spacing w:before="60" w:after="60" w:line="300" w:lineRule="auto"/>
      <w:jc w:val="center"/>
    </w:pPr>
    <w:rPr>
      <w:rFonts w:cs="Times New Roman"/>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ScaleCrop>false</ScaleCrop>
  <LinksUpToDate>false</LinksUpToDate>
  <CharactersWithSpaces>418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2026-03-26T08:56:30Z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