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B167B">
      <w:pPr>
        <w:keepNext w:val="0"/>
        <w:keepLines w:val="0"/>
        <w:pageBreakBefore w:val="0"/>
        <w:kinsoku/>
        <w:wordWrap/>
        <w:overflowPunct/>
        <w:topLinePunct w:val="0"/>
        <w:autoSpaceDE/>
        <w:autoSpaceDN/>
        <w:bidi w:val="0"/>
        <w:adjustRightInd/>
        <w:snapToGrid/>
        <w:spacing w:line="440" w:lineRule="exact"/>
        <w:jc w:val="left"/>
        <w:textAlignment w:val="auto"/>
        <w:rPr>
          <w:b/>
          <w:sz w:val="24"/>
          <w:szCs w:val="24"/>
        </w:rPr>
      </w:pPr>
      <w:r>
        <w:rPr>
          <w:rFonts w:hint="eastAsia"/>
          <w:b/>
          <w:sz w:val="24"/>
          <w:szCs w:val="24"/>
        </w:rPr>
        <w:t>附件1：</w:t>
      </w:r>
    </w:p>
    <w:p w14:paraId="40B56798">
      <w:pPr>
        <w:keepNext w:val="0"/>
        <w:keepLines w:val="0"/>
        <w:pageBreakBefore w:val="0"/>
        <w:kinsoku/>
        <w:wordWrap/>
        <w:overflowPunct/>
        <w:topLinePunct w:val="0"/>
        <w:autoSpaceDE/>
        <w:autoSpaceDN/>
        <w:bidi w:val="0"/>
        <w:adjustRightInd/>
        <w:snapToGrid/>
        <w:spacing w:line="440" w:lineRule="exact"/>
        <w:jc w:val="center"/>
        <w:textAlignment w:val="auto"/>
        <w:rPr>
          <w:b/>
          <w:sz w:val="24"/>
          <w:szCs w:val="24"/>
        </w:rPr>
      </w:pPr>
      <w:r>
        <w:rPr>
          <w:rFonts w:hint="eastAsia"/>
          <w:b/>
          <w:sz w:val="24"/>
          <w:szCs w:val="24"/>
        </w:rPr>
        <w:t>用户需求书</w:t>
      </w:r>
    </w:p>
    <w:p w14:paraId="5AC95D90">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cs="Times New Roman" w:asciiTheme="minorEastAsia" w:hAnsiTheme="minorEastAsia" w:eastAsiaTheme="minorEastAsia"/>
          <w:sz w:val="24"/>
          <w:szCs w:val="24"/>
          <w:highlight w:val="none"/>
          <w:lang w:val="en-US" w:eastAsia="zh-CN"/>
        </w:rPr>
      </w:pPr>
      <w:bookmarkStart w:id="0" w:name="文字29"/>
      <w:bookmarkStart w:id="1" w:name="_Toc49329250"/>
      <w:bookmarkStart w:id="2" w:name="_Toc37670350"/>
      <w:r>
        <w:rPr>
          <w:rFonts w:hint="eastAsia" w:ascii="Times New Roman" w:hAnsi="Times New Roman" w:eastAsia="宋体" w:cs="Times New Roman"/>
          <w:b/>
          <w:sz w:val="24"/>
          <w:szCs w:val="24"/>
          <w:highlight w:val="none"/>
          <w:lang w:val="en-US" w:eastAsia="zh-CN"/>
        </w:rPr>
        <w:t>一、项目名称：</w:t>
      </w:r>
      <w:bookmarkStart w:id="3" w:name="OLE_LINK1"/>
      <w:r>
        <w:rPr>
          <w:rFonts w:hint="eastAsia" w:cs="Times New Roman" w:asciiTheme="minorEastAsia" w:hAnsiTheme="minorEastAsia" w:eastAsiaTheme="minorEastAsia"/>
          <w:sz w:val="24"/>
          <w:szCs w:val="24"/>
          <w:highlight w:val="none"/>
        </w:rPr>
        <w:t>中山市黄圃人民医院2026年制剂室药用原辅料（蔗糖）采购项目</w:t>
      </w:r>
      <w:bookmarkEnd w:id="3"/>
    </w:p>
    <w:p w14:paraId="4D722A8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lang w:eastAsia="zh-CN"/>
        </w:rPr>
        <w:t>二</w:t>
      </w:r>
      <w:r>
        <w:rPr>
          <w:rFonts w:hint="eastAsia"/>
          <w:b/>
          <w:sz w:val="24"/>
          <w:szCs w:val="24"/>
        </w:rPr>
        <w:t>、项目概况</w:t>
      </w:r>
    </w:p>
    <w:p w14:paraId="21DD05C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为保证我院制剂用药用原辅料的稳定供应，统一规范管理，保障医院制剂生产的正常运作，拟采购制剂用药用原辅料蔗糖。</w:t>
      </w:r>
    </w:p>
    <w:p w14:paraId="62809F2E">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lang w:eastAsia="zh-CN"/>
        </w:rPr>
        <w:t>三</w:t>
      </w:r>
      <w:r>
        <w:rPr>
          <w:rFonts w:hint="eastAsia"/>
          <w:b/>
          <w:sz w:val="24"/>
          <w:szCs w:val="24"/>
        </w:rPr>
        <w:t>、项目要求</w:t>
      </w:r>
      <w:bookmarkStart w:id="4" w:name="_GoBack"/>
      <w:bookmarkEnd w:id="4"/>
    </w:p>
    <w:p w14:paraId="0BAE8B5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供应商提供响应产品在国家药品监督管理局药品审评中心（网址：www.cde.org.cn）→信息公开→原辅包登记信息，与制剂共同审评审批结果为“A”。</w:t>
      </w:r>
      <w:r>
        <w:rPr>
          <w:rFonts w:hint="eastAsia" w:asciiTheme="minorEastAsia" w:hAnsiTheme="minorEastAsia" w:eastAsiaTheme="minorEastAsia"/>
          <w:b/>
          <w:bCs/>
          <w:sz w:val="24"/>
          <w:szCs w:val="24"/>
        </w:rPr>
        <w:t>（提供截图</w:t>
      </w:r>
      <w:r>
        <w:rPr>
          <w:rFonts w:hint="eastAsia" w:asciiTheme="minorEastAsia" w:hAnsiTheme="minorEastAsia" w:eastAsiaTheme="minorEastAsia"/>
          <w:b/>
          <w:bCs/>
          <w:sz w:val="24"/>
          <w:szCs w:val="24"/>
          <w:lang w:eastAsia="zh-CN"/>
        </w:rPr>
        <w:t>并加盖供应商公章</w:t>
      </w:r>
      <w:r>
        <w:rPr>
          <w:rFonts w:hint="eastAsia" w:asciiTheme="minorEastAsia" w:hAnsiTheme="minorEastAsia" w:eastAsiaTheme="minorEastAsia"/>
          <w:b/>
          <w:bCs/>
          <w:sz w:val="24"/>
          <w:szCs w:val="24"/>
        </w:rPr>
        <w:t>，格式详见附件2）</w:t>
      </w:r>
    </w:p>
    <w:p w14:paraId="072116A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b/>
          <w:bCs/>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rPr>
        <w:t>供应商为生产企业的，须具备药监部门颁发的《药品生产许可证》；供应商为经营企业的，须提供所响应货物的生产企业具备药监部门颁发的《药品生产许可证》，包括但不限于《药品经营许可证》；以上证书须在有效期内。</w:t>
      </w:r>
      <w:r>
        <w:rPr>
          <w:rFonts w:hint="eastAsia" w:asciiTheme="minorEastAsia" w:hAnsiTheme="minorEastAsia" w:eastAsiaTheme="minorEastAsia"/>
          <w:b/>
          <w:bCs/>
          <w:sz w:val="24"/>
          <w:szCs w:val="24"/>
        </w:rPr>
        <w:t>（提供有效期内的证照复印件，加盖供应商公章）</w:t>
      </w:r>
    </w:p>
    <w:p w14:paraId="0F2D4427">
      <w:pPr>
        <w:keepNext w:val="0"/>
        <w:keepLines w:val="0"/>
        <w:pageBreakBefore w:val="0"/>
        <w:kinsoku/>
        <w:wordWrap/>
        <w:overflowPunct/>
        <w:topLinePunct w:val="0"/>
        <w:autoSpaceDE/>
        <w:autoSpaceDN/>
        <w:bidi w:val="0"/>
        <w:adjustRightInd/>
        <w:snapToGrid/>
        <w:spacing w:line="440" w:lineRule="exact"/>
        <w:ind w:firstLine="482" w:firstLineChars="200"/>
        <w:jc w:val="left"/>
        <w:textAlignment w:val="auto"/>
        <w:rPr>
          <w:rFonts w:ascii="宋体" w:hAnsi="宋体"/>
          <w:b/>
          <w:sz w:val="24"/>
          <w:szCs w:val="24"/>
        </w:rPr>
      </w:pPr>
      <w:r>
        <w:rPr>
          <w:rFonts w:hint="eastAsia" w:ascii="宋体" w:hAnsi="宋体"/>
          <w:b/>
          <w:sz w:val="24"/>
          <w:szCs w:val="24"/>
          <w:lang w:eastAsia="zh-CN"/>
        </w:rPr>
        <w:t>四</w:t>
      </w:r>
      <w:r>
        <w:rPr>
          <w:rFonts w:hint="eastAsia" w:ascii="宋体" w:hAnsi="宋体"/>
          <w:b/>
          <w:sz w:val="24"/>
          <w:szCs w:val="24"/>
        </w:rPr>
        <w:t>、采购内容</w:t>
      </w:r>
    </w:p>
    <w:p w14:paraId="6CFBF5F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1.采购制剂用药用原辅料蔗糖，详见采购清单。</w:t>
      </w:r>
    </w:p>
    <w:p w14:paraId="0366473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2.采购标的提供时间: 分批分次不定时送货。</w:t>
      </w:r>
    </w:p>
    <w:p w14:paraId="3235F02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3.采购数量以实际采购数量为准。</w:t>
      </w:r>
    </w:p>
    <w:p w14:paraId="167932B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采购清单：</w:t>
      </w:r>
    </w:p>
    <w:tbl>
      <w:tblPr>
        <w:tblStyle w:val="13"/>
        <w:tblW w:w="9214" w:type="dxa"/>
        <w:tblInd w:w="392" w:type="dxa"/>
        <w:tblLayout w:type="fixed"/>
        <w:tblCellMar>
          <w:top w:w="0" w:type="dxa"/>
          <w:left w:w="108" w:type="dxa"/>
          <w:bottom w:w="0" w:type="dxa"/>
          <w:right w:w="108" w:type="dxa"/>
        </w:tblCellMar>
      </w:tblPr>
      <w:tblGrid>
        <w:gridCol w:w="1417"/>
        <w:gridCol w:w="1843"/>
        <w:gridCol w:w="709"/>
        <w:gridCol w:w="1701"/>
        <w:gridCol w:w="1843"/>
        <w:gridCol w:w="1701"/>
      </w:tblGrid>
      <w:tr w14:paraId="3BAF970F">
        <w:tblPrEx>
          <w:tblCellMar>
            <w:top w:w="0" w:type="dxa"/>
            <w:left w:w="108" w:type="dxa"/>
            <w:bottom w:w="0" w:type="dxa"/>
            <w:right w:w="108" w:type="dxa"/>
          </w:tblCellMar>
        </w:tblPrEx>
        <w:trPr>
          <w:trHeight w:val="532" w:hRule="atLeast"/>
        </w:trPr>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0E615F2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名称</w:t>
            </w:r>
          </w:p>
        </w:tc>
        <w:tc>
          <w:tcPr>
            <w:tcW w:w="1843" w:type="dxa"/>
            <w:tcBorders>
              <w:top w:val="single" w:color="auto" w:sz="4" w:space="0"/>
              <w:left w:val="nil"/>
              <w:bottom w:val="single" w:color="auto" w:sz="4" w:space="0"/>
              <w:right w:val="single" w:color="auto" w:sz="4" w:space="0"/>
            </w:tcBorders>
            <w:shd w:val="clear" w:color="auto" w:fill="auto"/>
            <w:vAlign w:val="center"/>
          </w:tcPr>
          <w:p w14:paraId="588E02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规格参数</w:t>
            </w:r>
          </w:p>
        </w:tc>
        <w:tc>
          <w:tcPr>
            <w:tcW w:w="709" w:type="dxa"/>
            <w:tcBorders>
              <w:top w:val="single" w:color="auto" w:sz="4" w:space="0"/>
              <w:left w:val="nil"/>
              <w:bottom w:val="single" w:color="auto" w:sz="4" w:space="0"/>
              <w:right w:val="single" w:color="auto" w:sz="4" w:space="0"/>
            </w:tcBorders>
            <w:shd w:val="clear" w:color="auto" w:fill="auto"/>
            <w:vAlign w:val="center"/>
          </w:tcPr>
          <w:p w14:paraId="53275FB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单位</w:t>
            </w:r>
          </w:p>
        </w:tc>
        <w:tc>
          <w:tcPr>
            <w:tcW w:w="1701" w:type="dxa"/>
            <w:tcBorders>
              <w:top w:val="single" w:color="auto" w:sz="4" w:space="0"/>
              <w:left w:val="nil"/>
              <w:bottom w:val="single" w:color="auto" w:sz="4" w:space="0"/>
              <w:right w:val="single" w:color="auto" w:sz="4" w:space="0"/>
            </w:tcBorders>
            <w:shd w:val="clear" w:color="auto" w:fill="auto"/>
            <w:vAlign w:val="center"/>
          </w:tcPr>
          <w:p w14:paraId="28B4A1B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2026年计划量</w:t>
            </w:r>
          </w:p>
        </w:tc>
        <w:tc>
          <w:tcPr>
            <w:tcW w:w="1843" w:type="dxa"/>
            <w:tcBorders>
              <w:top w:val="single" w:color="auto" w:sz="4" w:space="0"/>
              <w:left w:val="nil"/>
              <w:bottom w:val="single" w:color="auto" w:sz="4" w:space="0"/>
              <w:right w:val="single" w:color="auto" w:sz="4" w:space="0"/>
            </w:tcBorders>
            <w:shd w:val="clear" w:color="auto" w:fill="auto"/>
            <w:vAlign w:val="center"/>
          </w:tcPr>
          <w:p w14:paraId="6E7768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执行标准</w:t>
            </w:r>
          </w:p>
        </w:tc>
        <w:tc>
          <w:tcPr>
            <w:tcW w:w="1701" w:type="dxa"/>
            <w:tcBorders>
              <w:top w:val="single" w:color="auto" w:sz="4" w:space="0"/>
              <w:left w:val="nil"/>
              <w:bottom w:val="single" w:color="auto" w:sz="4" w:space="0"/>
              <w:right w:val="single" w:color="auto" w:sz="4" w:space="0"/>
            </w:tcBorders>
            <w:shd w:val="clear" w:color="auto" w:fill="auto"/>
            <w:vAlign w:val="center"/>
          </w:tcPr>
          <w:p w14:paraId="4D5349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b/>
                <w:bCs/>
                <w:color w:val="000000" w:themeColor="text1"/>
                <w:kern w:val="0"/>
                <w:sz w:val="24"/>
                <w:szCs w:val="24"/>
              </w:rPr>
            </w:pPr>
            <w:r>
              <w:rPr>
                <w:rFonts w:hint="eastAsia" w:ascii="宋体" w:hAnsi="宋体" w:cs="宋体"/>
                <w:b/>
                <w:bCs/>
                <w:color w:val="000000" w:themeColor="text1"/>
                <w:kern w:val="0"/>
                <w:sz w:val="24"/>
                <w:szCs w:val="24"/>
              </w:rPr>
              <w:t>原辅料分类</w:t>
            </w:r>
          </w:p>
        </w:tc>
      </w:tr>
      <w:tr w14:paraId="322A24FB">
        <w:tblPrEx>
          <w:tblCellMar>
            <w:top w:w="0" w:type="dxa"/>
            <w:left w:w="108" w:type="dxa"/>
            <w:bottom w:w="0" w:type="dxa"/>
            <w:right w:w="108" w:type="dxa"/>
          </w:tblCellMar>
        </w:tblPrEx>
        <w:trPr>
          <w:trHeight w:val="378" w:hRule="atLeast"/>
        </w:trPr>
        <w:tc>
          <w:tcPr>
            <w:tcW w:w="1417" w:type="dxa"/>
            <w:tcBorders>
              <w:top w:val="nil"/>
              <w:left w:val="single" w:color="auto" w:sz="4" w:space="0"/>
              <w:bottom w:val="single" w:color="auto" w:sz="4" w:space="0"/>
              <w:right w:val="single" w:color="auto" w:sz="4" w:space="0"/>
            </w:tcBorders>
            <w:shd w:val="clear" w:color="auto" w:fill="auto"/>
            <w:vAlign w:val="center"/>
          </w:tcPr>
          <w:p w14:paraId="793D1DBD">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themeColor="text1"/>
                <w:kern w:val="0"/>
                <w:sz w:val="24"/>
                <w:szCs w:val="24"/>
              </w:rPr>
            </w:pPr>
            <w:r>
              <w:rPr>
                <w:rFonts w:hint="eastAsia" w:ascii="宋体" w:hAnsi="宋体" w:cs="宋体"/>
                <w:color w:val="000000" w:themeColor="text1"/>
                <w:kern w:val="0"/>
                <w:sz w:val="24"/>
                <w:szCs w:val="24"/>
              </w:rPr>
              <w:t>蔗糖(药用)</w:t>
            </w:r>
          </w:p>
        </w:tc>
        <w:tc>
          <w:tcPr>
            <w:tcW w:w="1843" w:type="dxa"/>
            <w:tcBorders>
              <w:top w:val="nil"/>
              <w:left w:val="nil"/>
              <w:bottom w:val="single" w:color="auto" w:sz="4" w:space="0"/>
              <w:right w:val="single" w:color="auto" w:sz="4" w:space="0"/>
            </w:tcBorders>
            <w:shd w:val="clear" w:color="auto" w:fill="auto"/>
            <w:vAlign w:val="center"/>
          </w:tcPr>
          <w:p w14:paraId="20C45E7E">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宋体" w:hAnsi="宋体" w:cs="宋体"/>
                <w:color w:val="000000" w:themeColor="text1"/>
                <w:kern w:val="0"/>
                <w:sz w:val="24"/>
                <w:szCs w:val="24"/>
              </w:rPr>
            </w:pPr>
            <w:r>
              <w:rPr>
                <w:rFonts w:hint="eastAsia" w:ascii="宋体" w:hAnsi="宋体" w:cs="宋体"/>
                <w:color w:val="000000" w:themeColor="text1"/>
                <w:kern w:val="0"/>
                <w:sz w:val="24"/>
                <w:szCs w:val="24"/>
              </w:rPr>
              <w:t>规格：25kg/包</w:t>
            </w:r>
          </w:p>
        </w:tc>
        <w:tc>
          <w:tcPr>
            <w:tcW w:w="709" w:type="dxa"/>
            <w:tcBorders>
              <w:top w:val="nil"/>
              <w:left w:val="nil"/>
              <w:bottom w:val="single" w:color="auto" w:sz="4" w:space="0"/>
              <w:right w:val="single" w:color="auto" w:sz="4" w:space="0"/>
            </w:tcBorders>
            <w:shd w:val="clear" w:color="auto" w:fill="auto"/>
            <w:vAlign w:val="center"/>
          </w:tcPr>
          <w:p w14:paraId="1628A92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themeColor="text1"/>
                <w:kern w:val="0"/>
                <w:sz w:val="24"/>
                <w:szCs w:val="24"/>
              </w:rPr>
            </w:pPr>
            <w:r>
              <w:rPr>
                <w:rFonts w:hint="eastAsia" w:ascii="宋体" w:hAnsi="宋体" w:cs="宋体"/>
                <w:color w:val="000000" w:themeColor="text1"/>
                <w:kern w:val="0"/>
                <w:sz w:val="24"/>
                <w:szCs w:val="24"/>
              </w:rPr>
              <w:t>kg</w:t>
            </w:r>
          </w:p>
        </w:tc>
        <w:tc>
          <w:tcPr>
            <w:tcW w:w="1701" w:type="dxa"/>
            <w:tcBorders>
              <w:top w:val="nil"/>
              <w:left w:val="nil"/>
              <w:bottom w:val="single" w:color="auto" w:sz="4" w:space="0"/>
              <w:right w:val="single" w:color="auto" w:sz="4" w:space="0"/>
            </w:tcBorders>
            <w:shd w:val="clear" w:color="auto" w:fill="auto"/>
            <w:vAlign w:val="center"/>
          </w:tcPr>
          <w:p w14:paraId="0B60268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themeColor="text1"/>
                <w:kern w:val="0"/>
                <w:sz w:val="24"/>
                <w:szCs w:val="24"/>
              </w:rPr>
            </w:pPr>
            <w:r>
              <w:rPr>
                <w:rFonts w:hint="eastAsia" w:ascii="宋体" w:hAnsi="宋体" w:cs="宋体"/>
                <w:color w:val="000000" w:themeColor="text1"/>
                <w:kern w:val="0"/>
                <w:sz w:val="24"/>
                <w:szCs w:val="24"/>
              </w:rPr>
              <w:t>22000</w:t>
            </w:r>
          </w:p>
        </w:tc>
        <w:tc>
          <w:tcPr>
            <w:tcW w:w="1843" w:type="dxa"/>
            <w:tcBorders>
              <w:top w:val="single" w:color="auto" w:sz="4" w:space="0"/>
              <w:left w:val="nil"/>
              <w:bottom w:val="single" w:color="auto" w:sz="4" w:space="0"/>
              <w:right w:val="single" w:color="auto" w:sz="4" w:space="0"/>
            </w:tcBorders>
            <w:shd w:val="clear" w:color="auto" w:fill="auto"/>
            <w:vAlign w:val="center"/>
          </w:tcPr>
          <w:p w14:paraId="32F026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themeColor="text1"/>
                <w:kern w:val="0"/>
                <w:sz w:val="24"/>
                <w:szCs w:val="24"/>
              </w:rPr>
            </w:pPr>
            <w:r>
              <w:rPr>
                <w:rFonts w:hint="eastAsia" w:ascii="宋体" w:hAnsi="宋体" w:cs="宋体"/>
                <w:color w:val="000000" w:themeColor="text1"/>
                <w:kern w:val="0"/>
                <w:sz w:val="24"/>
                <w:szCs w:val="24"/>
              </w:rPr>
              <w:t>《中国药典》2025年版</w:t>
            </w:r>
          </w:p>
        </w:tc>
        <w:tc>
          <w:tcPr>
            <w:tcW w:w="1701" w:type="dxa"/>
            <w:tcBorders>
              <w:top w:val="single" w:color="auto" w:sz="4" w:space="0"/>
              <w:left w:val="nil"/>
              <w:bottom w:val="single" w:color="auto" w:sz="4" w:space="0"/>
              <w:right w:val="single" w:color="auto" w:sz="4" w:space="0"/>
            </w:tcBorders>
            <w:shd w:val="clear" w:color="auto" w:fill="auto"/>
            <w:vAlign w:val="center"/>
          </w:tcPr>
          <w:p w14:paraId="35617AA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宋体" w:hAnsi="宋体" w:cs="宋体"/>
                <w:color w:val="000000" w:themeColor="text1"/>
                <w:kern w:val="0"/>
                <w:sz w:val="24"/>
                <w:szCs w:val="24"/>
              </w:rPr>
            </w:pPr>
            <w:r>
              <w:rPr>
                <w:rFonts w:hint="eastAsia" w:ascii="宋体" w:hAnsi="宋体" w:cs="宋体"/>
                <w:color w:val="000000" w:themeColor="text1"/>
                <w:kern w:val="0"/>
                <w:sz w:val="24"/>
                <w:szCs w:val="24"/>
              </w:rPr>
              <w:t>药用辅料</w:t>
            </w:r>
          </w:p>
        </w:tc>
      </w:tr>
      <w:bookmarkEnd w:id="0"/>
      <w:bookmarkEnd w:id="1"/>
      <w:bookmarkEnd w:id="2"/>
    </w:tbl>
    <w:p w14:paraId="28E901D8">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五</w:t>
      </w:r>
      <w:r>
        <w:rPr>
          <w:rFonts w:hint="eastAsia" w:asciiTheme="minorEastAsia" w:hAnsiTheme="minorEastAsia" w:eastAsiaTheme="minorEastAsia"/>
          <w:b/>
          <w:sz w:val="24"/>
          <w:szCs w:val="24"/>
        </w:rPr>
        <w:t>、质量要求</w:t>
      </w:r>
    </w:p>
    <w:p w14:paraId="08EB6CB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成交供应商应提供符合国家药品质量标准的货物，交货时货物的剩余有效期须≥1年，如确有近效期（1年内）的须在发货前与采购人进行沟通。同一送货批次货物保证是同一批号的产品，如确有不止一个批号的须在发货前与采购人进行沟通。</w:t>
      </w:r>
    </w:p>
    <w:p w14:paraId="5BDFC51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货物的包装、标签和说明书必须符合有关规定和运输要求，具有生产厂家提供的产品合格证，包装上应有品名、规格、执行标准、生产批号、生产企业、生产日期的标签，包装需完整、牢固，无受潮、水浸污染或破损等异常包装。</w:t>
      </w:r>
    </w:p>
    <w:p w14:paraId="25F5B9C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六</w:t>
      </w:r>
      <w:r>
        <w:rPr>
          <w:rFonts w:hint="eastAsia" w:asciiTheme="minorEastAsia" w:hAnsiTheme="minorEastAsia" w:eastAsiaTheme="minorEastAsia"/>
          <w:b/>
          <w:sz w:val="24"/>
          <w:szCs w:val="24"/>
        </w:rPr>
        <w:t>、服务要求</w:t>
      </w:r>
    </w:p>
    <w:p w14:paraId="30D9F2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1.供应商</w:t>
      </w:r>
      <w:r>
        <w:rPr>
          <w:rFonts w:asciiTheme="minorEastAsia" w:hAnsiTheme="minorEastAsia" w:eastAsiaTheme="minorEastAsia"/>
          <w:sz w:val="24"/>
          <w:szCs w:val="24"/>
        </w:rPr>
        <w:t>配送的</w:t>
      </w:r>
      <w:r>
        <w:rPr>
          <w:rFonts w:hint="eastAsia" w:asciiTheme="minorEastAsia" w:hAnsiTheme="minorEastAsia" w:eastAsiaTheme="minorEastAsia"/>
          <w:sz w:val="24"/>
          <w:szCs w:val="24"/>
        </w:rPr>
        <w:t>货物</w:t>
      </w:r>
      <w:r>
        <w:rPr>
          <w:rFonts w:asciiTheme="minorEastAsia" w:hAnsiTheme="minorEastAsia" w:eastAsiaTheme="minorEastAsia"/>
          <w:sz w:val="24"/>
          <w:szCs w:val="24"/>
        </w:rPr>
        <w:t>送达</w:t>
      </w:r>
      <w:r>
        <w:rPr>
          <w:rFonts w:hint="eastAsia" w:asciiTheme="minorEastAsia" w:hAnsiTheme="minorEastAsia" w:eastAsiaTheme="minorEastAsia"/>
          <w:sz w:val="24"/>
          <w:szCs w:val="24"/>
        </w:rPr>
        <w:t>采购人</w:t>
      </w:r>
      <w:r>
        <w:rPr>
          <w:rFonts w:asciiTheme="minorEastAsia" w:hAnsiTheme="minorEastAsia" w:eastAsiaTheme="minorEastAsia"/>
          <w:sz w:val="24"/>
          <w:szCs w:val="24"/>
        </w:rPr>
        <w:t>指定地点后，待采购人相关人员验收无误后方可离开，对不符合合同要求的，采购人有权拒绝签收</w:t>
      </w:r>
      <w:r>
        <w:rPr>
          <w:rFonts w:hint="eastAsia" w:asciiTheme="minorEastAsia" w:hAnsiTheme="minorEastAsia" w:eastAsiaTheme="minorEastAsia"/>
          <w:sz w:val="24"/>
          <w:szCs w:val="24"/>
        </w:rPr>
        <w:t>，成交供应商应在3天内进行更换、补充，并不得影响采购人的使用需求</w:t>
      </w:r>
      <w:r>
        <w:rPr>
          <w:rFonts w:asciiTheme="minorEastAsia" w:hAnsiTheme="minorEastAsia" w:eastAsiaTheme="minorEastAsia"/>
          <w:sz w:val="24"/>
          <w:szCs w:val="24"/>
        </w:rPr>
        <w:t>。</w:t>
      </w:r>
    </w:p>
    <w:p w14:paraId="5264FE7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sz w:val="24"/>
          <w:szCs w:val="24"/>
        </w:rPr>
        <w:t>2.成交供应商配送货物的时间、品种、规格、数量等必须严格按照采购人发送的订单执行</w:t>
      </w:r>
      <w:r>
        <w:rPr>
          <w:rFonts w:hint="eastAsia" w:asciiTheme="minorEastAsia" w:hAnsiTheme="minorEastAsia" w:eastAsiaTheme="minorEastAsia"/>
          <w:color w:val="000000" w:themeColor="text1"/>
          <w:sz w:val="24"/>
          <w:szCs w:val="24"/>
        </w:rPr>
        <w:t>。</w:t>
      </w:r>
    </w:p>
    <w:p w14:paraId="4FEB72E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lang w:eastAsia="zh-CN"/>
        </w:rPr>
        <w:t>七</w:t>
      </w:r>
      <w:r>
        <w:rPr>
          <w:rFonts w:hint="eastAsia" w:asciiTheme="minorEastAsia" w:hAnsiTheme="minorEastAsia" w:eastAsiaTheme="minorEastAsia"/>
          <w:b/>
          <w:bCs/>
          <w:color w:val="000000" w:themeColor="text1"/>
          <w:sz w:val="24"/>
          <w:szCs w:val="24"/>
        </w:rPr>
        <w:t>、报价要求</w:t>
      </w:r>
    </w:p>
    <w:p w14:paraId="171421F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1.响应报价：供应商以单价</w:t>
      </w:r>
      <w:r>
        <w:rPr>
          <w:rFonts w:hint="eastAsia" w:asciiTheme="minorEastAsia" w:hAnsiTheme="minorEastAsia" w:eastAsiaTheme="minorEastAsia"/>
          <w:color w:val="000000" w:themeColor="text1"/>
          <w:sz w:val="24"/>
          <w:szCs w:val="24"/>
          <w:lang w:eastAsia="zh-CN"/>
        </w:rPr>
        <w:t>及总价</w:t>
      </w:r>
      <w:r>
        <w:rPr>
          <w:rFonts w:hint="eastAsia" w:asciiTheme="minorEastAsia" w:hAnsiTheme="minorEastAsia" w:eastAsiaTheme="minorEastAsia"/>
          <w:color w:val="000000" w:themeColor="text1"/>
          <w:sz w:val="24"/>
          <w:szCs w:val="24"/>
        </w:rPr>
        <w:t>进行报价。供应商须按附件2：报价清单格式报价，不按要求报价的视为无效报价。</w:t>
      </w:r>
    </w:p>
    <w:p w14:paraId="060A0A8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2.报价包含：到货全包价，承担交货前的所有费用，包括但不限于运输费、途中保险费、装车费、途中损耗与损失费及货物运送至交货地点后的卸车费等及合同实施过程中的一切可预见和不可预见费用。</w:t>
      </w:r>
    </w:p>
    <w:p w14:paraId="710E38B4">
      <w:pPr>
        <w:pStyle w:val="9"/>
        <w:keepNext w:val="0"/>
        <w:keepLines w:val="0"/>
        <w:pageBreakBefore w:val="0"/>
        <w:kinsoku/>
        <w:wordWrap/>
        <w:overflowPunct/>
        <w:topLinePunct w:val="0"/>
        <w:autoSpaceDE/>
        <w:autoSpaceDN/>
        <w:bidi w:val="0"/>
        <w:adjustRightInd/>
        <w:snapToGrid/>
        <w:spacing w:line="440" w:lineRule="exact"/>
        <w:textAlignment w:val="auto"/>
        <w:rPr>
          <w:sz w:val="24"/>
          <w:szCs w:val="24"/>
        </w:rPr>
      </w:pPr>
    </w:p>
    <w:sectPr>
      <w:pgSz w:w="11906" w:h="16838"/>
      <w:pgMar w:top="1440" w:right="1080" w:bottom="1440" w:left="1080"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F5AFF"/>
    <w:rsid w:val="000004FD"/>
    <w:rsid w:val="000007E9"/>
    <w:rsid w:val="000019BB"/>
    <w:rsid w:val="00004CCA"/>
    <w:rsid w:val="000118E9"/>
    <w:rsid w:val="00012E5A"/>
    <w:rsid w:val="00015BD1"/>
    <w:rsid w:val="000219E4"/>
    <w:rsid w:val="000277B2"/>
    <w:rsid w:val="00031AA3"/>
    <w:rsid w:val="00034182"/>
    <w:rsid w:val="000367C1"/>
    <w:rsid w:val="00036D19"/>
    <w:rsid w:val="00037D01"/>
    <w:rsid w:val="00040720"/>
    <w:rsid w:val="00041595"/>
    <w:rsid w:val="00041DA1"/>
    <w:rsid w:val="00047515"/>
    <w:rsid w:val="00050AB9"/>
    <w:rsid w:val="00053368"/>
    <w:rsid w:val="00054DA2"/>
    <w:rsid w:val="000568E5"/>
    <w:rsid w:val="000702E4"/>
    <w:rsid w:val="00075A30"/>
    <w:rsid w:val="00077319"/>
    <w:rsid w:val="0008417C"/>
    <w:rsid w:val="00085AC3"/>
    <w:rsid w:val="00086DB4"/>
    <w:rsid w:val="00086DE4"/>
    <w:rsid w:val="00091004"/>
    <w:rsid w:val="000971D8"/>
    <w:rsid w:val="000A3865"/>
    <w:rsid w:val="000A4CC6"/>
    <w:rsid w:val="000A5F0D"/>
    <w:rsid w:val="000A6F67"/>
    <w:rsid w:val="000A7AA5"/>
    <w:rsid w:val="000B6617"/>
    <w:rsid w:val="000B7966"/>
    <w:rsid w:val="000C49BC"/>
    <w:rsid w:val="000C504E"/>
    <w:rsid w:val="000E2EBC"/>
    <w:rsid w:val="000E3B2D"/>
    <w:rsid w:val="000E3C35"/>
    <w:rsid w:val="000F11E3"/>
    <w:rsid w:val="000F2FF6"/>
    <w:rsid w:val="000F7684"/>
    <w:rsid w:val="00103991"/>
    <w:rsid w:val="0010475E"/>
    <w:rsid w:val="00104D53"/>
    <w:rsid w:val="00107F23"/>
    <w:rsid w:val="001143D5"/>
    <w:rsid w:val="00116B37"/>
    <w:rsid w:val="00117944"/>
    <w:rsid w:val="001229B6"/>
    <w:rsid w:val="00123DCB"/>
    <w:rsid w:val="00131B42"/>
    <w:rsid w:val="0013349C"/>
    <w:rsid w:val="001336B6"/>
    <w:rsid w:val="001340E3"/>
    <w:rsid w:val="00136096"/>
    <w:rsid w:val="00136BAC"/>
    <w:rsid w:val="00136C4F"/>
    <w:rsid w:val="00140435"/>
    <w:rsid w:val="00140C6E"/>
    <w:rsid w:val="00141F24"/>
    <w:rsid w:val="00143CC4"/>
    <w:rsid w:val="0014404B"/>
    <w:rsid w:val="00150876"/>
    <w:rsid w:val="0015219A"/>
    <w:rsid w:val="001529DA"/>
    <w:rsid w:val="001549E9"/>
    <w:rsid w:val="00155BDC"/>
    <w:rsid w:val="0016399D"/>
    <w:rsid w:val="00166576"/>
    <w:rsid w:val="00172760"/>
    <w:rsid w:val="0017373A"/>
    <w:rsid w:val="0017407B"/>
    <w:rsid w:val="00181A10"/>
    <w:rsid w:val="00181E13"/>
    <w:rsid w:val="00184D21"/>
    <w:rsid w:val="00186BEE"/>
    <w:rsid w:val="001A00C3"/>
    <w:rsid w:val="001A734E"/>
    <w:rsid w:val="001A78AD"/>
    <w:rsid w:val="001B007F"/>
    <w:rsid w:val="001B3B71"/>
    <w:rsid w:val="001C0E7D"/>
    <w:rsid w:val="001C65C3"/>
    <w:rsid w:val="001C6A9D"/>
    <w:rsid w:val="001D3296"/>
    <w:rsid w:val="001E172C"/>
    <w:rsid w:val="001E1FB5"/>
    <w:rsid w:val="001E7FA6"/>
    <w:rsid w:val="001F0EA9"/>
    <w:rsid w:val="001F3254"/>
    <w:rsid w:val="001F478D"/>
    <w:rsid w:val="00201EB2"/>
    <w:rsid w:val="002025BD"/>
    <w:rsid w:val="00204EA0"/>
    <w:rsid w:val="00205669"/>
    <w:rsid w:val="002070B8"/>
    <w:rsid w:val="002137D7"/>
    <w:rsid w:val="00213D08"/>
    <w:rsid w:val="002143CF"/>
    <w:rsid w:val="00214CB3"/>
    <w:rsid w:val="00215A0A"/>
    <w:rsid w:val="002175C3"/>
    <w:rsid w:val="00226C9A"/>
    <w:rsid w:val="002316C5"/>
    <w:rsid w:val="00235A30"/>
    <w:rsid w:val="00243197"/>
    <w:rsid w:val="0024654A"/>
    <w:rsid w:val="00250995"/>
    <w:rsid w:val="00251F62"/>
    <w:rsid w:val="00257553"/>
    <w:rsid w:val="0026007C"/>
    <w:rsid w:val="002618B4"/>
    <w:rsid w:val="00263B6E"/>
    <w:rsid w:val="00264457"/>
    <w:rsid w:val="0026592E"/>
    <w:rsid w:val="00270C4D"/>
    <w:rsid w:val="00270E9A"/>
    <w:rsid w:val="0027389B"/>
    <w:rsid w:val="0027633A"/>
    <w:rsid w:val="0028205D"/>
    <w:rsid w:val="00284D10"/>
    <w:rsid w:val="00285DB9"/>
    <w:rsid w:val="002878D8"/>
    <w:rsid w:val="00291745"/>
    <w:rsid w:val="00291E19"/>
    <w:rsid w:val="002A1D67"/>
    <w:rsid w:val="002A3CB8"/>
    <w:rsid w:val="002A4960"/>
    <w:rsid w:val="002B1289"/>
    <w:rsid w:val="002B1A84"/>
    <w:rsid w:val="002C156A"/>
    <w:rsid w:val="002D0ACC"/>
    <w:rsid w:val="002E0E03"/>
    <w:rsid w:val="002E311D"/>
    <w:rsid w:val="002F06E8"/>
    <w:rsid w:val="002F0A6B"/>
    <w:rsid w:val="002F15C0"/>
    <w:rsid w:val="002F2E33"/>
    <w:rsid w:val="002F2E43"/>
    <w:rsid w:val="002F4CDD"/>
    <w:rsid w:val="002F5119"/>
    <w:rsid w:val="002F5674"/>
    <w:rsid w:val="002F704E"/>
    <w:rsid w:val="002F795A"/>
    <w:rsid w:val="002F7E3F"/>
    <w:rsid w:val="00312E95"/>
    <w:rsid w:val="00321083"/>
    <w:rsid w:val="003213B7"/>
    <w:rsid w:val="003224AC"/>
    <w:rsid w:val="00324410"/>
    <w:rsid w:val="00324617"/>
    <w:rsid w:val="00325378"/>
    <w:rsid w:val="0032563F"/>
    <w:rsid w:val="00326D2B"/>
    <w:rsid w:val="003338E1"/>
    <w:rsid w:val="0033628B"/>
    <w:rsid w:val="0034169A"/>
    <w:rsid w:val="00350CCF"/>
    <w:rsid w:val="003567D3"/>
    <w:rsid w:val="00357590"/>
    <w:rsid w:val="003676CC"/>
    <w:rsid w:val="00371A41"/>
    <w:rsid w:val="0037233B"/>
    <w:rsid w:val="0037420B"/>
    <w:rsid w:val="00374C96"/>
    <w:rsid w:val="003764F6"/>
    <w:rsid w:val="0037726D"/>
    <w:rsid w:val="0038033A"/>
    <w:rsid w:val="00384BD1"/>
    <w:rsid w:val="00385E27"/>
    <w:rsid w:val="0038675A"/>
    <w:rsid w:val="00391491"/>
    <w:rsid w:val="00397EB6"/>
    <w:rsid w:val="003A1799"/>
    <w:rsid w:val="003A33D5"/>
    <w:rsid w:val="003A3E95"/>
    <w:rsid w:val="003A4577"/>
    <w:rsid w:val="003B0EAD"/>
    <w:rsid w:val="003B16FC"/>
    <w:rsid w:val="003B6578"/>
    <w:rsid w:val="003B6C79"/>
    <w:rsid w:val="003B7566"/>
    <w:rsid w:val="003B7FC9"/>
    <w:rsid w:val="003C1856"/>
    <w:rsid w:val="003C2F57"/>
    <w:rsid w:val="003D51A2"/>
    <w:rsid w:val="003E31BA"/>
    <w:rsid w:val="003E6889"/>
    <w:rsid w:val="003F017B"/>
    <w:rsid w:val="004019C1"/>
    <w:rsid w:val="004037BF"/>
    <w:rsid w:val="00404B59"/>
    <w:rsid w:val="004051BC"/>
    <w:rsid w:val="00414FE3"/>
    <w:rsid w:val="004166E2"/>
    <w:rsid w:val="00442A3E"/>
    <w:rsid w:val="004455B9"/>
    <w:rsid w:val="00447756"/>
    <w:rsid w:val="00452C30"/>
    <w:rsid w:val="004565B9"/>
    <w:rsid w:val="00457195"/>
    <w:rsid w:val="00457853"/>
    <w:rsid w:val="00457ACA"/>
    <w:rsid w:val="0046623E"/>
    <w:rsid w:val="004711E1"/>
    <w:rsid w:val="0047301C"/>
    <w:rsid w:val="0047383E"/>
    <w:rsid w:val="00477B9A"/>
    <w:rsid w:val="004929DF"/>
    <w:rsid w:val="0049333C"/>
    <w:rsid w:val="00495D64"/>
    <w:rsid w:val="004A20C0"/>
    <w:rsid w:val="004A271C"/>
    <w:rsid w:val="004A27FD"/>
    <w:rsid w:val="004A65F1"/>
    <w:rsid w:val="004B04D6"/>
    <w:rsid w:val="004B09B8"/>
    <w:rsid w:val="004B4AD5"/>
    <w:rsid w:val="004C2488"/>
    <w:rsid w:val="004C3F2D"/>
    <w:rsid w:val="004C687B"/>
    <w:rsid w:val="004D1EDD"/>
    <w:rsid w:val="004D3068"/>
    <w:rsid w:val="004D362E"/>
    <w:rsid w:val="004D5E6F"/>
    <w:rsid w:val="004D67F1"/>
    <w:rsid w:val="004D7BBF"/>
    <w:rsid w:val="004E008B"/>
    <w:rsid w:val="004E0AFF"/>
    <w:rsid w:val="004E44C9"/>
    <w:rsid w:val="004E7C84"/>
    <w:rsid w:val="004E7DBD"/>
    <w:rsid w:val="004F0797"/>
    <w:rsid w:val="004F1462"/>
    <w:rsid w:val="004F14E6"/>
    <w:rsid w:val="004F5050"/>
    <w:rsid w:val="004F5353"/>
    <w:rsid w:val="004F704A"/>
    <w:rsid w:val="005060A3"/>
    <w:rsid w:val="0051314E"/>
    <w:rsid w:val="005136E5"/>
    <w:rsid w:val="005261EA"/>
    <w:rsid w:val="0052759C"/>
    <w:rsid w:val="00533C5E"/>
    <w:rsid w:val="00533DF5"/>
    <w:rsid w:val="00537E0A"/>
    <w:rsid w:val="005423F1"/>
    <w:rsid w:val="00542633"/>
    <w:rsid w:val="00546EFB"/>
    <w:rsid w:val="00550A48"/>
    <w:rsid w:val="00560489"/>
    <w:rsid w:val="0056590A"/>
    <w:rsid w:val="005673FE"/>
    <w:rsid w:val="005747B1"/>
    <w:rsid w:val="00581413"/>
    <w:rsid w:val="0058233C"/>
    <w:rsid w:val="005825E8"/>
    <w:rsid w:val="00593E42"/>
    <w:rsid w:val="005973D7"/>
    <w:rsid w:val="005A2E5E"/>
    <w:rsid w:val="005A53DB"/>
    <w:rsid w:val="005A78B6"/>
    <w:rsid w:val="005A7F08"/>
    <w:rsid w:val="005B1096"/>
    <w:rsid w:val="005B47C9"/>
    <w:rsid w:val="005C2C93"/>
    <w:rsid w:val="005C34CB"/>
    <w:rsid w:val="005C5539"/>
    <w:rsid w:val="005D161B"/>
    <w:rsid w:val="005D6096"/>
    <w:rsid w:val="005D7ECD"/>
    <w:rsid w:val="005E11AD"/>
    <w:rsid w:val="005E4D9F"/>
    <w:rsid w:val="005F081D"/>
    <w:rsid w:val="005F52DB"/>
    <w:rsid w:val="0060415A"/>
    <w:rsid w:val="006067C0"/>
    <w:rsid w:val="006131D2"/>
    <w:rsid w:val="006141C5"/>
    <w:rsid w:val="006204FB"/>
    <w:rsid w:val="00621FF8"/>
    <w:rsid w:val="006223E8"/>
    <w:rsid w:val="00625A10"/>
    <w:rsid w:val="0063051B"/>
    <w:rsid w:val="006313F4"/>
    <w:rsid w:val="0063558C"/>
    <w:rsid w:val="006363DE"/>
    <w:rsid w:val="0064088C"/>
    <w:rsid w:val="00641B1B"/>
    <w:rsid w:val="00651FED"/>
    <w:rsid w:val="00655A5F"/>
    <w:rsid w:val="006677B2"/>
    <w:rsid w:val="00670421"/>
    <w:rsid w:val="00671EF1"/>
    <w:rsid w:val="00672AB5"/>
    <w:rsid w:val="00673229"/>
    <w:rsid w:val="006752E8"/>
    <w:rsid w:val="00684E8D"/>
    <w:rsid w:val="006861EC"/>
    <w:rsid w:val="00692B50"/>
    <w:rsid w:val="00693CB7"/>
    <w:rsid w:val="006944DE"/>
    <w:rsid w:val="006A359B"/>
    <w:rsid w:val="006A7823"/>
    <w:rsid w:val="006B555B"/>
    <w:rsid w:val="006C1857"/>
    <w:rsid w:val="006C362B"/>
    <w:rsid w:val="006C4A65"/>
    <w:rsid w:val="006C6048"/>
    <w:rsid w:val="006C7DF8"/>
    <w:rsid w:val="006D2743"/>
    <w:rsid w:val="006D2FCF"/>
    <w:rsid w:val="006D4D5C"/>
    <w:rsid w:val="006D5F68"/>
    <w:rsid w:val="006D631E"/>
    <w:rsid w:val="006F28F7"/>
    <w:rsid w:val="006F2B26"/>
    <w:rsid w:val="00710738"/>
    <w:rsid w:val="00714E0C"/>
    <w:rsid w:val="00720FB8"/>
    <w:rsid w:val="0072191C"/>
    <w:rsid w:val="0072257B"/>
    <w:rsid w:val="00722736"/>
    <w:rsid w:val="00723C24"/>
    <w:rsid w:val="00726534"/>
    <w:rsid w:val="00733CA7"/>
    <w:rsid w:val="00733DEC"/>
    <w:rsid w:val="0073748E"/>
    <w:rsid w:val="00741A33"/>
    <w:rsid w:val="007461F8"/>
    <w:rsid w:val="007508C7"/>
    <w:rsid w:val="00755086"/>
    <w:rsid w:val="00755279"/>
    <w:rsid w:val="00755C3D"/>
    <w:rsid w:val="00761A1C"/>
    <w:rsid w:val="007624C7"/>
    <w:rsid w:val="00764EC4"/>
    <w:rsid w:val="00765213"/>
    <w:rsid w:val="00766650"/>
    <w:rsid w:val="00766854"/>
    <w:rsid w:val="00770DDE"/>
    <w:rsid w:val="00771BDC"/>
    <w:rsid w:val="00776593"/>
    <w:rsid w:val="00780670"/>
    <w:rsid w:val="00782075"/>
    <w:rsid w:val="007851B2"/>
    <w:rsid w:val="00790247"/>
    <w:rsid w:val="00790CF3"/>
    <w:rsid w:val="00792283"/>
    <w:rsid w:val="00794B6C"/>
    <w:rsid w:val="00794D69"/>
    <w:rsid w:val="00797AB1"/>
    <w:rsid w:val="007A1BFA"/>
    <w:rsid w:val="007A5B03"/>
    <w:rsid w:val="007A68F4"/>
    <w:rsid w:val="007B601A"/>
    <w:rsid w:val="007B6AFC"/>
    <w:rsid w:val="007C240A"/>
    <w:rsid w:val="007C2986"/>
    <w:rsid w:val="007D09FC"/>
    <w:rsid w:val="007D5B8D"/>
    <w:rsid w:val="007D7BCA"/>
    <w:rsid w:val="007E4023"/>
    <w:rsid w:val="007E4DAD"/>
    <w:rsid w:val="007E63DB"/>
    <w:rsid w:val="007E6723"/>
    <w:rsid w:val="007E7C08"/>
    <w:rsid w:val="007F4F5D"/>
    <w:rsid w:val="007F669B"/>
    <w:rsid w:val="007F7251"/>
    <w:rsid w:val="00800536"/>
    <w:rsid w:val="008026DF"/>
    <w:rsid w:val="008059EA"/>
    <w:rsid w:val="00807D2E"/>
    <w:rsid w:val="00810807"/>
    <w:rsid w:val="0081714C"/>
    <w:rsid w:val="008251FC"/>
    <w:rsid w:val="00827CCC"/>
    <w:rsid w:val="00832F2B"/>
    <w:rsid w:val="00834705"/>
    <w:rsid w:val="0083654B"/>
    <w:rsid w:val="008426C0"/>
    <w:rsid w:val="00860F44"/>
    <w:rsid w:val="008614DD"/>
    <w:rsid w:val="00867BCE"/>
    <w:rsid w:val="00876908"/>
    <w:rsid w:val="008804A8"/>
    <w:rsid w:val="0088322E"/>
    <w:rsid w:val="008873DD"/>
    <w:rsid w:val="00890BCC"/>
    <w:rsid w:val="008916D5"/>
    <w:rsid w:val="008931BD"/>
    <w:rsid w:val="00894CFF"/>
    <w:rsid w:val="00894F73"/>
    <w:rsid w:val="00895092"/>
    <w:rsid w:val="00897CBC"/>
    <w:rsid w:val="008A0B3B"/>
    <w:rsid w:val="008A123B"/>
    <w:rsid w:val="008B08BA"/>
    <w:rsid w:val="008B1F10"/>
    <w:rsid w:val="008B4B34"/>
    <w:rsid w:val="008B5635"/>
    <w:rsid w:val="008B6914"/>
    <w:rsid w:val="008C1A84"/>
    <w:rsid w:val="008C3AB0"/>
    <w:rsid w:val="008C5E8D"/>
    <w:rsid w:val="008D0644"/>
    <w:rsid w:val="008E5399"/>
    <w:rsid w:val="008F0B00"/>
    <w:rsid w:val="008F65C0"/>
    <w:rsid w:val="00905279"/>
    <w:rsid w:val="00906D4B"/>
    <w:rsid w:val="00910F69"/>
    <w:rsid w:val="009133B8"/>
    <w:rsid w:val="00917CF5"/>
    <w:rsid w:val="00921191"/>
    <w:rsid w:val="009212E9"/>
    <w:rsid w:val="0092568E"/>
    <w:rsid w:val="0093293A"/>
    <w:rsid w:val="009378B4"/>
    <w:rsid w:val="009440C8"/>
    <w:rsid w:val="009443F1"/>
    <w:rsid w:val="00947D94"/>
    <w:rsid w:val="009503A7"/>
    <w:rsid w:val="00954615"/>
    <w:rsid w:val="00956679"/>
    <w:rsid w:val="00957062"/>
    <w:rsid w:val="0095759E"/>
    <w:rsid w:val="00963A45"/>
    <w:rsid w:val="00970AF2"/>
    <w:rsid w:val="009776CF"/>
    <w:rsid w:val="00980116"/>
    <w:rsid w:val="00982A33"/>
    <w:rsid w:val="00990A4A"/>
    <w:rsid w:val="00991678"/>
    <w:rsid w:val="009937A8"/>
    <w:rsid w:val="00994DAC"/>
    <w:rsid w:val="00996AE6"/>
    <w:rsid w:val="009A278C"/>
    <w:rsid w:val="009A2C5E"/>
    <w:rsid w:val="009B3912"/>
    <w:rsid w:val="009B4254"/>
    <w:rsid w:val="009B6829"/>
    <w:rsid w:val="009C44D2"/>
    <w:rsid w:val="009C4EF0"/>
    <w:rsid w:val="009D181B"/>
    <w:rsid w:val="009D4A66"/>
    <w:rsid w:val="009E73A5"/>
    <w:rsid w:val="009E7B06"/>
    <w:rsid w:val="009F0EB0"/>
    <w:rsid w:val="009F5AFF"/>
    <w:rsid w:val="009F728A"/>
    <w:rsid w:val="00A050CD"/>
    <w:rsid w:val="00A05EF2"/>
    <w:rsid w:val="00A111FA"/>
    <w:rsid w:val="00A12733"/>
    <w:rsid w:val="00A16520"/>
    <w:rsid w:val="00A232F3"/>
    <w:rsid w:val="00A238BD"/>
    <w:rsid w:val="00A261C0"/>
    <w:rsid w:val="00A303EA"/>
    <w:rsid w:val="00A330D6"/>
    <w:rsid w:val="00A33D54"/>
    <w:rsid w:val="00A40684"/>
    <w:rsid w:val="00A4298D"/>
    <w:rsid w:val="00A562A4"/>
    <w:rsid w:val="00A62BB4"/>
    <w:rsid w:val="00A63B81"/>
    <w:rsid w:val="00A654E7"/>
    <w:rsid w:val="00A83CC5"/>
    <w:rsid w:val="00A867FA"/>
    <w:rsid w:val="00A9033D"/>
    <w:rsid w:val="00A9067A"/>
    <w:rsid w:val="00A932FA"/>
    <w:rsid w:val="00AA2A1E"/>
    <w:rsid w:val="00AA343F"/>
    <w:rsid w:val="00AA76C5"/>
    <w:rsid w:val="00AB37E2"/>
    <w:rsid w:val="00AC4DE8"/>
    <w:rsid w:val="00AC509C"/>
    <w:rsid w:val="00AC583D"/>
    <w:rsid w:val="00AD189F"/>
    <w:rsid w:val="00AD2649"/>
    <w:rsid w:val="00AD75BB"/>
    <w:rsid w:val="00AE5251"/>
    <w:rsid w:val="00AF3C57"/>
    <w:rsid w:val="00AF498F"/>
    <w:rsid w:val="00AF74EA"/>
    <w:rsid w:val="00B03FCB"/>
    <w:rsid w:val="00B12A70"/>
    <w:rsid w:val="00B210CF"/>
    <w:rsid w:val="00B229F7"/>
    <w:rsid w:val="00B2612F"/>
    <w:rsid w:val="00B276EB"/>
    <w:rsid w:val="00B27C15"/>
    <w:rsid w:val="00B312A5"/>
    <w:rsid w:val="00B31B4C"/>
    <w:rsid w:val="00B32841"/>
    <w:rsid w:val="00B33C69"/>
    <w:rsid w:val="00B429E8"/>
    <w:rsid w:val="00B42F75"/>
    <w:rsid w:val="00B437A0"/>
    <w:rsid w:val="00B47AF4"/>
    <w:rsid w:val="00B54B94"/>
    <w:rsid w:val="00B550C9"/>
    <w:rsid w:val="00B62042"/>
    <w:rsid w:val="00B66A81"/>
    <w:rsid w:val="00B755D6"/>
    <w:rsid w:val="00B81155"/>
    <w:rsid w:val="00B83138"/>
    <w:rsid w:val="00B85F32"/>
    <w:rsid w:val="00B92B6E"/>
    <w:rsid w:val="00BA0693"/>
    <w:rsid w:val="00BB1F94"/>
    <w:rsid w:val="00BB22FA"/>
    <w:rsid w:val="00BB4314"/>
    <w:rsid w:val="00BC5277"/>
    <w:rsid w:val="00BC5C47"/>
    <w:rsid w:val="00BC7A8D"/>
    <w:rsid w:val="00BE2EA8"/>
    <w:rsid w:val="00BE2FDA"/>
    <w:rsid w:val="00BE5388"/>
    <w:rsid w:val="00C24297"/>
    <w:rsid w:val="00C36283"/>
    <w:rsid w:val="00C433EA"/>
    <w:rsid w:val="00C474BA"/>
    <w:rsid w:val="00C53CF0"/>
    <w:rsid w:val="00C579C4"/>
    <w:rsid w:val="00C61B85"/>
    <w:rsid w:val="00C73A36"/>
    <w:rsid w:val="00C7443D"/>
    <w:rsid w:val="00C7719D"/>
    <w:rsid w:val="00C92BF1"/>
    <w:rsid w:val="00C93E15"/>
    <w:rsid w:val="00C97A6F"/>
    <w:rsid w:val="00CA540A"/>
    <w:rsid w:val="00CB22A2"/>
    <w:rsid w:val="00CB6FD7"/>
    <w:rsid w:val="00CC11B0"/>
    <w:rsid w:val="00CC1415"/>
    <w:rsid w:val="00CC32CE"/>
    <w:rsid w:val="00CC3B53"/>
    <w:rsid w:val="00CC5B3D"/>
    <w:rsid w:val="00CC6155"/>
    <w:rsid w:val="00CC6D29"/>
    <w:rsid w:val="00CD09E9"/>
    <w:rsid w:val="00CD0B49"/>
    <w:rsid w:val="00CD4E02"/>
    <w:rsid w:val="00CD7900"/>
    <w:rsid w:val="00CE1BE2"/>
    <w:rsid w:val="00CE3998"/>
    <w:rsid w:val="00CE4FC0"/>
    <w:rsid w:val="00CF2C48"/>
    <w:rsid w:val="00D02511"/>
    <w:rsid w:val="00D03501"/>
    <w:rsid w:val="00D04940"/>
    <w:rsid w:val="00D11364"/>
    <w:rsid w:val="00D12AE8"/>
    <w:rsid w:val="00D14317"/>
    <w:rsid w:val="00D148AD"/>
    <w:rsid w:val="00D171D8"/>
    <w:rsid w:val="00D213BE"/>
    <w:rsid w:val="00D2561F"/>
    <w:rsid w:val="00D26615"/>
    <w:rsid w:val="00D2740F"/>
    <w:rsid w:val="00D3527E"/>
    <w:rsid w:val="00D52D89"/>
    <w:rsid w:val="00D5355B"/>
    <w:rsid w:val="00D53C0F"/>
    <w:rsid w:val="00D73B8A"/>
    <w:rsid w:val="00D747AD"/>
    <w:rsid w:val="00D75021"/>
    <w:rsid w:val="00D84D7C"/>
    <w:rsid w:val="00D94820"/>
    <w:rsid w:val="00D9594D"/>
    <w:rsid w:val="00D97C44"/>
    <w:rsid w:val="00DA01FE"/>
    <w:rsid w:val="00DA273D"/>
    <w:rsid w:val="00DA3BF0"/>
    <w:rsid w:val="00DA42CC"/>
    <w:rsid w:val="00DA6114"/>
    <w:rsid w:val="00DC0DDA"/>
    <w:rsid w:val="00DC224A"/>
    <w:rsid w:val="00DC4F0E"/>
    <w:rsid w:val="00DD1534"/>
    <w:rsid w:val="00DE5CD0"/>
    <w:rsid w:val="00DE6831"/>
    <w:rsid w:val="00DF0E49"/>
    <w:rsid w:val="00DF1C93"/>
    <w:rsid w:val="00DF2DFC"/>
    <w:rsid w:val="00DF3FF0"/>
    <w:rsid w:val="00E005F9"/>
    <w:rsid w:val="00E0178E"/>
    <w:rsid w:val="00E05157"/>
    <w:rsid w:val="00E06336"/>
    <w:rsid w:val="00E06942"/>
    <w:rsid w:val="00E06B32"/>
    <w:rsid w:val="00E10048"/>
    <w:rsid w:val="00E22E99"/>
    <w:rsid w:val="00E243A4"/>
    <w:rsid w:val="00E24ABC"/>
    <w:rsid w:val="00E31149"/>
    <w:rsid w:val="00E33138"/>
    <w:rsid w:val="00E34FA0"/>
    <w:rsid w:val="00E35B8A"/>
    <w:rsid w:val="00E40AED"/>
    <w:rsid w:val="00E41EDB"/>
    <w:rsid w:val="00E422D0"/>
    <w:rsid w:val="00E43146"/>
    <w:rsid w:val="00E52367"/>
    <w:rsid w:val="00E550E2"/>
    <w:rsid w:val="00E56A0C"/>
    <w:rsid w:val="00E629C7"/>
    <w:rsid w:val="00E6396D"/>
    <w:rsid w:val="00E64444"/>
    <w:rsid w:val="00E70910"/>
    <w:rsid w:val="00E72BFA"/>
    <w:rsid w:val="00E804A2"/>
    <w:rsid w:val="00E81F2D"/>
    <w:rsid w:val="00E846CF"/>
    <w:rsid w:val="00E87954"/>
    <w:rsid w:val="00E9082D"/>
    <w:rsid w:val="00E918E0"/>
    <w:rsid w:val="00E91AC0"/>
    <w:rsid w:val="00E96ACA"/>
    <w:rsid w:val="00EB79AD"/>
    <w:rsid w:val="00EC063C"/>
    <w:rsid w:val="00EC1250"/>
    <w:rsid w:val="00EC46EE"/>
    <w:rsid w:val="00ED2EF2"/>
    <w:rsid w:val="00ED597B"/>
    <w:rsid w:val="00EE1FFC"/>
    <w:rsid w:val="00EE5422"/>
    <w:rsid w:val="00EE5B98"/>
    <w:rsid w:val="00EE7F61"/>
    <w:rsid w:val="00EF29BA"/>
    <w:rsid w:val="00EF3EF9"/>
    <w:rsid w:val="00EF7BC1"/>
    <w:rsid w:val="00EF7E47"/>
    <w:rsid w:val="00F022DD"/>
    <w:rsid w:val="00F04C55"/>
    <w:rsid w:val="00F12022"/>
    <w:rsid w:val="00F14FE7"/>
    <w:rsid w:val="00F158A4"/>
    <w:rsid w:val="00F222C5"/>
    <w:rsid w:val="00F3736F"/>
    <w:rsid w:val="00F40360"/>
    <w:rsid w:val="00F40736"/>
    <w:rsid w:val="00F45404"/>
    <w:rsid w:val="00F45517"/>
    <w:rsid w:val="00F45752"/>
    <w:rsid w:val="00F47BE4"/>
    <w:rsid w:val="00F504E4"/>
    <w:rsid w:val="00F55A51"/>
    <w:rsid w:val="00F55CCC"/>
    <w:rsid w:val="00F60510"/>
    <w:rsid w:val="00F6118B"/>
    <w:rsid w:val="00F627CA"/>
    <w:rsid w:val="00F63308"/>
    <w:rsid w:val="00F67F3F"/>
    <w:rsid w:val="00F67F4D"/>
    <w:rsid w:val="00F74FE7"/>
    <w:rsid w:val="00F76824"/>
    <w:rsid w:val="00F96B23"/>
    <w:rsid w:val="00FA5EEA"/>
    <w:rsid w:val="00FA73C2"/>
    <w:rsid w:val="00FB283B"/>
    <w:rsid w:val="00FB2E8B"/>
    <w:rsid w:val="00FC4E60"/>
    <w:rsid w:val="00FC5D3F"/>
    <w:rsid w:val="00FD05C5"/>
    <w:rsid w:val="00FD0F62"/>
    <w:rsid w:val="00FD2809"/>
    <w:rsid w:val="00FD6FA7"/>
    <w:rsid w:val="00FE3DCF"/>
    <w:rsid w:val="00FE627E"/>
    <w:rsid w:val="00FE6ACE"/>
    <w:rsid w:val="00FF1849"/>
    <w:rsid w:val="00FF1A62"/>
    <w:rsid w:val="00FF66EA"/>
    <w:rsid w:val="05FD2125"/>
    <w:rsid w:val="06C73C1D"/>
    <w:rsid w:val="07AD288C"/>
    <w:rsid w:val="08026572"/>
    <w:rsid w:val="0BC734C7"/>
    <w:rsid w:val="0CB860E4"/>
    <w:rsid w:val="125D4B35"/>
    <w:rsid w:val="12960B44"/>
    <w:rsid w:val="18675358"/>
    <w:rsid w:val="1A610916"/>
    <w:rsid w:val="1DBB1D54"/>
    <w:rsid w:val="220A5774"/>
    <w:rsid w:val="22F84FCF"/>
    <w:rsid w:val="230359CC"/>
    <w:rsid w:val="239D3981"/>
    <w:rsid w:val="23CA14B6"/>
    <w:rsid w:val="25B253D6"/>
    <w:rsid w:val="28F37284"/>
    <w:rsid w:val="2C01352F"/>
    <w:rsid w:val="2E6432D6"/>
    <w:rsid w:val="2FEB2311"/>
    <w:rsid w:val="303671FA"/>
    <w:rsid w:val="34126A7A"/>
    <w:rsid w:val="36C16458"/>
    <w:rsid w:val="430A17B4"/>
    <w:rsid w:val="4547765C"/>
    <w:rsid w:val="4C530814"/>
    <w:rsid w:val="56EA713F"/>
    <w:rsid w:val="5772338C"/>
    <w:rsid w:val="588322F1"/>
    <w:rsid w:val="5A436546"/>
    <w:rsid w:val="631C333F"/>
    <w:rsid w:val="672B4642"/>
    <w:rsid w:val="6A8F7F00"/>
    <w:rsid w:val="6CE25252"/>
    <w:rsid w:val="70C22FB9"/>
    <w:rsid w:val="722412A1"/>
    <w:rsid w:val="731A186B"/>
    <w:rsid w:val="759906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ind w:left="425" w:hanging="425"/>
      <w:jc w:val="center"/>
      <w:outlineLvl w:val="0"/>
    </w:pPr>
    <w:rPr>
      <w:b/>
      <w:color w:val="0000FF"/>
      <w:kern w:val="0"/>
      <w:sz w:val="52"/>
      <w:szCs w:val="20"/>
    </w:rPr>
  </w:style>
  <w:style w:type="paragraph" w:styleId="3">
    <w:name w:val="heading 2"/>
    <w:basedOn w:val="1"/>
    <w:next w:val="1"/>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ind w:firstLine="680"/>
      <w:outlineLvl w:val="3"/>
    </w:pPr>
    <w:rPr>
      <w:rFonts w:ascii="宋体"/>
      <w:color w:val="0000FF"/>
      <w:sz w:val="28"/>
      <w:szCs w:val="20"/>
    </w:rPr>
  </w:style>
  <w:style w:type="paragraph" w:styleId="6">
    <w:name w:val="heading 5"/>
    <w:basedOn w:val="1"/>
    <w:next w:val="1"/>
    <w:qFormat/>
    <w:uiPriority w:val="0"/>
    <w:pPr>
      <w:spacing w:before="120"/>
      <w:ind w:firstLine="540"/>
      <w:outlineLvl w:val="4"/>
    </w:pPr>
    <w:rPr>
      <w:rFonts w:ascii="宋体"/>
      <w:b/>
      <w:color w:val="0000FF"/>
      <w:sz w:val="28"/>
      <w:szCs w:val="20"/>
    </w:rPr>
  </w:style>
  <w:style w:type="paragraph" w:styleId="7">
    <w:name w:val="heading 6"/>
    <w:basedOn w:val="1"/>
    <w:next w:val="1"/>
    <w:qFormat/>
    <w:uiPriority w:val="0"/>
    <w:pPr>
      <w:ind w:firstLine="680"/>
      <w:outlineLvl w:val="5"/>
    </w:pPr>
    <w:rPr>
      <w:color w:val="0000FF"/>
      <w:sz w:val="28"/>
      <w:szCs w:val="20"/>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semiHidden/>
    <w:qFormat/>
    <w:uiPriority w:val="0"/>
    <w:pPr>
      <w:jc w:val="left"/>
    </w:pPr>
    <w:rPr>
      <w:color w:val="0000FF"/>
      <w:sz w:val="24"/>
    </w:rPr>
  </w:style>
  <w:style w:type="paragraph" w:styleId="9">
    <w:name w:val="Body Text"/>
    <w:basedOn w:val="1"/>
    <w:next w:val="1"/>
    <w:qFormat/>
    <w:uiPriority w:val="0"/>
    <w:rPr>
      <w:rFonts w:ascii="宋体" w:hAnsi="宋体"/>
      <w:color w:val="0000FF"/>
      <w:sz w:val="28"/>
    </w:rPr>
  </w:style>
  <w:style w:type="paragraph" w:styleId="10">
    <w:name w:val="Balloon Text"/>
    <w:basedOn w:val="1"/>
    <w:semiHidden/>
    <w:qFormat/>
    <w:uiPriority w:val="0"/>
    <w:rPr>
      <w:sz w:val="18"/>
      <w:szCs w:val="18"/>
    </w:rPr>
  </w:style>
  <w:style w:type="paragraph" w:styleId="11">
    <w:name w:val="footer"/>
    <w:basedOn w:val="1"/>
    <w:link w:val="35"/>
    <w:qFormat/>
    <w:uiPriority w:val="99"/>
    <w:pPr>
      <w:tabs>
        <w:tab w:val="center" w:pos="4153"/>
        <w:tab w:val="right" w:pos="8306"/>
      </w:tabs>
      <w:snapToGrid w:val="0"/>
      <w:jc w:val="left"/>
    </w:pPr>
    <w:rPr>
      <w:sz w:val="18"/>
      <w:szCs w:val="18"/>
    </w:rPr>
  </w:style>
  <w:style w:type="paragraph" w:styleId="12">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qFormat/>
    <w:uiPriority w:val="0"/>
    <w:rPr>
      <w:color w:val="0000FF"/>
      <w:u w:val="single"/>
    </w:rPr>
  </w:style>
  <w:style w:type="character" w:styleId="18">
    <w:name w:val="annotation reference"/>
    <w:semiHidden/>
    <w:qFormat/>
    <w:uiPriority w:val="0"/>
    <w:rPr>
      <w:sz w:val="21"/>
      <w:szCs w:val="21"/>
    </w:rPr>
  </w:style>
  <w:style w:type="character" w:customStyle="1" w:styleId="19">
    <w:name w:val="页眉 Char"/>
    <w:link w:val="12"/>
    <w:qFormat/>
    <w:uiPriority w:val="0"/>
    <w:rPr>
      <w:kern w:val="2"/>
      <w:sz w:val="18"/>
      <w:szCs w:val="18"/>
    </w:rPr>
  </w:style>
  <w:style w:type="paragraph" w:customStyle="1" w:styleId="20">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 Char"/>
    <w:basedOn w:val="1"/>
    <w:qFormat/>
    <w:uiPriority w:val="0"/>
    <w:rPr>
      <w:rFonts w:ascii="Tahoma" w:hAnsi="Tahoma"/>
      <w:sz w:val="24"/>
      <w:szCs w:val="20"/>
    </w:rPr>
  </w:style>
  <w:style w:type="paragraph" w:customStyle="1" w:styleId="23">
    <w:name w:val="正文_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1"/>
    <w:qFormat/>
    <w:uiPriority w:val="0"/>
    <w:pPr>
      <w:widowControl w:val="0"/>
      <w:jc w:val="both"/>
    </w:pPr>
    <w:rPr>
      <w:rFonts w:ascii="Calibri" w:hAnsi="Calibri" w:eastAsia="宋体" w:cs="Times New Roman"/>
      <w:lang w:val="en-US" w:eastAsia="zh-CN" w:bidi="ar-SA"/>
    </w:rPr>
  </w:style>
  <w:style w:type="paragraph" w:customStyle="1" w:styleId="25">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zw"/>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
    <w:name w:val="正文1_0"/>
    <w:unhideWhenUsed/>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31">
    <w:name w:val="List Paragraph"/>
    <w:basedOn w:val="1"/>
    <w:qFormat/>
    <w:uiPriority w:val="34"/>
    <w:pPr>
      <w:ind w:firstLine="420" w:firstLineChars="200"/>
    </w:pPr>
  </w:style>
  <w:style w:type="paragraph" w:customStyle="1" w:styleId="32">
    <w:name w:val="正文_0"/>
    <w:qFormat/>
    <w:uiPriority w:val="0"/>
    <w:pPr>
      <w:widowControl w:val="0"/>
      <w:jc w:val="both"/>
    </w:pPr>
    <w:rPr>
      <w:rFonts w:ascii="Times New Roman" w:hAnsi="Times New Roman" w:eastAsia="宋体" w:cs="Times New Roman"/>
      <w:kern w:val="2"/>
      <w:sz w:val="21"/>
      <w:lang w:val="en-US" w:eastAsia="zh-CN" w:bidi="ar-SA"/>
    </w:rPr>
  </w:style>
  <w:style w:type="paragraph" w:styleId="33">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table" w:customStyle="1" w:styleId="34">
    <w:name w:val="网格型1"/>
    <w:basedOn w:val="13"/>
    <w:qFormat/>
    <w:uiPriority w:val="59"/>
    <w:rPr>
      <w:rFonts w:ascii="Calibri" w:hAnsi="Calibri"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页脚 Char"/>
    <w:basedOn w:val="15"/>
    <w:link w:val="11"/>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Table Text"/>
    <w:basedOn w:val="1"/>
    <w:semiHidden/>
    <w:qFormat/>
    <w:uiPriority w:val="0"/>
    <w:rPr>
      <w:rFonts w:ascii="宋体" w:hAnsi="宋体" w:cs="宋体"/>
      <w:sz w:val="17"/>
      <w:szCs w:val="17"/>
      <w:lang w:eastAsia="en-US"/>
    </w:rPr>
  </w:style>
  <w:style w:type="paragraph" w:customStyle="1" w:styleId="38">
    <w:name w:val="样式 首行缩进:  2 字符 段前: 0.5 行 行距: 固定值 23 磅"/>
    <w:basedOn w:val="1"/>
    <w:qFormat/>
    <w:uiPriority w:val="0"/>
    <w:pPr>
      <w:widowControl/>
      <w:spacing w:beforeLines="50" w:after="200" w:line="460" w:lineRule="exact"/>
      <w:ind w:firstLine="420" w:firstLineChars="200"/>
    </w:pPr>
    <w:rPr>
      <w:rFonts w:ascii="宋体" w:cs="宋体" w:hAnsiTheme="minorHAnsi" w:eastAsiaTheme="minorEastAsia"/>
      <w:bCs/>
      <w:kern w:val="0"/>
      <w:sz w:val="28"/>
      <w:szCs w:val="22"/>
      <w:lang w:eastAsia="en-US" w:bidi="en-US"/>
    </w:rPr>
  </w:style>
  <w:style w:type="paragraph" w:customStyle="1" w:styleId="39">
    <w:name w:val="投标正文小四"/>
    <w:basedOn w:val="1"/>
    <w:qFormat/>
    <w:uiPriority w:val="0"/>
    <w:pPr>
      <w:spacing w:line="360" w:lineRule="auto"/>
      <w:ind w:firstLine="200" w:firstLineChars="200"/>
    </w:pPr>
    <w:rPr>
      <w:sz w:val="24"/>
    </w:rPr>
  </w:style>
  <w:style w:type="paragraph" w:customStyle="1" w:styleId="40">
    <w:name w:val="null3"/>
    <w:hidden/>
    <w:qFormat/>
    <w:uiPriority w:val="0"/>
    <w:rPr>
      <w:rFonts w:hint="eastAsia" w:asciiTheme="minorHAnsi" w:hAnsiTheme="minorHAnsi" w:eastAsiaTheme="minorEastAsia"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5C94-1693-4E88-9D70-31510AF0BC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140</Words>
  <Characters>799</Characters>
  <Lines>6</Lines>
  <Paragraphs>1</Paragraphs>
  <TotalTime>0</TotalTime>
  <ScaleCrop>false</ScaleCrop>
  <LinksUpToDate>false</LinksUpToDate>
  <CharactersWithSpaces>938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2022-04-26T01:42:00Z</dcterms:created>
  <dc:creator>何卓瑜</dc:creator>
  <cp:lastModifiedBy>Administrator</cp:lastModifiedBy>
  <cp:lastPrinted>2022-05-06T03:07:00Z</cp:lastPrinted>
  <dcterms:modified xsi:type="dcterms:W3CDTF">2026-03-17T00:36:23Z</dcterms:modified>
  <dc:title>用户需求书（参考格式）</dc:title>
  <cp:revision>183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C569E7D2D9134CB09EE63D36D6A3970C_13</vt:lpwstr>
  </property>
</Properties>
</file>