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bCs/>
          <w:sz w:val="24"/>
        </w:rPr>
      </w:pPr>
      <w:r>
        <w:rPr>
          <w:rFonts w:hint="eastAsia"/>
          <w:bCs/>
          <w:sz w:val="24"/>
        </w:rPr>
        <w:t xml:space="preserve">附件1：              </w:t>
      </w:r>
    </w:p>
    <w:p>
      <w:pPr>
        <w:spacing w:line="480" w:lineRule="auto"/>
        <w:jc w:val="center"/>
        <w:rPr>
          <w:rFonts w:hint="eastAsia"/>
          <w:b/>
          <w:sz w:val="28"/>
          <w:szCs w:val="28"/>
        </w:rPr>
      </w:pPr>
      <w:r>
        <w:rPr>
          <w:rFonts w:hint="eastAsia"/>
          <w:b/>
          <w:sz w:val="36"/>
          <w:szCs w:val="36"/>
        </w:rPr>
        <w:t>用户需求书</w:t>
      </w:r>
      <w:bookmarkStart w:id="0" w:name="_Toc78604590"/>
      <w:bookmarkStart w:id="1" w:name="_Toc37670349"/>
      <w:bookmarkStart w:id="2" w:name="_Toc113157418"/>
      <w:bookmarkStart w:id="3" w:name="_Toc49329249"/>
    </w:p>
    <w:bookmarkEnd w:id="0"/>
    <w:bookmarkEnd w:id="1"/>
    <w:bookmarkEnd w:id="2"/>
    <w:bookmarkEnd w:id="3"/>
    <w:p>
      <w:pPr>
        <w:pStyle w:val="16"/>
        <w:spacing w:line="360" w:lineRule="exact"/>
        <w:ind w:firstLine="422"/>
        <w:rPr>
          <w:rFonts w:hint="eastAsia" w:ascii="宋体" w:hAnsi="宋体" w:cs="宋体"/>
          <w:b/>
          <w:sz w:val="21"/>
          <w:szCs w:val="21"/>
        </w:rPr>
      </w:pPr>
      <w:r>
        <w:rPr>
          <w:rFonts w:hint="eastAsia" w:ascii="宋体" w:hAnsi="宋体" w:cs="宋体"/>
          <w:b/>
          <w:sz w:val="21"/>
          <w:szCs w:val="21"/>
        </w:rPr>
        <w:t>总则</w:t>
      </w:r>
    </w:p>
    <w:p>
      <w:pPr>
        <w:pStyle w:val="16"/>
        <w:spacing w:line="360" w:lineRule="exact"/>
        <w:ind w:firstLine="420"/>
        <w:rPr>
          <w:rFonts w:hint="eastAsia" w:ascii="宋体" w:hAnsi="宋体" w:cs="宋体"/>
          <w:sz w:val="21"/>
          <w:szCs w:val="21"/>
        </w:rPr>
      </w:pPr>
      <w:r>
        <w:rPr>
          <w:rFonts w:hint="eastAsia" w:ascii="宋体" w:hAnsi="宋体" w:cs="宋体"/>
          <w:sz w:val="21"/>
          <w:szCs w:val="21"/>
        </w:rPr>
        <w:t>1、成交供应商必须按国家、行业的标准及采购文件的要求对本项目提供相应的货物及服务。</w:t>
      </w:r>
    </w:p>
    <w:p>
      <w:pPr>
        <w:pStyle w:val="16"/>
        <w:spacing w:line="360" w:lineRule="exact"/>
        <w:ind w:firstLine="420"/>
        <w:rPr>
          <w:rFonts w:hint="eastAsia" w:ascii="宋体" w:hAnsi="宋体" w:cs="宋体"/>
          <w:sz w:val="21"/>
          <w:szCs w:val="21"/>
        </w:rPr>
      </w:pPr>
      <w:r>
        <w:rPr>
          <w:rFonts w:hint="eastAsia" w:ascii="宋体" w:hAnsi="宋体" w:cs="宋体"/>
          <w:sz w:val="21"/>
          <w:szCs w:val="21"/>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16"/>
        <w:spacing w:line="360" w:lineRule="exact"/>
        <w:ind w:firstLine="420"/>
        <w:rPr>
          <w:rFonts w:hint="eastAsia" w:ascii="宋体" w:hAnsi="宋体" w:cs="宋体"/>
          <w:sz w:val="21"/>
          <w:szCs w:val="21"/>
        </w:rPr>
      </w:pPr>
      <w:r>
        <w:rPr>
          <w:rFonts w:hint="eastAsia" w:ascii="宋体" w:hAnsi="宋体" w:cs="宋体"/>
          <w:sz w:val="21"/>
          <w:szCs w:val="21"/>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pStyle w:val="16"/>
        <w:rPr>
          <w:rFonts w:hint="eastAsia" w:ascii="宋体" w:hAnsi="宋体" w:eastAsia="宋体" w:cs="宋体"/>
          <w:sz w:val="21"/>
          <w:szCs w:val="21"/>
        </w:rPr>
      </w:pPr>
      <w:r>
        <w:rPr>
          <w:rFonts w:hint="eastAsia" w:ascii="宋体" w:hAnsi="宋体" w:eastAsia="宋体" w:cs="宋体"/>
          <w:sz w:val="21"/>
          <w:szCs w:val="21"/>
        </w:rPr>
        <w:t>4、本项目不允许提交备选方案，不允许联合体响应、转包或分包。</w:t>
      </w:r>
    </w:p>
    <w:p>
      <w:pPr>
        <w:pStyle w:val="16"/>
        <w:ind w:firstLine="482"/>
        <w:rPr>
          <w:rFonts w:hint="eastAsia" w:cs="Times New Roman"/>
          <w:b/>
          <w:color w:val="000000"/>
          <w:highlight w:val="none"/>
          <w:lang w:val="en-US" w:eastAsia="zh-CN"/>
        </w:rPr>
      </w:pPr>
    </w:p>
    <w:p>
      <w:pPr>
        <w:pStyle w:val="16"/>
        <w:ind w:firstLine="482"/>
        <w:rPr>
          <w:rFonts w:hint="eastAsia" w:eastAsia="宋体" w:cs="Times New Roman"/>
          <w:b/>
          <w:color w:val="000000"/>
          <w:highlight w:val="none"/>
          <w:lang w:val="en-US" w:eastAsia="zh-CN"/>
        </w:rPr>
      </w:pPr>
      <w:r>
        <w:rPr>
          <w:rFonts w:hint="eastAsia" w:cs="Times New Roman"/>
          <w:b/>
          <w:color w:val="000000"/>
          <w:highlight w:val="none"/>
          <w:lang w:val="en-US" w:eastAsia="zh-CN"/>
        </w:rPr>
        <w:t>一、项目基本情况</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（一）项目名称：中山市黄圃人民医院2026年信息办公耗材及配件配送服务项目</w:t>
      </w:r>
      <w:r>
        <w:rPr>
          <w:rFonts w:hint="eastAsia" w:ascii="宋体" w:hAnsi="宋体" w:cs="宋体"/>
          <w:sz w:val="21"/>
          <w:szCs w:val="21"/>
          <w:lang w:val="en-US" w:eastAsia="zh-CN"/>
        </w:rPr>
        <w:t>。</w:t>
      </w:r>
      <w:bookmarkStart w:id="4" w:name="_GoBack"/>
      <w:bookmarkEnd w:id="4"/>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（二）项目编号：PYCG-XX-202603-04</w:t>
      </w:r>
      <w:r>
        <w:rPr>
          <w:rFonts w:hint="eastAsia" w:ascii="宋体" w:hAnsi="宋体" w:cs="宋体"/>
          <w:sz w:val="21"/>
          <w:szCs w:val="21"/>
          <w:lang w:val="en-US" w:eastAsia="zh-CN"/>
        </w:rPr>
        <w:t>。</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（三）服务期限：1年（具体起止时间以合同约定为准或支付金额累计达到预算金额，以先到达的为准）</w:t>
      </w:r>
      <w:r>
        <w:rPr>
          <w:rFonts w:hint="eastAsia" w:ascii="宋体" w:hAnsi="宋体" w:cs="宋体"/>
          <w:sz w:val="21"/>
          <w:szCs w:val="21"/>
          <w:lang w:val="en-US" w:eastAsia="zh-CN"/>
        </w:rPr>
        <w:t>。</w:t>
      </w:r>
    </w:p>
    <w:p>
      <w:pPr>
        <w:pStyle w:val="16"/>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（四）采购清单：</w:t>
      </w:r>
    </w:p>
    <w:tbl>
      <w:tblPr>
        <w:tblStyle w:val="13"/>
        <w:tblW w:w="81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3566"/>
        <w:gridCol w:w="967"/>
        <w:gridCol w:w="1142"/>
        <w:gridCol w:w="1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1"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预估年</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采购量</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单价最高限价（元/单价）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转接器USB转VGA</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转换器USB转VGA、HDMI（二合一）</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主机开机、重启线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硬盘数据线 SATA3</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硬盘克隆机SATA同协议对拷</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硬盘拷贝机M.2NVMe/SATA同协议对拷</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硬盘拷贝机M.2NVMe/SATA跨协议互拷</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移动硬盘数据线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一分二网络接头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一对一网络直通头（一体式）</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USB延长线2米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夏普MX-238CT原装粉盒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联想LT2641粉盒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CE505A硒鼓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Q5949A硒鼓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W1003AC硒鼓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CF277X（带芯片）</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LD230S硒鼓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PD219硒鼓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CF218A硒鼓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W1520A硒鼓（带芯片）</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PR-Q2612A硒鼓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CE255A硒鼓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MLT-D1043S硒鼓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CF501A硒鼓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CF503A硒鼓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CF502A硒鼓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CF500A硒鼓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无线鼠标键盘套装</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多模尾纤5米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单模尾纤5米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网络寻线器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W1110A硒鼓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CF228A硒鼓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CB435A硒鼓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TN2115粉盒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CE314A成像鼓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W1160AC硒鼓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CE313A硒鼓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CE312A硒鼓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CE311A硒鼓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CE310A硒鼓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超五类网线（1.5米）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超五类网线（3米）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NT-D2441/2641粉盒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TN3435粉盒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碳带（110MM*330M)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USB有线鼠标</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鼠标垫240*240mm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PS2有线鼠标</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USB转Mini USB数据线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身份证读卡器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云台会议摄像头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DS1920色带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LW-K400标签色带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80D-3色带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扫描球（支持屏幕二维码）</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三色音频线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热敏标签打印机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网口切换器二进一出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千兆光纤收发器（单模）</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千兆光纤模块（单模）</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千兆PCI-E有线网卡</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LQ630K色带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CF237A硒鼓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TN323粉盒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VGA一进二出KVM切换器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无线投屏器（点对点50米传输）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USB转网口百兆</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USB3.0拓展坞（4口、线长2米）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无线WiFi6路由器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超五类网线（工程用、整箱）</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六类非屏蔽网线（工程用、整箱）</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主机电源250W</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台式机SATA光驱刻录机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PCB038电源</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LT2441硒鼓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PA-2181-2电源</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8口千兆交换机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5口千兆交换机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二层交换机48口</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USB有线键盘</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PS2有线键盘</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PG-815黑色墨盒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CL-816彩色墨盒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PG-845黑色墨盒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CL-846彩色墨盒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翻页教学用激光笔</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CF403A硒鼓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CF402A硒鼓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CF401A硒鼓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CF400A硒鼓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678（黑色）墨盒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846（彩色）墨盒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随身WIFI发射器4G/5G全网通</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磁卡读卡器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光纤收发器电源</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CC925C硒鼓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FR8X00B色带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DX-25CT-BA粉盒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TN-2325粉盒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TN-2215粉盒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一进四出VGA分屏器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手持式扫描枪（支持屏幕二维码）</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电脑主板电池</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电脑USB接口音箱</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电脑摄像头（带麦克风）</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盒（100粒）</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DX-25CT-YB粉盒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DX-25CT-MB粉盒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DX-25CT-CB粉盒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USB打印机数据线3米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MX-312CU硒鼓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超五类水晶头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100粒/盒</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T6724墨水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T6723墨水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T6722墨水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T6721墨水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T6746墨水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T6745墨水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T6744墨水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T6743墨水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T6742墨水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T6741墨水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L130打印机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R5F008S140打证机全格彩色带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VGA线10米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VGA线30米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VGA线20米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USB公对公数据线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T口数据线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千兆WEB网管交换机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S端子线3米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LT201粉盒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LPT打印机线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IC卡读卡器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HM850色带架</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HDMI转VGA转接线3米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HDMI线30米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HDMI线20米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HDMI线5米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HDMI线10米</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DVD-R刻录光盘</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RS232串口线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24口交换机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LT230SH粉盒</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热敏票据打印机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DP转VGA线2米/条</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DP公对公线2米/条</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蜡基碳带110mm*90m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48墨盒黑色</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58墨盒彩色</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 IDMR02/TG台式居民身份证阅读机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斑马GK888T打印机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高清云台摄像机DS-UVC-V148Z</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有线智能麦克风音箱DS-65VA300U(Pro)</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耐高温碳带110mm*40m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TD-LTE无线数据终端E5573s-853</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HDMI分屏器 </w:t>
            </w:r>
            <w:r>
              <w:rPr>
                <w:rStyle w:val="18"/>
                <w:lang w:val="en-US" w:eastAsia="zh-CN" w:bidi="ar"/>
              </w:rPr>
              <w:t xml:space="preserve">  1入2出</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HDMI转DVI线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DP转DVI线</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哑银纸 耐高温标签纸双排 40*30/2000 </w:t>
            </w:r>
            <w:r>
              <w:rPr>
                <w:rStyle w:val="18"/>
                <w:lang w:val="en-US" w:eastAsia="zh-CN" w:bidi="ar"/>
              </w:rPr>
              <w:t xml:space="preserve"> </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 SD卡</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SD卡 读卡器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64G录音笔</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PR-DR2150G</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兄弟打印机2325鼓架</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高级混合基碳带110mm*70m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高拍仪</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ERC09色带</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w:t>
            </w:r>
            <w:r>
              <w:rPr>
                <w:rStyle w:val="19"/>
                <w:lang w:val="en-US" w:eastAsia="zh-CN" w:bidi="ar"/>
              </w:rPr>
              <w:t>碳带（110MM*330M)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TSC-247打印机胶棍</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电脑麦克风</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GT51黑色墨水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GT52红色墨水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GT52黄色墨水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GT52蓝色墨水</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网络测线器</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1660AC硒鼓</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FC2色带30mm*100m</w:t>
            </w:r>
          </w:p>
        </w:tc>
        <w:tc>
          <w:tcPr>
            <w:tcW w:w="9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7233"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其他未列明品目（此行未列明品目无需填写）</w:t>
            </w:r>
          </w:p>
        </w:tc>
      </w:tr>
    </w:tbl>
    <w:p>
      <w:pPr>
        <w:pStyle w:val="16"/>
        <w:rPr>
          <w:rFonts w:hint="eastAsia" w:ascii="宋体" w:hAnsi="宋体" w:eastAsia="宋体" w:cs="宋体"/>
          <w:sz w:val="21"/>
          <w:szCs w:val="21"/>
          <w:lang w:val="en-US" w:eastAsia="zh-CN"/>
        </w:rPr>
      </w:pPr>
    </w:p>
    <w:p>
      <w:pPr>
        <w:pStyle w:val="16"/>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备注：1.在合同实施过程中采购人若需采购项目清单外的货物，增加在本项目清单最后序号“其他未列明品目” 列表中，成交供应商应保证积极供应。</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2.“其它未列明采购品名”价格执行原则：“其他未列明品目”的供应价格须经采购人确认，且不得高于三个或以上同等级产品市场均价。</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3.原则上合同有效期内“其他未列明品目”采购总金额不超过本项目合同总金额的10%，合同履行期内，项目采购清单中的货物及“其他未列明品目”的货物累计最终结算金额不超本项目的预算金额。</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4.清单列表数量仅为年度预估数量，实际供货时，采购人有权根据实际情况对货物的数量进行调整。</w:t>
      </w:r>
    </w:p>
    <w:p>
      <w:pPr>
        <w:pageBreakBefore w:val="0"/>
        <w:widowControl w:val="0"/>
        <w:numPr>
          <w:ilvl w:val="0"/>
          <w:numId w:val="0"/>
        </w:numPr>
        <w:kinsoku/>
        <w:wordWrap/>
        <w:overflowPunct/>
        <w:topLinePunct w:val="0"/>
        <w:autoSpaceDE/>
        <w:autoSpaceDN/>
        <w:bidi w:val="0"/>
        <w:spacing w:line="340" w:lineRule="exact"/>
        <w:textAlignment w:val="auto"/>
        <w:rPr>
          <w:rFonts w:hint="eastAsia" w:ascii="宋体" w:hAnsi="宋体" w:cs="Times New Roman"/>
          <w:b/>
          <w:kern w:val="2"/>
          <w:sz w:val="24"/>
          <w:szCs w:val="24"/>
          <w:lang w:val="en-US" w:eastAsia="zh-CN" w:bidi="ar-SA"/>
        </w:rPr>
      </w:pPr>
    </w:p>
    <w:p>
      <w:pPr>
        <w:pStyle w:val="16"/>
        <w:ind w:firstLine="482"/>
        <w:rPr>
          <w:rFonts w:hint="eastAsia" w:cs="Times New Roman"/>
          <w:b/>
          <w:color w:val="000000"/>
          <w:highlight w:val="none"/>
          <w:lang w:val="en-US" w:eastAsia="zh-CN"/>
        </w:rPr>
      </w:pPr>
      <w:r>
        <w:rPr>
          <w:rFonts w:hint="eastAsia" w:cs="Times New Roman"/>
          <w:b/>
          <w:color w:val="000000"/>
          <w:highlight w:val="none"/>
          <w:lang w:val="en-US" w:eastAsia="zh-CN"/>
        </w:rPr>
        <w:t>三、技术要求</w:t>
      </w:r>
    </w:p>
    <w:p>
      <w:pPr>
        <w:pStyle w:val="16"/>
        <w:ind w:firstLine="482"/>
        <w:rPr>
          <w:rFonts w:hint="eastAsia" w:cs="Times New Roman"/>
          <w:b/>
          <w:color w:val="000000"/>
          <w:highlight w:val="none"/>
          <w:lang w:val="en-US" w:eastAsia="zh-CN"/>
        </w:rPr>
      </w:pPr>
      <w:r>
        <w:rPr>
          <w:rFonts w:hint="eastAsia" w:cs="Times New Roman"/>
          <w:b/>
          <w:color w:val="000000"/>
          <w:highlight w:val="none"/>
          <w:lang w:val="en-US" w:eastAsia="zh-CN"/>
        </w:rPr>
        <w:t>（一）质量要求</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1.供应商提供的货物质量必须符合国家相关标准、行业标准及采购文件要求。</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提供的货物必须为原装出厂、正版、全新未启封、无污、表面无划痕、无缺陷隐患的产品，来源渠道合法，各项技术指标符合国家有关质量检测和环保标准，且无任何的侵权行为，所有货物在开箱检验时必须完好，无破损。</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合同期内，无论遇到任何原因导致的货物停产(包括但不限于货物出现质量问题、与设备机型不兼容等情况)，供应商需提前15日以书面形式向采购人说明情况，并在征求采购人书面同意后,提供等同于或优于原品牌型号且适用于相关设备的货物供采购人使用，且价格不得高于原品牌货物价格，不得断供。</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4.供应商保证若采购人目前在用设备因报废不再使用时，可将库存的耗材配件作退货或换货处理。</w:t>
      </w:r>
    </w:p>
    <w:p>
      <w:pPr>
        <w:pStyle w:val="16"/>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报价表中未列明品牌型号的货物品目，中标人必须提供正规厂家生产，涉及到的硒鼓、墨盒、色带、热敏纸、墨水、条码标签纸等须达到用户需求的商品。不得偷工减料、以次充好。中标人未能履行合同所定事项，或供应不合格的、假冒伪劣、以次充好的商品，采购人告知中标人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中标人必须无条件退货或更换商品</w:t>
      </w:r>
      <w:r>
        <w:rPr>
          <w:rFonts w:hint="eastAsia" w:ascii="宋体" w:hAnsi="宋体" w:cs="宋体"/>
          <w:sz w:val="21"/>
          <w:szCs w:val="21"/>
          <w:lang w:val="en-US" w:eastAsia="zh-CN"/>
        </w:rPr>
        <w:t>。</w:t>
      </w:r>
    </w:p>
    <w:p>
      <w:pPr>
        <w:pStyle w:val="16"/>
        <w:rPr>
          <w:rFonts w:hint="default" w:ascii="宋体" w:hAnsi="宋体" w:cs="宋体"/>
          <w:sz w:val="21"/>
          <w:szCs w:val="21"/>
          <w:lang w:val="en-US" w:eastAsia="zh-CN"/>
        </w:rPr>
      </w:pPr>
      <w:r>
        <w:rPr>
          <w:rFonts w:hint="eastAsia" w:ascii="宋体" w:hAnsi="宋体" w:cs="宋体"/>
          <w:sz w:val="21"/>
          <w:szCs w:val="21"/>
          <w:lang w:val="en-US" w:eastAsia="zh-CN"/>
        </w:rPr>
        <w:t>6.替代耗材产品须符合国家及用户提出的有关质量标准，对于硒鼓、墨盒等产品须具有良好的兼容性，并且不得损坏使用设备，如有损坏，须维修并赔偿相应的损失。</w:t>
      </w:r>
    </w:p>
    <w:p>
      <w:pPr>
        <w:pStyle w:val="16"/>
        <w:ind w:firstLine="482"/>
        <w:rPr>
          <w:rFonts w:hint="eastAsia" w:cs="Times New Roman"/>
          <w:b/>
          <w:color w:val="000000"/>
          <w:highlight w:val="none"/>
          <w:lang w:val="en-US" w:eastAsia="zh-CN"/>
        </w:rPr>
      </w:pPr>
      <w:r>
        <w:rPr>
          <w:rFonts w:hint="eastAsia" w:cs="Times New Roman"/>
          <w:b/>
          <w:color w:val="000000"/>
          <w:highlight w:val="none"/>
          <w:lang w:val="en-US" w:eastAsia="zh-CN"/>
        </w:rPr>
        <w:t>（二）配送要求</w:t>
      </w:r>
    </w:p>
    <w:p>
      <w:pPr>
        <w:pStyle w:val="16"/>
        <w:rPr>
          <w:rFonts w:hint="eastAsia" w:ascii="宋体" w:hAnsi="宋体" w:eastAsia="宋体" w:cs="宋体"/>
          <w:b/>
          <w:bCs/>
          <w:color w:val="auto"/>
          <w:kern w:val="2"/>
          <w:sz w:val="21"/>
          <w:szCs w:val="21"/>
          <w:lang w:val="en-US" w:eastAsia="zh-CN" w:bidi="ar-SA"/>
        </w:rPr>
      </w:pPr>
      <w:r>
        <w:rPr>
          <w:rFonts w:hint="eastAsia" w:ascii="宋体" w:hAnsi="宋体" w:eastAsia="宋体" w:cs="宋体"/>
          <w:sz w:val="21"/>
          <w:szCs w:val="21"/>
          <w:lang w:val="en-US" w:eastAsia="zh-CN"/>
        </w:rPr>
        <w:t>★1.本项目由采购人按科室需求订货，采购时按实际采购量定期结算，供货响应时间为4小时内，原则上下单之日起72小时内（含节假日）送达采购人指定地点。供应商应具备能响应和应对采购人临时突发的紧急供货需求，有应对的具体措施，及时完成供货的能力（急需物资为下单时起2小时内送达采购人指定地点），不得以各种理由推脱。</w:t>
      </w:r>
      <w:r>
        <w:rPr>
          <w:rFonts w:hint="eastAsia" w:ascii="宋体" w:hAnsi="宋体" w:eastAsia="宋体" w:cs="宋体"/>
          <w:b/>
          <w:bCs/>
          <w:color w:val="auto"/>
          <w:kern w:val="2"/>
          <w:sz w:val="21"/>
          <w:szCs w:val="21"/>
          <w:lang w:val="en-US" w:eastAsia="zh-CN" w:bidi="ar-SA"/>
        </w:rPr>
        <w:t>（提供承诺函并加盖供应商公章，格式见附件4）</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2.供应商应当保证货物的包装能适应远距离运输、防潮、防震、防锈等要求，确保货物安全无损地运抵交货地点。</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3.供应商提供的货物须按国家规定的标准及保护措施进行包装，包装材料、标识和随货资料应符合国家的有关要求。凡由于包装不良造成的损失和由此产生的费用均由供应商承担。</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4.供应商应具有应急保障配送方案，确保特殊情况下货物的正常供应服务，满足采购人需求。</w:t>
      </w:r>
    </w:p>
    <w:p>
      <w:pPr>
        <w:pageBreakBefore w:val="0"/>
        <w:widowControl w:val="0"/>
        <w:numPr>
          <w:ilvl w:val="0"/>
          <w:numId w:val="0"/>
        </w:numPr>
        <w:kinsoku/>
        <w:wordWrap/>
        <w:overflowPunct/>
        <w:topLinePunct w:val="0"/>
        <w:autoSpaceDE/>
        <w:autoSpaceDN/>
        <w:bidi w:val="0"/>
        <w:spacing w:line="340" w:lineRule="exact"/>
        <w:ind w:left="0" w:leftChars="0" w:firstLine="420" w:firstLineChars="0"/>
        <w:textAlignment w:val="auto"/>
        <w:rPr>
          <w:rFonts w:hint="eastAsia" w:ascii="宋体" w:hAnsi="宋体" w:cs="Times New Roman"/>
          <w:b/>
          <w:kern w:val="2"/>
          <w:sz w:val="24"/>
          <w:szCs w:val="24"/>
          <w:lang w:val="en-US" w:eastAsia="zh-CN" w:bidi="ar-SA"/>
        </w:rPr>
      </w:pPr>
    </w:p>
    <w:p>
      <w:pPr>
        <w:pStyle w:val="16"/>
        <w:ind w:firstLine="482"/>
        <w:rPr>
          <w:rFonts w:hint="eastAsia" w:ascii="Times New Roman" w:hAnsi="Times New Roman" w:eastAsia="宋体" w:cs="Times New Roman"/>
          <w:b/>
          <w:color w:val="000000"/>
          <w:highlight w:val="none"/>
          <w:lang w:val="en-US" w:eastAsia="zh-CN"/>
        </w:rPr>
      </w:pPr>
      <w:r>
        <w:rPr>
          <w:rFonts w:hint="eastAsia" w:cs="Times New Roman"/>
          <w:b/>
          <w:color w:val="000000"/>
          <w:highlight w:val="none"/>
          <w:lang w:val="en-US" w:eastAsia="zh-CN"/>
        </w:rPr>
        <w:t>四、</w:t>
      </w:r>
      <w:r>
        <w:rPr>
          <w:rFonts w:hint="eastAsia" w:ascii="Times New Roman" w:hAnsi="Times New Roman" w:eastAsia="宋体" w:cs="Times New Roman"/>
          <w:b/>
          <w:color w:val="000000"/>
          <w:highlight w:val="none"/>
          <w:lang w:val="en-US" w:eastAsia="zh-CN"/>
        </w:rPr>
        <w:t>商务要求</w:t>
      </w:r>
    </w:p>
    <w:p>
      <w:pPr>
        <w:pStyle w:val="3"/>
        <w:rPr>
          <w:rFonts w:hint="default"/>
          <w:lang w:val="en-US" w:eastAsia="zh-CN"/>
        </w:rPr>
      </w:pPr>
    </w:p>
    <w:tbl>
      <w:tblPr>
        <w:tblStyle w:val="13"/>
        <w:tblW w:w="859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5"/>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725" w:type="dxa"/>
            <w:vAlign w:val="center"/>
          </w:tcPr>
          <w:p>
            <w:pPr>
              <w:pStyle w:val="17"/>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合同履行期限</w:t>
            </w:r>
          </w:p>
        </w:tc>
        <w:tc>
          <w:tcPr>
            <w:tcW w:w="6865" w:type="dxa"/>
            <w:vAlign w:val="top"/>
          </w:tcPr>
          <w:p>
            <w:pPr>
              <w:pStyle w:val="17"/>
              <w:pageBreakBefore w:val="0"/>
              <w:kinsoku/>
              <w:overflowPunct/>
              <w:bidi w:val="0"/>
              <w:spacing w:line="360" w:lineRule="auto"/>
              <w:jc w:val="lef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1年（具体起止时间以合同约定为准或支付金额累计达到预算金额，以先到达的为准）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25" w:type="dxa"/>
            <w:vAlign w:val="center"/>
          </w:tcPr>
          <w:p>
            <w:pPr>
              <w:pStyle w:val="17"/>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6865" w:type="dxa"/>
            <w:vAlign w:val="top"/>
          </w:tcPr>
          <w:p>
            <w:pPr>
              <w:pStyle w:val="17"/>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25" w:type="dxa"/>
            <w:vAlign w:val="center"/>
          </w:tcPr>
          <w:p>
            <w:pPr>
              <w:pStyle w:val="17"/>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6865" w:type="dxa"/>
            <w:vAlign w:val="top"/>
          </w:tcPr>
          <w:p>
            <w:pPr>
              <w:pStyle w:val="17"/>
              <w:pageBreakBefore w:val="0"/>
              <w:kinsoku/>
              <w:overflowPunct/>
              <w:bidi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725" w:type="dxa"/>
            <w:vAlign w:val="center"/>
          </w:tcPr>
          <w:p>
            <w:pPr>
              <w:pStyle w:val="17"/>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6865" w:type="dxa"/>
            <w:vAlign w:val="top"/>
          </w:tcPr>
          <w:p>
            <w:pPr>
              <w:pStyle w:val="16"/>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本合同的款项以人民币银行转账方式支付；</w:t>
            </w:r>
          </w:p>
          <w:p>
            <w:pPr>
              <w:pStyle w:val="16"/>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（1）按实际采购数量进行结算，每季度结算一次；</w:t>
            </w:r>
          </w:p>
          <w:p>
            <w:pPr>
              <w:pStyle w:val="16"/>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（2）供应商开具全额发票，采购人在收到成交供应商的款项发票等申请资料且核对无误，经验收合格后方可进行支付，从收到发票当天算起60日内支付款项；</w:t>
            </w:r>
          </w:p>
          <w:p>
            <w:pPr>
              <w:pStyle w:val="16"/>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trPr>
        <w:tc>
          <w:tcPr>
            <w:tcW w:w="1725" w:type="dxa"/>
            <w:vAlign w:val="center"/>
          </w:tcPr>
          <w:p>
            <w:pPr>
              <w:pStyle w:val="17"/>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履约保证金</w:t>
            </w:r>
          </w:p>
        </w:tc>
        <w:tc>
          <w:tcPr>
            <w:tcW w:w="6865" w:type="dxa"/>
            <w:vAlign w:val="top"/>
          </w:tcPr>
          <w:p>
            <w:pPr>
              <w:pStyle w:val="17"/>
              <w:pageBreakBefore w:val="0"/>
              <w:kinsoku/>
              <w:overflowPunct/>
              <w:bidi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725"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ascii="Times New Roman" w:hAnsi="Times New Roman" w:eastAsia="宋体" w:cs="Tahoma"/>
                <w:b/>
                <w:bCs/>
                <w:color w:val="000000"/>
                <w:kern w:val="28"/>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报价说明</w:t>
            </w:r>
          </w:p>
        </w:tc>
        <w:tc>
          <w:tcPr>
            <w:tcW w:w="6865" w:type="dxa"/>
            <w:vAlign w:val="top"/>
          </w:tcPr>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（1）以统一折扣率进行报价，统一折扣率必须为固定报价，不能为区间值。统一折扣率报价范围为</w:t>
            </w:r>
            <w:r>
              <w:rPr>
                <w:rFonts w:hint="eastAsia" w:ascii="宋体" w:hAnsi="宋体" w:cs="宋体"/>
                <w:kern w:val="2"/>
                <w:sz w:val="21"/>
                <w:szCs w:val="21"/>
                <w:lang w:val="en-US" w:eastAsia="zh-CN" w:bidi="ar-SA"/>
              </w:rPr>
              <w:t>0-100</w:t>
            </w:r>
            <w:r>
              <w:rPr>
                <w:rFonts w:hint="eastAsia" w:ascii="宋体" w:hAnsi="宋体" w:eastAsia="宋体" w:cs="宋体"/>
                <w:kern w:val="2"/>
                <w:sz w:val="21"/>
                <w:szCs w:val="21"/>
                <w:lang w:val="en-US" w:eastAsia="zh-CN" w:bidi="ar-SA"/>
              </w:rPr>
              <w:t>%且不为0。统一折扣率在本项目服务期内不作调整；</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（2）响应报价包括货物、配送、质保期服务费、各项税费、合同实施过程中不可预见费用等完成本次采购项下的全部费用；</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（3）结算金额=实际采购量×单价最高限价×成交统一折扣率。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28" w:hRule="atLeast"/>
        </w:trPr>
        <w:tc>
          <w:tcPr>
            <w:tcW w:w="1725" w:type="dxa"/>
            <w:vAlign w:val="center"/>
          </w:tcPr>
          <w:p>
            <w:pPr>
              <w:pStyle w:val="17"/>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eastAsia="zh-CN"/>
              </w:rPr>
              <w:t>验收要求</w:t>
            </w:r>
          </w:p>
        </w:tc>
        <w:tc>
          <w:tcPr>
            <w:tcW w:w="6865" w:type="dxa"/>
            <w:vAlign w:val="top"/>
          </w:tcPr>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货物到达采购人交货地点时，双方共同验收，采购人按国家相关标准、行业标准及项目要求进行验收，并核对供货清单与订货通知单是否一致，确认货物符合要求后采购人在供货清单上签字，双方各执一份，用作结算凭据。</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验收过程中发现供应商所交付的货物有短缺、次品、损坏或其他不符合项目要求的，采购人有权拒收，供应商须在采购人规定时间内无条件退换货物，由此产生的一切费用均由供应商承担，如因此而影响到采购人且造成损失的，由供应商负责赔偿，并作违约处理。</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（3）货物通过验收后，采购人在使用过程中发现质量问题的，供应商必须承担其货物质量的责任和义务,包括但不限于退货或更换。</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（4）供应商提供的货物如有质量问题而发生争议，由采购人指定具备相应资质的权威机构进行质量鉴定。鉴定后货物符合质量标准的，鉴定费用由采购人承担。货物不符合质量标准的，鉴定费用由供应商承担。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59" w:hRule="atLeast"/>
        </w:trPr>
        <w:tc>
          <w:tcPr>
            <w:tcW w:w="1725" w:type="dxa"/>
            <w:vAlign w:val="center"/>
          </w:tcPr>
          <w:p>
            <w:pPr>
              <w:pStyle w:val="17"/>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质保期及售后服务</w:t>
            </w:r>
          </w:p>
        </w:tc>
        <w:tc>
          <w:tcPr>
            <w:tcW w:w="6865" w:type="dxa"/>
            <w:vAlign w:val="top"/>
          </w:tcPr>
          <w:p>
            <w:pPr>
              <w:pageBreakBefore w:val="0"/>
              <w:widowControl w:val="0"/>
              <w:numPr>
                <w:ilvl w:val="0"/>
                <w:numId w:val="0"/>
              </w:numPr>
              <w:kinsoku/>
              <w:wordWrap/>
              <w:overflowPunct/>
              <w:topLinePunct w:val="0"/>
              <w:autoSpaceDE/>
              <w:autoSpaceDN/>
              <w:bidi w:val="0"/>
              <w:spacing w:line="340" w:lineRule="exact"/>
              <w:ind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）质保要求:供应商提供的所有耗材和配件需为原厂正货，并需在验收时向采购人提供所有耗材及配件的原包装以便查询其正货来源;配件保修期为一年</w:t>
            </w:r>
            <w:r>
              <w:rPr>
                <w:rFonts w:hint="eastAsia" w:ascii="宋体" w:hAnsi="宋体" w:cs="宋体"/>
                <w:kern w:val="2"/>
                <w:sz w:val="21"/>
                <w:szCs w:val="21"/>
                <w:lang w:val="en-US" w:eastAsia="zh-CN" w:bidi="ar-SA"/>
              </w:rPr>
              <w:t>。</w:t>
            </w:r>
          </w:p>
          <w:p>
            <w:pPr>
              <w:pageBreakBefore w:val="0"/>
              <w:widowControl w:val="0"/>
              <w:numPr>
                <w:ilvl w:val="0"/>
                <w:numId w:val="0"/>
              </w:numPr>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（2）在质保期内，如货物非因采购人的人为原因而出现质量问题，供应商需在3个工作日内完成退换货。若采购人紧急使用时，供应商收到应在24小时内完成退换。</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（3）在产品使用过程中，如出现质量问题或产品与采购人设备机型不兼容的情况，采购人有权要求供应商无条件更换其它品牌的产品。</w:t>
            </w:r>
          </w:p>
          <w:p>
            <w:pPr>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（4）如因供应商提供的货物导致采购人设备出现故障的，供应商必须及时配合修复，如故障无法修复的，供应商须赔偿采购人损失。</w:t>
            </w:r>
          </w:p>
        </w:tc>
      </w:tr>
    </w:tbl>
    <w:p>
      <w:pPr>
        <w:rPr>
          <w:rFonts w:hint="default"/>
          <w:lang w:val="en-US" w:eastAsia="zh-CN"/>
        </w:rPr>
      </w:pPr>
    </w:p>
    <w:p>
      <w:pPr>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230A3"/>
    <w:rsid w:val="00BA4B65"/>
    <w:rsid w:val="02976BEA"/>
    <w:rsid w:val="03601DB0"/>
    <w:rsid w:val="04AD0E60"/>
    <w:rsid w:val="0889420E"/>
    <w:rsid w:val="08E40D24"/>
    <w:rsid w:val="0A2466CB"/>
    <w:rsid w:val="13081541"/>
    <w:rsid w:val="14331E76"/>
    <w:rsid w:val="15D051B2"/>
    <w:rsid w:val="16696F1B"/>
    <w:rsid w:val="17DD35DB"/>
    <w:rsid w:val="188E6CFD"/>
    <w:rsid w:val="1A994E79"/>
    <w:rsid w:val="1DC0212E"/>
    <w:rsid w:val="1EA13769"/>
    <w:rsid w:val="23D80340"/>
    <w:rsid w:val="241966FE"/>
    <w:rsid w:val="279551AB"/>
    <w:rsid w:val="29DC0639"/>
    <w:rsid w:val="308F45B0"/>
    <w:rsid w:val="33165750"/>
    <w:rsid w:val="338C56DB"/>
    <w:rsid w:val="382C6316"/>
    <w:rsid w:val="3C46700B"/>
    <w:rsid w:val="3CBD77A5"/>
    <w:rsid w:val="40070416"/>
    <w:rsid w:val="43A93D0E"/>
    <w:rsid w:val="455427B3"/>
    <w:rsid w:val="476B49C4"/>
    <w:rsid w:val="4A926123"/>
    <w:rsid w:val="4E786D8B"/>
    <w:rsid w:val="4EEA4116"/>
    <w:rsid w:val="526C3CB6"/>
    <w:rsid w:val="56AF5F6B"/>
    <w:rsid w:val="578735B4"/>
    <w:rsid w:val="59345B1F"/>
    <w:rsid w:val="5B0C0730"/>
    <w:rsid w:val="5E7C5DAB"/>
    <w:rsid w:val="5FFF33D3"/>
    <w:rsid w:val="61923E63"/>
    <w:rsid w:val="61F80789"/>
    <w:rsid w:val="62E8112D"/>
    <w:rsid w:val="69691FBB"/>
    <w:rsid w:val="69B87242"/>
    <w:rsid w:val="6A6475C2"/>
    <w:rsid w:val="71E04502"/>
    <w:rsid w:val="72BD2FC1"/>
    <w:rsid w:val="735B257D"/>
    <w:rsid w:val="74867C34"/>
    <w:rsid w:val="769564EE"/>
    <w:rsid w:val="76A87C27"/>
    <w:rsid w:val="7A366E4D"/>
    <w:rsid w:val="7B4E4F04"/>
    <w:rsid w:val="7CE01AFB"/>
    <w:rsid w:val="7E6230A3"/>
    <w:rsid w:val="7EB61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4">
    <w:name w:val="heading 2"/>
    <w:basedOn w:val="1"/>
    <w:next w:val="5"/>
    <w:qFormat/>
    <w:uiPriority w:val="0"/>
    <w:pPr>
      <w:keepNext/>
      <w:keepLines/>
      <w:adjustRightInd w:val="0"/>
      <w:snapToGrid w:val="0"/>
      <w:spacing w:before="156" w:beforeLines="50" w:after="156" w:afterLines="50" w:line="360" w:lineRule="exact"/>
      <w:outlineLvl w:val="1"/>
    </w:pPr>
    <w:rPr>
      <w:rFonts w:ascii="宋体" w:hAnsi="Arial"/>
      <w:b/>
      <w:sz w:val="24"/>
      <w:szCs w:val="24"/>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jc w:val="both"/>
    </w:pPr>
    <w:rPr>
      <w:kern w:val="2"/>
      <w:sz w:val="28"/>
    </w:rPr>
  </w:style>
  <w:style w:type="paragraph" w:styleId="5">
    <w:name w:val="Normal Indent"/>
    <w:basedOn w:val="1"/>
    <w:qFormat/>
    <w:uiPriority w:val="0"/>
    <w:pPr>
      <w:ind w:left="720"/>
    </w:pPr>
  </w:style>
  <w:style w:type="paragraph" w:styleId="6">
    <w:name w:val="Body Text First Indent"/>
    <w:basedOn w:val="2"/>
    <w:next w:val="7"/>
    <w:qFormat/>
    <w:uiPriority w:val="0"/>
    <w:pPr>
      <w:spacing w:after="120" w:line="240" w:lineRule="auto"/>
      <w:ind w:firstLine="100" w:firstLineChars="100"/>
    </w:pPr>
    <w:rPr>
      <w:szCs w:val="24"/>
    </w:rPr>
  </w:style>
  <w:style w:type="paragraph" w:styleId="7">
    <w:name w:val="Body Text First Indent 2"/>
    <w:basedOn w:val="8"/>
    <w:next w:val="1"/>
    <w:qFormat/>
    <w:uiPriority w:val="0"/>
    <w:pPr>
      <w:spacing w:after="120"/>
      <w:ind w:left="200" w:leftChars="200" w:firstLine="200" w:firstLineChars="200"/>
    </w:pPr>
    <w:rPr>
      <w:rFonts w:ascii="Times New Roman" w:eastAsia="宋体"/>
      <w:sz w:val="21"/>
      <w:szCs w:val="24"/>
    </w:rPr>
  </w:style>
  <w:style w:type="paragraph" w:styleId="8">
    <w:name w:val="Body Text Indent"/>
    <w:basedOn w:val="1"/>
    <w:qFormat/>
    <w:uiPriority w:val="0"/>
    <w:pPr>
      <w:ind w:firstLine="352" w:firstLineChars="352"/>
    </w:pPr>
    <w:rPr>
      <w:rFonts w:ascii="仿宋_GB2312" w:eastAsia="仿宋_GB2312"/>
      <w:sz w:val="32"/>
      <w:szCs w:val="20"/>
    </w:rPr>
  </w:style>
  <w:style w:type="paragraph" w:styleId="9">
    <w:name w:val="annotation text"/>
    <w:basedOn w:val="1"/>
    <w:qFormat/>
    <w:uiPriority w:val="99"/>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Default"/>
    <w:next w:val="15"/>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表格文字"/>
    <w:basedOn w:val="1"/>
    <w:next w:val="2"/>
    <w:qFormat/>
    <w:uiPriority w:val="0"/>
    <w:pPr>
      <w:widowControl w:val="0"/>
      <w:spacing w:before="25" w:beforeLines="0" w:after="25" w:afterLines="0" w:line="300" w:lineRule="auto"/>
      <w:jc w:val="both"/>
    </w:pPr>
    <w:rPr>
      <w:rFonts w:ascii="Times" w:hAnsi="Times"/>
      <w:spacing w:val="10"/>
      <w:sz w:val="24"/>
    </w:rPr>
  </w:style>
  <w:style w:type="paragraph" w:customStyle="1" w:styleId="16">
    <w:name w:val="投标正文小四"/>
    <w:basedOn w:val="1"/>
    <w:qFormat/>
    <w:uiPriority w:val="0"/>
    <w:pPr>
      <w:spacing w:line="360" w:lineRule="auto"/>
      <w:ind w:firstLine="200" w:firstLineChars="200"/>
    </w:pPr>
    <w:rPr>
      <w:sz w:val="24"/>
    </w:r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18">
    <w:name w:val="font31"/>
    <w:basedOn w:val="12"/>
    <w:qFormat/>
    <w:uiPriority w:val="0"/>
    <w:rPr>
      <w:rFonts w:hint="eastAsia" w:ascii="宋体" w:hAnsi="宋体" w:eastAsia="宋体" w:cs="宋体"/>
      <w:color w:val="000000"/>
      <w:sz w:val="21"/>
      <w:szCs w:val="21"/>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4628</Words>
  <Characters>6594</Characters>
  <Lines>0</Lines>
  <Paragraphs>0</Paragraphs>
  <TotalTime>0</TotalTime>
  <ScaleCrop>false</ScaleCrop>
  <LinksUpToDate>false</LinksUpToDate>
  <CharactersWithSpaces>6623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2025-02-24T01:22:00Z</dcterms:created>
  <dc:creator>Administrator</dc:creator>
  <cp:lastModifiedBy>赖宇娟</cp:lastModifiedBy>
  <dcterms:modified xsi:type="dcterms:W3CDTF">2026-03-09T02:44:07Z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DCA116BD51F44D5E8DAF9CC052249F77_13</vt:lpwstr>
  </property>
  <property fmtid="{D5CDD505-2E9C-101B-9397-08002B2CF9AE}" pid="4" name="KSOTemplateDocerSaveRecord">
    <vt:lpwstr>eyJoZGlkIjoiMWI5YjhjZTgyYjA0MTZiOWQyMWYxMzY2YmQxZWZmOGMiLCJ1c2VySWQiOiIxNzM2MzI2MDg1In0=</vt:lpwstr>
  </property>
</Properties>
</file>