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0"/>
          <w:szCs w:val="30"/>
        </w:rPr>
      </w:pPr>
      <w:r>
        <w:rPr>
          <w:rFonts w:hint="eastAsia"/>
          <w:b/>
          <w:sz w:val="30"/>
          <w:szCs w:val="30"/>
        </w:rPr>
        <w:t>附件1：</w:t>
      </w:r>
    </w:p>
    <w:p>
      <w:pPr>
        <w:jc w:val="center"/>
        <w:rPr>
          <w:b/>
          <w:sz w:val="36"/>
          <w:szCs w:val="36"/>
        </w:rPr>
      </w:pPr>
      <w:r>
        <w:rPr>
          <w:rFonts w:hint="eastAsia"/>
          <w:b/>
          <w:sz w:val="36"/>
          <w:szCs w:val="36"/>
        </w:rPr>
        <w:t>用户需求书</w:t>
      </w:r>
    </w:p>
    <w:p>
      <w:pPr>
        <w:ind w:firstLine="562" w:firstLineChars="200"/>
        <w:rPr>
          <w:b/>
          <w:sz w:val="28"/>
          <w:szCs w:val="28"/>
        </w:rPr>
      </w:pPr>
      <w:bookmarkStart w:id="0" w:name="文字29"/>
      <w:bookmarkStart w:id="1" w:name="_Toc37670350"/>
      <w:bookmarkStart w:id="2" w:name="_Toc49329250"/>
      <w:r>
        <w:rPr>
          <w:rFonts w:hint="eastAsia"/>
          <w:b/>
          <w:sz w:val="28"/>
          <w:szCs w:val="28"/>
        </w:rPr>
        <w:t>一、项目概况</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为保证我院制剂用药用原辅料的稳定供应，统一规范管理，保障医院制剂生产的正常运作，拟采购制剂用药用原辅料（内包装材料）。</w:t>
      </w:r>
    </w:p>
    <w:p>
      <w:pPr>
        <w:ind w:firstLine="562" w:firstLineChars="200"/>
        <w:rPr>
          <w:b/>
          <w:sz w:val="28"/>
          <w:szCs w:val="28"/>
        </w:rPr>
      </w:pPr>
      <w:r>
        <w:rPr>
          <w:rFonts w:hint="eastAsia"/>
          <w:b/>
          <w:sz w:val="28"/>
          <w:szCs w:val="28"/>
        </w:rPr>
        <w:t>二、项目要求</w:t>
      </w:r>
    </w:p>
    <w:p>
      <w:pPr>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供应商提供所投产品在国家药品监督管理局药品审评中心（网址：www.cde.org.cn）→信息公开→原辅包登记信息，与制剂共同审评审批结果为“A”。</w:t>
      </w:r>
      <w:r>
        <w:rPr>
          <w:rFonts w:hint="eastAsia" w:asciiTheme="minorEastAsia" w:hAnsiTheme="minorEastAsia" w:eastAsiaTheme="minorEastAsia"/>
          <w:b/>
          <w:bCs/>
          <w:sz w:val="28"/>
          <w:szCs w:val="28"/>
        </w:rPr>
        <w:t>（提供截图，格式详见附件2）</w:t>
      </w:r>
    </w:p>
    <w:p>
      <w:pPr>
        <w:ind w:firstLine="562" w:firstLineChars="200"/>
        <w:jc w:val="left"/>
        <w:rPr>
          <w:rFonts w:ascii="宋体" w:hAnsi="宋体"/>
          <w:b/>
          <w:sz w:val="28"/>
        </w:rPr>
      </w:pPr>
      <w:r>
        <w:rPr>
          <w:rFonts w:hint="eastAsia" w:ascii="宋体" w:hAnsi="宋体"/>
          <w:b/>
          <w:sz w:val="28"/>
        </w:rPr>
        <w:t>三、采购内容</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1.采购制剂用药用原辅料（内包装材料），详见采购清单。</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2.采购标的提供时间: 分批分次不定时送货。</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3.采购数量以实际采购数量为准。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采购清单</w:t>
      </w:r>
      <w:r>
        <w:rPr>
          <w:rFonts w:hint="eastAsia" w:asciiTheme="minorEastAsia" w:hAnsiTheme="minorEastAsia" w:eastAsiaTheme="minorEastAsia"/>
          <w:sz w:val="28"/>
          <w:szCs w:val="28"/>
          <w:lang w:eastAsia="zh-CN"/>
        </w:rPr>
        <w:t>：</w:t>
      </w:r>
    </w:p>
    <w:tbl>
      <w:tblPr>
        <w:tblStyle w:val="17"/>
        <w:tblW w:w="9356" w:type="dxa"/>
        <w:tblInd w:w="250" w:type="dxa"/>
        <w:tblLayout w:type="fixed"/>
        <w:tblCellMar>
          <w:top w:w="0" w:type="dxa"/>
          <w:left w:w="108" w:type="dxa"/>
          <w:bottom w:w="0" w:type="dxa"/>
          <w:right w:w="108" w:type="dxa"/>
        </w:tblCellMar>
      </w:tblPr>
      <w:tblGrid>
        <w:gridCol w:w="1985"/>
        <w:gridCol w:w="1559"/>
        <w:gridCol w:w="992"/>
        <w:gridCol w:w="1701"/>
        <w:gridCol w:w="1559"/>
        <w:gridCol w:w="1560"/>
      </w:tblGrid>
      <w:tr>
        <w:tblPrEx>
          <w:tblLayout w:type="fixed"/>
          <w:tblCellMar>
            <w:top w:w="0" w:type="dxa"/>
            <w:left w:w="108" w:type="dxa"/>
            <w:bottom w:w="0" w:type="dxa"/>
            <w:right w:w="108" w:type="dxa"/>
          </w:tblCellMar>
        </w:tblPrEx>
        <w:trPr>
          <w:trHeight w:val="532"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型号</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2026年计划量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执行标准</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原辅料分类</w:t>
            </w:r>
          </w:p>
        </w:tc>
      </w:tr>
      <w:tr>
        <w:tblPrEx>
          <w:tblLayout w:type="fixed"/>
          <w:tblCellMar>
            <w:top w:w="0" w:type="dxa"/>
            <w:left w:w="108" w:type="dxa"/>
            <w:bottom w:w="0" w:type="dxa"/>
            <w:right w:w="108" w:type="dxa"/>
          </w:tblCellMar>
        </w:tblPrEx>
        <w:trPr>
          <w:trHeight w:val="378"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明胶空心胶囊</w:t>
            </w:r>
          </w:p>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(全绿)</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万粒</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66</w:t>
            </w:r>
          </w:p>
        </w:tc>
        <w:tc>
          <w:tcPr>
            <w:tcW w:w="155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《中国药典》2025年版</w:t>
            </w:r>
          </w:p>
        </w:tc>
        <w:tc>
          <w:tcPr>
            <w:tcW w:w="156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378"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明胶空心胶囊（桔红）</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万粒</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180</w:t>
            </w:r>
          </w:p>
        </w:tc>
        <w:tc>
          <w:tcPr>
            <w:tcW w:w="1559"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p>
        </w:tc>
        <w:tc>
          <w:tcPr>
            <w:tcW w:w="156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p>
        </w:tc>
      </w:tr>
      <w:tr>
        <w:tblPrEx>
          <w:tblLayout w:type="fixed"/>
          <w:tblCellMar>
            <w:top w:w="0" w:type="dxa"/>
            <w:left w:w="108" w:type="dxa"/>
            <w:bottom w:w="0" w:type="dxa"/>
            <w:right w:w="108" w:type="dxa"/>
          </w:tblCellMar>
        </w:tblPrEx>
        <w:trPr>
          <w:trHeight w:val="378"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明胶空心胶囊（红黄）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万粒</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559" w:type="dxa"/>
            <w:vMerge w:val="continue"/>
            <w:tcBorders>
              <w:left w:val="single" w:color="auto" w:sz="4" w:space="0"/>
              <w:right w:val="single" w:color="auto" w:sz="4" w:space="0"/>
            </w:tcBorders>
            <w:shd w:val="clear" w:color="auto" w:fill="auto"/>
            <w:vAlign w:val="center"/>
          </w:tcPr>
          <w:p>
            <w:pPr>
              <w:widowControl/>
              <w:rPr>
                <w:rFonts w:ascii="宋体" w:hAnsi="宋体" w:cs="宋体"/>
                <w:color w:val="000000" w:themeColor="text1"/>
                <w:kern w:val="0"/>
                <w:sz w:val="24"/>
              </w:rPr>
            </w:pPr>
          </w:p>
        </w:tc>
        <w:tc>
          <w:tcPr>
            <w:tcW w:w="156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p>
        </w:tc>
      </w:tr>
      <w:tr>
        <w:tblPrEx>
          <w:tblLayout w:type="fixed"/>
          <w:tblCellMar>
            <w:top w:w="0" w:type="dxa"/>
            <w:left w:w="108" w:type="dxa"/>
            <w:bottom w:w="0" w:type="dxa"/>
            <w:right w:w="108" w:type="dxa"/>
          </w:tblCellMar>
        </w:tblPrEx>
        <w:trPr>
          <w:trHeight w:val="378"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明胶空心胶囊（红黄）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万粒</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120</w:t>
            </w:r>
          </w:p>
        </w:tc>
        <w:tc>
          <w:tcPr>
            <w:tcW w:w="1559"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24"/>
              </w:rPr>
            </w:pPr>
          </w:p>
        </w:tc>
        <w:tc>
          <w:tcPr>
            <w:tcW w:w="156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p>
        </w:tc>
      </w:tr>
      <w:bookmarkEnd w:id="0"/>
      <w:bookmarkEnd w:id="1"/>
      <w:bookmarkEnd w:id="2"/>
    </w:tbl>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四、质量要求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1.供应商需提供2种颜色(全绿、桔红)的明胶空心胶囊0#。</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2.在合同期内，供应商每次供货的货物颜色须保持一致，如有特殊情况，货物颜色有变化，需提前告知采购人。</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3.供应商</w:t>
      </w:r>
      <w:r>
        <w:rPr>
          <w:rFonts w:asciiTheme="minorEastAsia" w:hAnsiTheme="minorEastAsia" w:eastAsiaTheme="minorEastAsia"/>
          <w:sz w:val="28"/>
          <w:szCs w:val="28"/>
        </w:rPr>
        <w:t>应提供符合国家药品质量标准的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，交货时</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剩余</w:t>
      </w:r>
      <w:r>
        <w:rPr>
          <w:rFonts w:asciiTheme="minorEastAsia" w:hAnsiTheme="minorEastAsia" w:eastAsiaTheme="minorEastAsia"/>
          <w:sz w:val="28"/>
          <w:szCs w:val="28"/>
        </w:rPr>
        <w:t>有效期</w:t>
      </w:r>
      <w:r>
        <w:rPr>
          <w:rFonts w:hint="eastAsia" w:asciiTheme="minorEastAsia" w:hAnsiTheme="minorEastAsia" w:eastAsiaTheme="minorEastAsia"/>
          <w:sz w:val="28"/>
          <w:szCs w:val="28"/>
        </w:rPr>
        <w:t>必</w:t>
      </w:r>
      <w:r>
        <w:rPr>
          <w:rFonts w:asciiTheme="minorEastAsia" w:hAnsiTheme="minorEastAsia" w:eastAsiaTheme="minorEastAsia"/>
          <w:sz w:val="28"/>
          <w:szCs w:val="28"/>
        </w:rPr>
        <w:t>须≥1年，如确有近效期</w:t>
      </w:r>
      <w:r>
        <w:rPr>
          <w:rFonts w:hint="eastAsia" w:asciiTheme="minorEastAsia" w:hAnsiTheme="minorEastAsia" w:eastAsiaTheme="minorEastAsia"/>
          <w:sz w:val="28"/>
          <w:szCs w:val="28"/>
        </w:rPr>
        <w:t>（1年内）</w:t>
      </w:r>
      <w:r>
        <w:rPr>
          <w:rFonts w:asciiTheme="minorEastAsia" w:hAnsiTheme="minorEastAsia" w:eastAsiaTheme="minorEastAsia"/>
          <w:sz w:val="28"/>
          <w:szCs w:val="28"/>
        </w:rPr>
        <w:t>的须在发货前与采购人进行沟通。同一</w:t>
      </w:r>
      <w:r>
        <w:rPr>
          <w:rFonts w:hint="eastAsia" w:asciiTheme="minorEastAsia" w:hAnsiTheme="minorEastAsia" w:eastAsiaTheme="minorEastAsia"/>
          <w:sz w:val="28"/>
          <w:szCs w:val="28"/>
        </w:rPr>
        <w:t>送货批次货物</w:t>
      </w:r>
      <w:r>
        <w:rPr>
          <w:rFonts w:asciiTheme="minorEastAsia" w:hAnsiTheme="minorEastAsia" w:eastAsiaTheme="minorEastAsia"/>
          <w:sz w:val="28"/>
          <w:szCs w:val="28"/>
        </w:rPr>
        <w:t>保证是同一批号的产品，如确有不止一个批号的须在发货前与采购人进行沟通。</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货物的包装、标签和说明书必须符合有关规定和运输要求，具有生产厂家提供的产品合格证，包装上应有品名、规格、执行标准、生产批号、生产企业、生产日期的标签，包装需完整、牢固，无受潮、水浸污染或破损等异常包装。</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五、服务要求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w:t>
      </w:r>
      <w:r>
        <w:rPr>
          <w:rFonts w:asciiTheme="minorEastAsia" w:hAnsiTheme="minorEastAsia" w:eastAsiaTheme="minorEastAsia"/>
          <w:sz w:val="28"/>
          <w:szCs w:val="28"/>
        </w:rPr>
        <w:t>配送的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送达</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指定地点后，待采购人相关人员验收无误后方可离开，对不符合合同要求的，采购人有权拒绝签收</w:t>
      </w:r>
      <w:r>
        <w:rPr>
          <w:rFonts w:hint="eastAsia" w:asciiTheme="minorEastAsia" w:hAnsiTheme="minorEastAsia" w:eastAsiaTheme="minorEastAsia"/>
          <w:sz w:val="28"/>
          <w:szCs w:val="28"/>
        </w:rPr>
        <w:t>，供应商应在3天内进行更换、补充，并不得影响采购人的使用需求</w:t>
      </w:r>
      <w:r>
        <w:rPr>
          <w:rFonts w:asciiTheme="minorEastAsia" w:hAnsiTheme="minorEastAsia" w:eastAsiaTheme="minorEastAsia"/>
          <w:sz w:val="28"/>
          <w:szCs w:val="28"/>
        </w:rPr>
        <w:t>。</w:t>
      </w:r>
    </w:p>
    <w:p>
      <w:pPr>
        <w:ind w:firstLine="560" w:firstLineChars="200"/>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sz w:val="28"/>
          <w:szCs w:val="28"/>
        </w:rPr>
        <w:t>2.供应商配送货物的时间、品种、规格、数量等必须严格按照采购人发送的订单执行</w:t>
      </w:r>
      <w:r>
        <w:rPr>
          <w:rFonts w:hint="eastAsia" w:asciiTheme="minorEastAsia" w:hAnsiTheme="minorEastAsia" w:eastAsiaTheme="minorEastAsia"/>
          <w:color w:val="000000" w:themeColor="text1"/>
          <w:sz w:val="28"/>
          <w:szCs w:val="28"/>
        </w:rPr>
        <w:t>。</w:t>
      </w:r>
    </w:p>
    <w:p>
      <w:pPr>
        <w:ind w:firstLine="562" w:firstLineChars="200"/>
        <w:rPr>
          <w:rFonts w:hint="eastAsia" w:asciiTheme="minorEastAsia" w:hAnsiTheme="minorEastAsia" w:eastAsiaTheme="minorEastAsia"/>
          <w:b/>
          <w:bCs/>
          <w:color w:val="000000" w:themeColor="text1"/>
          <w:sz w:val="28"/>
          <w:szCs w:val="28"/>
          <w:lang w:eastAsia="zh-CN"/>
        </w:rPr>
      </w:pPr>
      <w:r>
        <w:rPr>
          <w:rFonts w:hint="eastAsia" w:asciiTheme="minorEastAsia" w:hAnsiTheme="minorEastAsia" w:eastAsiaTheme="minorEastAsia"/>
          <w:b/>
          <w:bCs/>
          <w:color w:val="000000" w:themeColor="text1"/>
          <w:sz w:val="28"/>
          <w:szCs w:val="28"/>
          <w:lang w:eastAsia="zh-CN"/>
        </w:rPr>
        <w:t>六、报价要求</w:t>
      </w:r>
    </w:p>
    <w:p>
      <w:pPr>
        <w:ind w:firstLine="560" w:firstLineChars="200"/>
        <w:rPr>
          <w:rFonts w:hint="eastAsia" w:asciiTheme="minorEastAsia" w:hAnsiTheme="minorEastAsia" w:eastAsiaTheme="minorEastAsia"/>
          <w:color w:val="000000" w:themeColor="text1"/>
          <w:sz w:val="28"/>
          <w:szCs w:val="28"/>
          <w:lang w:eastAsia="zh-CN"/>
        </w:rPr>
      </w:pPr>
      <w:r>
        <w:rPr>
          <w:rFonts w:hint="eastAsia" w:asciiTheme="minorEastAsia" w:hAnsiTheme="minorEastAsia" w:eastAsiaTheme="minorEastAsia"/>
          <w:color w:val="000000" w:themeColor="text1"/>
          <w:sz w:val="28"/>
          <w:szCs w:val="28"/>
          <w:lang w:eastAsia="zh-CN"/>
        </w:rPr>
        <w:t>1.响应报价：供应商以单价进行报价。供应商须按附件2：报价清单</w:t>
      </w:r>
      <w:bookmarkStart w:id="3" w:name="_GoBack"/>
      <w:bookmarkEnd w:id="3"/>
      <w:r>
        <w:rPr>
          <w:rFonts w:hint="eastAsia" w:asciiTheme="minorEastAsia" w:hAnsiTheme="minorEastAsia" w:eastAsiaTheme="minorEastAsia"/>
          <w:color w:val="000000" w:themeColor="text1"/>
          <w:sz w:val="28"/>
          <w:szCs w:val="28"/>
          <w:lang w:eastAsia="zh-CN"/>
        </w:rPr>
        <w:t>格式报价，不按要求报价的视为无效报价。</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themeColor="text1"/>
          <w:sz w:val="28"/>
          <w:szCs w:val="28"/>
          <w:lang w:eastAsia="zh-CN"/>
        </w:rPr>
        <w:t>2.报价包括但不限于运输费、途中保险费、装车费、途中损耗与损失费及货物运送至交货地点后的卸车费等及合同实施过程中的一切可预见和不可预见费用。</w:t>
      </w:r>
    </w:p>
    <w:p>
      <w:pPr>
        <w:pStyle w:val="9"/>
      </w:pP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702E4"/>
    <w:rsid w:val="00075A30"/>
    <w:rsid w:val="00077319"/>
    <w:rsid w:val="0008417C"/>
    <w:rsid w:val="00085AC3"/>
    <w:rsid w:val="00086DB4"/>
    <w:rsid w:val="00086DE4"/>
    <w:rsid w:val="00091004"/>
    <w:rsid w:val="000971D8"/>
    <w:rsid w:val="000A3865"/>
    <w:rsid w:val="000A4CC6"/>
    <w:rsid w:val="000A5F0D"/>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3331E"/>
    <w:rsid w:val="00442A3E"/>
    <w:rsid w:val="004455B9"/>
    <w:rsid w:val="00447756"/>
    <w:rsid w:val="00452C30"/>
    <w:rsid w:val="004565B9"/>
    <w:rsid w:val="00457195"/>
    <w:rsid w:val="00457853"/>
    <w:rsid w:val="00457ACA"/>
    <w:rsid w:val="0046623E"/>
    <w:rsid w:val="004711E1"/>
    <w:rsid w:val="0047301C"/>
    <w:rsid w:val="0047383E"/>
    <w:rsid w:val="00477B9A"/>
    <w:rsid w:val="004929DF"/>
    <w:rsid w:val="0049333C"/>
    <w:rsid w:val="00495D64"/>
    <w:rsid w:val="004A20C0"/>
    <w:rsid w:val="004A271C"/>
    <w:rsid w:val="004A27FD"/>
    <w:rsid w:val="004A65F1"/>
    <w:rsid w:val="004B04D6"/>
    <w:rsid w:val="004B09B8"/>
    <w:rsid w:val="004B4AD5"/>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7ECD"/>
    <w:rsid w:val="005E11AD"/>
    <w:rsid w:val="005E4D9F"/>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B1B"/>
    <w:rsid w:val="00651FED"/>
    <w:rsid w:val="00655A5F"/>
    <w:rsid w:val="006677B2"/>
    <w:rsid w:val="00670421"/>
    <w:rsid w:val="00671EF1"/>
    <w:rsid w:val="00672AB5"/>
    <w:rsid w:val="00673229"/>
    <w:rsid w:val="006752E8"/>
    <w:rsid w:val="00684E8D"/>
    <w:rsid w:val="006861EC"/>
    <w:rsid w:val="00692B50"/>
    <w:rsid w:val="00693CB7"/>
    <w:rsid w:val="006944DE"/>
    <w:rsid w:val="006A359B"/>
    <w:rsid w:val="006A7823"/>
    <w:rsid w:val="006B555B"/>
    <w:rsid w:val="006C1857"/>
    <w:rsid w:val="006C362B"/>
    <w:rsid w:val="006C4A65"/>
    <w:rsid w:val="006C6048"/>
    <w:rsid w:val="006C7DF8"/>
    <w:rsid w:val="006D2743"/>
    <w:rsid w:val="006D2FCF"/>
    <w:rsid w:val="006D4D5C"/>
    <w:rsid w:val="006D5F68"/>
    <w:rsid w:val="006D631E"/>
    <w:rsid w:val="006F28F7"/>
    <w:rsid w:val="006F2B26"/>
    <w:rsid w:val="00710738"/>
    <w:rsid w:val="00720FB8"/>
    <w:rsid w:val="0072191C"/>
    <w:rsid w:val="0072257B"/>
    <w:rsid w:val="00722736"/>
    <w:rsid w:val="00723C24"/>
    <w:rsid w:val="00726534"/>
    <w:rsid w:val="00733CA7"/>
    <w:rsid w:val="00733DEC"/>
    <w:rsid w:val="007341F4"/>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5B8D"/>
    <w:rsid w:val="007D7BCA"/>
    <w:rsid w:val="007E4023"/>
    <w:rsid w:val="007E4DAD"/>
    <w:rsid w:val="007E63DB"/>
    <w:rsid w:val="007E6723"/>
    <w:rsid w:val="007E7C08"/>
    <w:rsid w:val="007F4F5D"/>
    <w:rsid w:val="007F669B"/>
    <w:rsid w:val="007F7251"/>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A84"/>
    <w:rsid w:val="008C3AB0"/>
    <w:rsid w:val="008C5E8D"/>
    <w:rsid w:val="008D0644"/>
    <w:rsid w:val="008E5399"/>
    <w:rsid w:val="008F0B00"/>
    <w:rsid w:val="008F65C0"/>
    <w:rsid w:val="00905279"/>
    <w:rsid w:val="00906D4B"/>
    <w:rsid w:val="00910F69"/>
    <w:rsid w:val="00917CF5"/>
    <w:rsid w:val="00921191"/>
    <w:rsid w:val="0092568E"/>
    <w:rsid w:val="0093293A"/>
    <w:rsid w:val="009378B4"/>
    <w:rsid w:val="009440C8"/>
    <w:rsid w:val="009443F1"/>
    <w:rsid w:val="00947D94"/>
    <w:rsid w:val="009503A7"/>
    <w:rsid w:val="00954615"/>
    <w:rsid w:val="00956679"/>
    <w:rsid w:val="00957062"/>
    <w:rsid w:val="0095759E"/>
    <w:rsid w:val="00963A45"/>
    <w:rsid w:val="00970AF2"/>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5AFF"/>
    <w:rsid w:val="009F728A"/>
    <w:rsid w:val="00A050CD"/>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06B53"/>
    <w:rsid w:val="00C24297"/>
    <w:rsid w:val="00C36283"/>
    <w:rsid w:val="00C433EA"/>
    <w:rsid w:val="00C53CF0"/>
    <w:rsid w:val="00C579C4"/>
    <w:rsid w:val="00C61B85"/>
    <w:rsid w:val="00C70B5A"/>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A"/>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C0DDA"/>
    <w:rsid w:val="00DC224A"/>
    <w:rsid w:val="00DC4F0E"/>
    <w:rsid w:val="00DD13A2"/>
    <w:rsid w:val="00DD1534"/>
    <w:rsid w:val="00DE5CD0"/>
    <w:rsid w:val="00DE6831"/>
    <w:rsid w:val="00DF0E49"/>
    <w:rsid w:val="00DF1C93"/>
    <w:rsid w:val="00DF2DFC"/>
    <w:rsid w:val="00DF3FF0"/>
    <w:rsid w:val="00E005F9"/>
    <w:rsid w:val="00E0178E"/>
    <w:rsid w:val="00E05157"/>
    <w:rsid w:val="00E06336"/>
    <w:rsid w:val="00E06942"/>
    <w:rsid w:val="00E06B32"/>
    <w:rsid w:val="00E10048"/>
    <w:rsid w:val="00E16A8A"/>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7954"/>
    <w:rsid w:val="00E9082D"/>
    <w:rsid w:val="00E918E0"/>
    <w:rsid w:val="00E91AC0"/>
    <w:rsid w:val="00E96ACA"/>
    <w:rsid w:val="00EB79AD"/>
    <w:rsid w:val="00EC063C"/>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752"/>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E60"/>
    <w:rsid w:val="00FC5D3F"/>
    <w:rsid w:val="00FD05C5"/>
    <w:rsid w:val="00FD0F62"/>
    <w:rsid w:val="00FD2809"/>
    <w:rsid w:val="00FD6FA7"/>
    <w:rsid w:val="00FE3DCF"/>
    <w:rsid w:val="00FE627E"/>
    <w:rsid w:val="00FE6ACE"/>
    <w:rsid w:val="00FF1849"/>
    <w:rsid w:val="00FF1A62"/>
    <w:rsid w:val="00FF66EA"/>
    <w:rsid w:val="060A1368"/>
    <w:rsid w:val="06C73C1D"/>
    <w:rsid w:val="07AD288C"/>
    <w:rsid w:val="07F24355"/>
    <w:rsid w:val="08026572"/>
    <w:rsid w:val="0C0E4F43"/>
    <w:rsid w:val="0CB860E4"/>
    <w:rsid w:val="11E047F4"/>
    <w:rsid w:val="125D4B35"/>
    <w:rsid w:val="12960B44"/>
    <w:rsid w:val="131F6E34"/>
    <w:rsid w:val="18BA393D"/>
    <w:rsid w:val="1A610916"/>
    <w:rsid w:val="1DBB1D54"/>
    <w:rsid w:val="220A5774"/>
    <w:rsid w:val="22F84FCF"/>
    <w:rsid w:val="239D3981"/>
    <w:rsid w:val="23CA14B6"/>
    <w:rsid w:val="25B253D6"/>
    <w:rsid w:val="28F37284"/>
    <w:rsid w:val="2B87164D"/>
    <w:rsid w:val="2E6432D6"/>
    <w:rsid w:val="2FEB2311"/>
    <w:rsid w:val="303671FA"/>
    <w:rsid w:val="34126A7A"/>
    <w:rsid w:val="36C16458"/>
    <w:rsid w:val="430A17B4"/>
    <w:rsid w:val="56EA713F"/>
    <w:rsid w:val="5772338C"/>
    <w:rsid w:val="588322F1"/>
    <w:rsid w:val="5A436546"/>
    <w:rsid w:val="64DE42CD"/>
    <w:rsid w:val="6A8F7F00"/>
    <w:rsid w:val="6CE25252"/>
    <w:rsid w:val="722412A1"/>
    <w:rsid w:val="731A186B"/>
    <w:rsid w:val="75990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7"/>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basedOn w:val="13"/>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237</Words>
  <Characters>1357</Characters>
  <Lines>11</Lines>
  <Paragraphs>3</Paragraphs>
  <TotalTime>0</TotalTime>
  <ScaleCrop>false</ScaleCrop>
  <LinksUpToDate>false</LinksUpToDate>
  <CharactersWithSpaces>1591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2026-03-06T03:12:13Z</dcterms:modified>
  <dc:title>用户需求书（参考格式）</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C569E7D2D9134CB09EE63D36D6A3970C_13</vt:lpwstr>
  </property>
</Properties>
</file>