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spacing w:line="360" w:lineRule="auto"/>
        <w:jc w:val="center"/>
        <w:rPr>
          <w:b/>
          <w:color w:val="auto"/>
          <w:sz w:val="36"/>
          <w:szCs w:val="36"/>
        </w:rPr>
      </w:pPr>
      <w:r>
        <w:rPr>
          <w:b/>
          <w:color w:val="auto"/>
          <w:sz w:val="36"/>
          <w:szCs w:val="36"/>
        </w:rPr>
        <w:t>用户需求书</w:t>
      </w:r>
    </w:p>
    <w:p>
      <w:pPr>
        <w:pStyle w:val="10"/>
        <w:ind w:firstLine="482"/>
        <w:rPr>
          <w:rFonts w:hint="eastAsia"/>
          <w:b/>
          <w:color w:val="auto"/>
          <w:highlight w:val="none"/>
        </w:rPr>
      </w:pPr>
    </w:p>
    <w:p>
      <w:pPr>
        <w:pStyle w:val="10"/>
        <w:ind w:firstLine="482"/>
        <w:rPr>
          <w:rFonts w:hint="eastAsia"/>
          <w:b/>
          <w:color w:val="auto"/>
          <w:highlight w:val="none"/>
        </w:rPr>
      </w:pPr>
      <w:r>
        <w:rPr>
          <w:rFonts w:hint="eastAsia"/>
          <w:b/>
          <w:color w:val="auto"/>
          <w:highlight w:val="none"/>
        </w:rPr>
        <w:t>总则</w:t>
      </w:r>
    </w:p>
    <w:p>
      <w:pPr>
        <w:pStyle w:val="10"/>
        <w:ind w:firstLine="482"/>
        <w:rPr>
          <w:rFonts w:hint="eastAsia"/>
          <w:b w:val="0"/>
          <w:bCs/>
          <w:color w:val="auto"/>
          <w:highlight w:val="none"/>
        </w:rPr>
      </w:pPr>
      <w:r>
        <w:rPr>
          <w:rFonts w:hint="eastAsia"/>
          <w:b w:val="0"/>
          <w:bCs/>
          <w:color w:val="auto"/>
          <w:highlight w:val="none"/>
        </w:rPr>
        <w:t>1、成交供应商必须按国家、行业的标准及采购文件的要求对本项目提供相应的货物及服务。</w:t>
      </w:r>
    </w:p>
    <w:p>
      <w:pPr>
        <w:pStyle w:val="10"/>
        <w:ind w:firstLine="482"/>
        <w:rPr>
          <w:rFonts w:hint="eastAsia"/>
          <w:b w:val="0"/>
          <w:bCs/>
          <w:color w:val="auto"/>
          <w:highlight w:val="none"/>
        </w:rPr>
      </w:pPr>
      <w:r>
        <w:rPr>
          <w:rFonts w:hint="eastAsia"/>
          <w:b w:val="0"/>
          <w:bCs/>
          <w:color w:val="auto"/>
          <w:highlight w:val="none"/>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10"/>
        <w:ind w:firstLine="482"/>
        <w:rPr>
          <w:rFonts w:hint="eastAsia"/>
          <w:b w:val="0"/>
          <w:bCs/>
          <w:color w:val="auto"/>
          <w:highlight w:val="none"/>
        </w:rPr>
      </w:pPr>
      <w:r>
        <w:rPr>
          <w:rFonts w:hint="eastAsia"/>
          <w:b w:val="0"/>
          <w:bCs/>
          <w:color w:val="auto"/>
          <w:highlight w:val="none"/>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bookmarkStart w:id="0" w:name="_GoBack"/>
      <w:bookmarkEnd w:id="0"/>
    </w:p>
    <w:p>
      <w:pPr>
        <w:pStyle w:val="10"/>
        <w:ind w:firstLine="482"/>
        <w:rPr>
          <w:rFonts w:hint="eastAsia"/>
          <w:b w:val="0"/>
          <w:bCs/>
          <w:color w:val="auto"/>
          <w:highlight w:val="none"/>
        </w:rPr>
      </w:pPr>
      <w:r>
        <w:rPr>
          <w:rFonts w:hint="eastAsia"/>
          <w:b w:val="0"/>
          <w:bCs/>
          <w:color w:val="auto"/>
          <w:highlight w:val="none"/>
        </w:rPr>
        <w:t>4、本项目不允许提交备选方案，不允许联合体响应、转包或分包。</w:t>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lang w:val="en-US" w:eastAsia="zh-CN" w:bidi="ar-SA"/>
        </w:rPr>
      </w:pP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一、项目名称：</w:t>
      </w:r>
      <w:r>
        <w:rPr>
          <w:rFonts w:hint="eastAsia" w:asciiTheme="minorHAnsi" w:hAnsiTheme="minorHAnsi" w:eastAsiaTheme="minorEastAsia" w:cstheme="minorBidi"/>
          <w:b w:val="0"/>
          <w:bCs/>
          <w:color w:val="auto"/>
          <w:kern w:val="2"/>
          <w:sz w:val="24"/>
          <w:szCs w:val="22"/>
          <w:highlight w:val="none"/>
          <w:lang w:val="en-US" w:eastAsia="zh-CN" w:bidi="ar-SA"/>
        </w:rPr>
        <w:t>中山市黄圃人民医院招采中心、骨一科电视机采购项目（</w:t>
      </w:r>
      <w:r>
        <w:rPr>
          <w:rFonts w:hint="eastAsia" w:asciiTheme="minorHAnsi" w:hAnsiTheme="minorHAnsi" w:eastAsiaTheme="minorEastAsia" w:cstheme="minorBidi"/>
          <w:bCs/>
          <w:color w:val="auto"/>
          <w:kern w:val="2"/>
          <w:sz w:val="24"/>
          <w:szCs w:val="22"/>
          <w:highlight w:val="none"/>
          <w:lang w:val="en-US" w:eastAsia="zh-CN" w:bidi="ar-SA"/>
        </w:rPr>
        <w:t>项目编号：PYCG-ZW-202603-01</w:t>
      </w:r>
      <w:r>
        <w:rPr>
          <w:rFonts w:hint="eastAsia" w:asciiTheme="minorHAnsi" w:hAnsiTheme="minorHAnsi" w:eastAsiaTheme="minorEastAsia" w:cstheme="minorBidi"/>
          <w:b w:val="0"/>
          <w:bCs/>
          <w:color w:val="auto"/>
          <w:kern w:val="2"/>
          <w:sz w:val="24"/>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7"/>
        <w:tblW w:w="8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600"/>
        <w:gridCol w:w="600"/>
        <w:gridCol w:w="5148"/>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货物名称</w:t>
            </w:r>
          </w:p>
        </w:tc>
        <w:tc>
          <w:tcPr>
            <w:tcW w:w="6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数量</w:t>
            </w:r>
          </w:p>
        </w:tc>
        <w:tc>
          <w:tcPr>
            <w:tcW w:w="6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单位</w:t>
            </w:r>
          </w:p>
        </w:tc>
        <w:tc>
          <w:tcPr>
            <w:tcW w:w="514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要求</w:t>
            </w:r>
          </w:p>
        </w:tc>
        <w:tc>
          <w:tcPr>
            <w:tcW w:w="141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eastAsia="zh-CN"/>
              </w:rPr>
            </w:pPr>
            <w:r>
              <w:rPr>
                <w:rFonts w:hint="eastAsia" w:ascii="宋体" w:hAnsi="宋体" w:cs="宋体"/>
                <w:b/>
                <w:bCs/>
                <w:color w:val="auto"/>
                <w:sz w:val="24"/>
                <w:szCs w:val="24"/>
              </w:rPr>
              <w:t>单价最高限价</w:t>
            </w:r>
            <w:r>
              <w:rPr>
                <w:rFonts w:hint="eastAsia" w:ascii="宋体" w:hAnsi="宋体" w:cs="宋体"/>
                <w:b/>
                <w:bCs/>
                <w:color w:val="auto"/>
                <w:sz w:val="24"/>
                <w:szCs w:val="24"/>
                <w:lang w:eastAsia="zh-CN"/>
              </w:rPr>
              <w:t>（元</w:t>
            </w:r>
            <w:r>
              <w:rPr>
                <w:rFonts w:hint="eastAsia" w:ascii="宋体" w:hAnsi="宋体" w:cs="宋体"/>
                <w:b/>
                <w:bCs/>
                <w:color w:val="auto"/>
                <w:sz w:val="24"/>
                <w:szCs w:val="24"/>
                <w:lang w:val="en-US" w:eastAsia="zh-CN"/>
              </w:rPr>
              <w:t>/台</w:t>
            </w:r>
            <w:r>
              <w:rPr>
                <w:rFonts w:hint="eastAsia" w:ascii="宋体" w:hAnsi="宋体" w:cs="宋体"/>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65英寸电视机</w:t>
            </w:r>
          </w:p>
        </w:tc>
        <w:tc>
          <w:tcPr>
            <w:tcW w:w="6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台</w:t>
            </w:r>
          </w:p>
        </w:tc>
        <w:tc>
          <w:tcPr>
            <w:tcW w:w="514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snapToGrid/>
              <w:spacing w:line="360" w:lineRule="auto"/>
              <w:ind w:right="0" w:rightChars="0"/>
              <w:jc w:val="left"/>
              <w:rPr>
                <w:rFonts w:hint="eastAsia" w:ascii="宋体" w:hAnsi="宋体" w:cs="宋体"/>
                <w:color w:val="auto"/>
                <w:sz w:val="24"/>
                <w:szCs w:val="24"/>
              </w:rPr>
            </w:pPr>
            <w:r>
              <w:rPr>
                <w:rFonts w:hint="eastAsia" w:ascii="宋体" w:hAnsi="宋体" w:cs="宋体"/>
                <w:color w:val="auto"/>
                <w:sz w:val="24"/>
                <w:szCs w:val="24"/>
              </w:rPr>
              <w:t>★1.带HDMI接口、含HDMI线；</w:t>
            </w:r>
          </w:p>
          <w:p>
            <w:pPr>
              <w:pStyle w:val="12"/>
              <w:keepNext w:val="0"/>
              <w:keepLines w:val="0"/>
              <w:pageBreakBefore w:val="0"/>
              <w:widowControl/>
              <w:kinsoku/>
              <w:overflowPunct/>
              <w:topLinePunct w:val="0"/>
              <w:bidi w:val="0"/>
              <w:adjustRightInd/>
              <w:snapToGrid/>
              <w:spacing w:line="360" w:lineRule="auto"/>
              <w:ind w:right="0" w:rightChars="0"/>
              <w:jc w:val="left"/>
              <w:rPr>
                <w:rFonts w:hint="eastAsia" w:ascii="宋体" w:hAnsi="宋体" w:cs="宋体"/>
                <w:color w:val="auto"/>
                <w:sz w:val="24"/>
                <w:szCs w:val="24"/>
              </w:rPr>
            </w:pPr>
            <w:r>
              <w:rPr>
                <w:rFonts w:hint="eastAsia" w:ascii="宋体" w:hAnsi="宋体" w:cs="宋体"/>
                <w:color w:val="auto"/>
                <w:sz w:val="24"/>
                <w:szCs w:val="24"/>
              </w:rPr>
              <w:t>★2.LED电视、4K高清；</w:t>
            </w:r>
          </w:p>
          <w:p>
            <w:pPr>
              <w:pStyle w:val="12"/>
              <w:keepNext w:val="0"/>
              <w:keepLines w:val="0"/>
              <w:pageBreakBefore w:val="0"/>
              <w:widowControl/>
              <w:kinsoku/>
              <w:overflowPunct/>
              <w:topLinePunct w:val="0"/>
              <w:bidi w:val="0"/>
              <w:adjustRightInd/>
              <w:snapToGrid/>
              <w:spacing w:line="360" w:lineRule="auto"/>
              <w:ind w:right="0" w:rightChars="0"/>
              <w:jc w:val="left"/>
              <w:rPr>
                <w:rFonts w:hint="eastAsia" w:ascii="宋体" w:hAnsi="宋体" w:cs="宋体"/>
                <w:color w:val="auto"/>
                <w:sz w:val="24"/>
                <w:szCs w:val="24"/>
              </w:rPr>
            </w:pPr>
            <w:r>
              <w:rPr>
                <w:rFonts w:hint="eastAsia" w:ascii="宋体" w:hAnsi="宋体" w:cs="宋体"/>
                <w:color w:val="auto"/>
                <w:sz w:val="24"/>
                <w:szCs w:val="24"/>
              </w:rPr>
              <w:t>★3.含安装电视机及配件，包含可移动支架，包含布线。</w:t>
            </w:r>
          </w:p>
        </w:tc>
        <w:tc>
          <w:tcPr>
            <w:tcW w:w="141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snapToGrid/>
              <w:spacing w:line="360" w:lineRule="auto"/>
              <w:ind w:right="0" w:right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32英寸电视机</w:t>
            </w:r>
          </w:p>
        </w:tc>
        <w:tc>
          <w:tcPr>
            <w:tcW w:w="6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00"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台</w:t>
            </w:r>
          </w:p>
        </w:tc>
        <w:tc>
          <w:tcPr>
            <w:tcW w:w="514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snapToGrid/>
              <w:spacing w:line="360" w:lineRule="auto"/>
              <w:ind w:right="0" w:rightChars="0"/>
              <w:jc w:val="left"/>
              <w:rPr>
                <w:rFonts w:hint="eastAsia" w:ascii="宋体" w:hAnsi="宋体" w:cs="宋体"/>
                <w:color w:val="auto"/>
                <w:sz w:val="24"/>
                <w:szCs w:val="24"/>
              </w:rPr>
            </w:pPr>
            <w:r>
              <w:rPr>
                <w:rFonts w:hint="eastAsia" w:ascii="宋体" w:hAnsi="宋体" w:cs="宋体"/>
                <w:color w:val="auto"/>
                <w:sz w:val="24"/>
                <w:szCs w:val="24"/>
              </w:rPr>
              <w:t>★带HDMI接口、LED电视</w:t>
            </w:r>
            <w:r>
              <w:rPr>
                <w:rFonts w:hint="eastAsia" w:ascii="宋体" w:hAnsi="宋体" w:cs="宋体"/>
                <w:color w:val="auto"/>
                <w:sz w:val="24"/>
                <w:szCs w:val="24"/>
                <w:lang w:eastAsia="zh-CN"/>
              </w:rPr>
              <w:t>，含安装电视机及配件，包含挂墙架，含</w:t>
            </w:r>
            <w:r>
              <w:rPr>
                <w:rFonts w:hint="eastAsia" w:ascii="宋体" w:hAnsi="宋体" w:cs="宋体"/>
                <w:color w:val="auto"/>
                <w:sz w:val="24"/>
                <w:szCs w:val="24"/>
                <w:lang w:val="en-US" w:eastAsia="zh-CN"/>
              </w:rPr>
              <w:t>HDMI线</w:t>
            </w:r>
            <w:r>
              <w:rPr>
                <w:rFonts w:hint="eastAsia" w:ascii="宋体" w:hAnsi="宋体" w:cs="宋体"/>
                <w:color w:val="auto"/>
                <w:sz w:val="24"/>
                <w:szCs w:val="24"/>
                <w:lang w:eastAsia="zh-CN"/>
              </w:rPr>
              <w:t>，包含布线。</w:t>
            </w:r>
          </w:p>
        </w:tc>
        <w:tc>
          <w:tcPr>
            <w:tcW w:w="141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overflowPunct/>
              <w:topLinePunct w:val="0"/>
              <w:bidi w:val="0"/>
              <w:adjustRightInd/>
              <w:snapToGrid/>
              <w:spacing w:line="360" w:lineRule="auto"/>
              <w:ind w:right="0" w:rightChars="0"/>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default" w:ascii="Times New Roman" w:hAnsi="Times New Roman" w:eastAsia="宋体" w:cs="Times New Roman"/>
          <w:b w:val="0"/>
          <w:bCs/>
          <w:color w:val="auto"/>
          <w:kern w:val="2"/>
          <w:sz w:val="24"/>
          <w:szCs w:val="22"/>
          <w:lang w:val="en-US" w:eastAsia="zh-CN" w:bidi="ar-SA"/>
        </w:rPr>
        <w:t>供应商提供的货物质量必须符合国家相关标准、行业标准及采购文件要求。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3.供应商提供的货物必须为原装出厂、正版、全新未启封、无污、表面无划痕、无缺陷隐患的产品，来源渠道合法，各项技术指标符合国家有关质量和安全认证标准，且无任何的侵权行为，货物在开箱检验时必须完好，无破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4.供应商提供的货物须按国家规定的标准及保护措施进行包装，包装材料、标识和随货资料应符合国家的有关要求。凡由于包装不良造成的损失和由此产生的费用均由供应商承担。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7"/>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7"/>
        <w:gridCol w:w="69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17" w:type="dxa"/>
            <w:vAlign w:val="center"/>
          </w:tcPr>
          <w:p>
            <w:pPr>
              <w:pStyle w:val="11"/>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交货期</w:t>
            </w:r>
          </w:p>
        </w:tc>
        <w:tc>
          <w:tcPr>
            <w:tcW w:w="6983" w:type="dxa"/>
            <w:vAlign w:val="top"/>
          </w:tcPr>
          <w:p>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在采购人下达订单起七天内提供正品，并完成安装调试。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17" w:type="dxa"/>
            <w:vAlign w:val="center"/>
          </w:tcPr>
          <w:p>
            <w:pPr>
              <w:pStyle w:val="11"/>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交货地点</w:t>
            </w:r>
          </w:p>
        </w:tc>
        <w:tc>
          <w:tcPr>
            <w:tcW w:w="6983" w:type="dxa"/>
            <w:vAlign w:val="top"/>
          </w:tcPr>
          <w:p>
            <w:pPr>
              <w:pStyle w:val="11"/>
              <w:spacing w:line="360" w:lineRule="auto"/>
              <w:jc w:val="left"/>
              <w:rPr>
                <w:rFonts w:hint="eastAsia" w:cs="Tahoma"/>
                <w:b w:val="0"/>
                <w:bCs/>
                <w:color w:val="auto"/>
                <w:kern w:val="28"/>
                <w:sz w:val="21"/>
                <w:szCs w:val="21"/>
                <w:highlight w:val="none"/>
                <w:lang w:eastAsia="zh-CN"/>
              </w:rPr>
            </w:pPr>
            <w:r>
              <w:rPr>
                <w:rFonts w:hint="eastAsia" w:cs="Tahoma"/>
                <w:b w:val="0"/>
                <w:bCs/>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17" w:type="dxa"/>
            <w:vAlign w:val="center"/>
          </w:tcPr>
          <w:p>
            <w:pPr>
              <w:pStyle w:val="11"/>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983" w:type="dxa"/>
            <w:vAlign w:val="top"/>
          </w:tcPr>
          <w:p>
            <w:pPr>
              <w:pStyle w:val="11"/>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517" w:type="dxa"/>
            <w:vAlign w:val="center"/>
          </w:tcPr>
          <w:p>
            <w:pPr>
              <w:pStyle w:val="11"/>
              <w:pageBreakBefore w:val="0"/>
              <w:kinsoku/>
              <w:overflowPunct/>
              <w:bidi w:val="0"/>
              <w:spacing w:line="360" w:lineRule="auto"/>
              <w:jc w:val="center"/>
              <w:rPr>
                <w:rFonts w:hint="eastAsia" w:ascii="宋体" w:hAnsi="Times New Roman" w:eastAsia="宋体" w:cs="Tahoma"/>
                <w:b/>
                <w:bCs w:val="0"/>
                <w:color w:val="000000"/>
                <w:kern w:val="28"/>
                <w:sz w:val="21"/>
                <w:szCs w:val="21"/>
                <w:highlight w:val="none"/>
                <w:lang w:val="en-US" w:eastAsia="zh-CN" w:bidi="ar-SA"/>
              </w:rPr>
            </w:pPr>
            <w:r>
              <w:rPr>
                <w:rFonts w:hint="eastAsia" w:ascii="宋体" w:hAnsi="Times New Roman" w:eastAsia="宋体" w:cs="Tahoma"/>
                <w:b/>
                <w:bCs w:val="0"/>
                <w:color w:val="000000"/>
                <w:kern w:val="28"/>
                <w:sz w:val="21"/>
                <w:szCs w:val="21"/>
                <w:highlight w:val="none"/>
                <w:lang w:val="en-US" w:eastAsia="zh-CN" w:bidi="ar-SA"/>
              </w:rPr>
              <w:t>付款方式</w:t>
            </w:r>
          </w:p>
        </w:tc>
        <w:tc>
          <w:tcPr>
            <w:tcW w:w="6983" w:type="dxa"/>
            <w:vAlign w:val="top"/>
          </w:tcPr>
          <w:p>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1.本合同的款项以人民币</w:t>
            </w:r>
            <w:r>
              <w:rPr>
                <w:rFonts w:hint="eastAsia" w:ascii="宋体" w:cs="Tahoma"/>
                <w:b w:val="0"/>
                <w:bCs/>
                <w:color w:val="000000"/>
                <w:kern w:val="28"/>
                <w:sz w:val="21"/>
                <w:szCs w:val="21"/>
                <w:highlight w:val="none"/>
                <w:lang w:val="en-US" w:eastAsia="zh-CN" w:bidi="ar-SA"/>
              </w:rPr>
              <w:t>银行转账</w:t>
            </w:r>
            <w:r>
              <w:rPr>
                <w:rFonts w:hint="eastAsia" w:ascii="宋体" w:hAnsi="Times New Roman" w:eastAsia="宋体" w:cs="Tahoma"/>
                <w:b w:val="0"/>
                <w:bCs/>
                <w:color w:val="000000"/>
                <w:kern w:val="28"/>
                <w:sz w:val="21"/>
                <w:szCs w:val="21"/>
                <w:highlight w:val="none"/>
                <w:lang w:val="en-US" w:eastAsia="zh-CN" w:bidi="ar-SA"/>
              </w:rPr>
              <w:t>方式支付；</w:t>
            </w:r>
          </w:p>
          <w:p>
            <w:pPr>
              <w:pStyle w:val="10"/>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 w:val="0"/>
                <w:bCs/>
                <w:color w:val="auto"/>
                <w:kern w:val="28"/>
                <w:sz w:val="21"/>
                <w:szCs w:val="21"/>
                <w:highlight w:val="none"/>
                <w:lang w:val="en-US" w:eastAsia="zh-CN" w:bidi="ar-SA"/>
              </w:rPr>
              <w:t>成交供应商在配送安装、验收完成后，采购人在收到成交供应商的验收单、发票且核对无误后60天内向成交供应商支付款项；</w:t>
            </w:r>
          </w:p>
          <w:p>
            <w:pPr>
              <w:pStyle w:val="10"/>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17" w:type="dxa"/>
            <w:vAlign w:val="center"/>
          </w:tcPr>
          <w:p>
            <w:pPr>
              <w:pStyle w:val="11"/>
              <w:pageBreakBefore w:val="0"/>
              <w:kinsoku/>
              <w:overflowPunct/>
              <w:bidi w:val="0"/>
              <w:spacing w:line="360" w:lineRule="auto"/>
              <w:jc w:val="center"/>
              <w:rPr>
                <w:rFonts w:hint="eastAsia" w:eastAsia="宋体" w:cs="Tahoma"/>
                <w:b/>
                <w:bCs w:val="0"/>
                <w:color w:val="000000"/>
                <w:kern w:val="28"/>
                <w:sz w:val="21"/>
                <w:szCs w:val="21"/>
                <w:highlight w:val="none"/>
                <w:lang w:eastAsia="zh-CN"/>
              </w:rPr>
            </w:pPr>
            <w:r>
              <w:rPr>
                <w:rFonts w:hint="eastAsia" w:cs="Tahoma"/>
                <w:b/>
                <w:bCs w:val="0"/>
                <w:color w:val="000000"/>
                <w:kern w:val="28"/>
                <w:sz w:val="21"/>
                <w:szCs w:val="21"/>
                <w:highlight w:val="none"/>
                <w:lang w:eastAsia="zh-CN"/>
              </w:rPr>
              <w:t>售后服务要求</w:t>
            </w:r>
          </w:p>
        </w:tc>
        <w:tc>
          <w:tcPr>
            <w:tcW w:w="6983" w:type="dxa"/>
            <w:vAlign w:val="top"/>
          </w:tcPr>
          <w:p>
            <w:pPr>
              <w:pStyle w:val="11"/>
              <w:pageBreakBefore w:val="0"/>
              <w:numPr>
                <w:ilvl w:val="0"/>
                <w:numId w:val="1"/>
              </w:numPr>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质保期：整机质保期≥</w:t>
            </w:r>
            <w:r>
              <w:rPr>
                <w:rFonts w:hint="eastAsia" w:cs="Tahoma"/>
                <w:b w:val="0"/>
                <w:bCs/>
                <w:color w:val="000000"/>
                <w:kern w:val="28"/>
                <w:sz w:val="21"/>
                <w:szCs w:val="21"/>
                <w:highlight w:val="none"/>
                <w:lang w:val="en-US" w:eastAsia="zh-CN"/>
              </w:rPr>
              <w:t>1</w:t>
            </w:r>
            <w:r>
              <w:rPr>
                <w:rFonts w:hint="eastAsia" w:cs="Tahoma"/>
                <w:b w:val="0"/>
                <w:bCs/>
                <w:color w:val="000000"/>
                <w:kern w:val="28"/>
                <w:sz w:val="21"/>
                <w:szCs w:val="21"/>
                <w:highlight w:val="none"/>
                <w:lang w:eastAsia="zh-CN"/>
              </w:rPr>
              <w:t>年。质保期内非因采购人的人为原因而出现产品质量及安装问题，由成交供应商负责包修、包换或包退，并承担因此而产生的一切费用。</w:t>
            </w:r>
          </w:p>
          <w:p>
            <w:pPr>
              <w:pStyle w:val="11"/>
              <w:pageBreakBefore w:val="0"/>
              <w:numPr>
                <w:ilvl w:val="0"/>
                <w:numId w:val="1"/>
              </w:numPr>
              <w:kinsoku/>
              <w:overflowPunct/>
              <w:bidi w:val="0"/>
              <w:spacing w:line="360" w:lineRule="auto"/>
              <w:jc w:val="left"/>
              <w:rPr>
                <w:rFonts w:hint="eastAsia" w:cs="Tahoma"/>
                <w:b w:val="0"/>
                <w:bCs/>
                <w:color w:val="000000"/>
                <w:kern w:val="28"/>
                <w:sz w:val="21"/>
                <w:szCs w:val="21"/>
                <w:highlight w:val="none"/>
                <w:lang w:eastAsia="zh-CN"/>
              </w:rPr>
            </w:pPr>
            <w:r>
              <w:rPr>
                <w:rFonts w:hint="eastAsia" w:ascii="宋体" w:hAnsi="宋体" w:cs="宋体" w:eastAsiaTheme="minorEastAsia"/>
                <w:b w:val="0"/>
                <w:bCs/>
                <w:color w:val="auto"/>
                <w:kern w:val="2"/>
                <w:sz w:val="21"/>
                <w:szCs w:val="21"/>
                <w:highlight w:val="none"/>
                <w:lang w:val="en-US" w:eastAsia="zh-CN"/>
              </w:rPr>
              <w:t>退换货要求</w:t>
            </w:r>
            <w:r>
              <w:rPr>
                <w:rFonts w:hint="eastAsia" w:hAnsi="宋体" w:cs="宋体" w:eastAsiaTheme="minorEastAsia"/>
                <w:b w:val="0"/>
                <w:bCs/>
                <w:color w:val="auto"/>
                <w:kern w:val="2"/>
                <w:sz w:val="21"/>
                <w:szCs w:val="21"/>
                <w:highlight w:val="none"/>
                <w:lang w:val="en-US" w:eastAsia="zh-CN"/>
              </w:rPr>
              <w:t>：</w:t>
            </w:r>
            <w:r>
              <w:rPr>
                <w:rFonts w:hint="eastAsia" w:ascii="宋体" w:hAnsi="宋体" w:cs="宋体" w:eastAsiaTheme="minorEastAsia"/>
                <w:b w:val="0"/>
                <w:bCs/>
                <w:color w:val="auto"/>
                <w:kern w:val="2"/>
                <w:sz w:val="21"/>
                <w:szCs w:val="21"/>
                <w:lang w:val="en-US" w:eastAsia="zh-CN" w:bidi="ar-SA"/>
              </w:rPr>
              <w:t>成交供应商所配送的产品（品牌、规格、生产厂家、质量等）不符合或达不到采购人所规定的要求的，采购人可拒绝收货并要求进行换货。换货应为全新并符合采购文件和响应文件规定的品质、规格等。若换货仍不能达到质量要求，采购人有权要求退货，并由供应商承担因此而产生的一切费用和采购人遭受的一切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17" w:type="dxa"/>
            <w:vAlign w:val="center"/>
          </w:tcPr>
          <w:p>
            <w:pPr>
              <w:pStyle w:val="11"/>
              <w:pageBreakBefore w:val="0"/>
              <w:kinsoku/>
              <w:overflowPunct/>
              <w:bidi w:val="0"/>
              <w:spacing w:line="360" w:lineRule="auto"/>
              <w:jc w:val="center"/>
              <w:rPr>
                <w:rFonts w:hint="eastAsia" w:cs="Tahoma"/>
                <w:b/>
                <w:bCs w:val="0"/>
                <w:color w:val="000000"/>
                <w:kern w:val="28"/>
                <w:sz w:val="21"/>
                <w:szCs w:val="21"/>
                <w:highlight w:val="none"/>
              </w:rPr>
            </w:pPr>
            <w:r>
              <w:rPr>
                <w:rFonts w:hint="eastAsia" w:cs="Tahoma"/>
                <w:b/>
                <w:bCs w:val="0"/>
                <w:color w:val="000000"/>
                <w:kern w:val="28"/>
                <w:sz w:val="21"/>
                <w:szCs w:val="21"/>
                <w:highlight w:val="none"/>
              </w:rPr>
              <w:t>履约保证金</w:t>
            </w:r>
          </w:p>
        </w:tc>
        <w:tc>
          <w:tcPr>
            <w:tcW w:w="6983" w:type="dxa"/>
            <w:vAlign w:val="top"/>
          </w:tcPr>
          <w:p>
            <w:pPr>
              <w:pStyle w:val="11"/>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17"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auto"/>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983" w:type="dxa"/>
            <w:vAlign w:val="top"/>
          </w:tcPr>
          <w:p>
            <w:pPr>
              <w:widowControl/>
              <w:spacing w:line="360" w:lineRule="auto"/>
              <w:jc w:val="left"/>
              <w:rPr>
                <w:rFonts w:hint="default" w:ascii="宋体" w:hAnsi="宋体" w:cs="宋体"/>
                <w:b w:val="0"/>
                <w:bCs/>
                <w:color w:val="auto"/>
                <w:szCs w:val="21"/>
                <w:lang w:val="en-US" w:eastAsia="zh-CN"/>
              </w:rPr>
            </w:pPr>
            <w:r>
              <w:rPr>
                <w:rFonts w:hint="eastAsia" w:ascii="宋体" w:hAnsi="宋体" w:cs="宋体"/>
                <w:b w:val="0"/>
                <w:bCs/>
                <w:color w:val="auto"/>
                <w:szCs w:val="21"/>
              </w:rPr>
              <w:t>1.</w:t>
            </w:r>
            <w:r>
              <w:rPr>
                <w:rFonts w:hint="eastAsia" w:ascii="宋体" w:hAnsi="宋体" w:cs="宋体"/>
                <w:b w:val="0"/>
                <w:bCs/>
                <w:color w:val="auto"/>
                <w:szCs w:val="21"/>
                <w:lang w:eastAsia="zh-CN"/>
              </w:rPr>
              <w:t>报价格式详见</w:t>
            </w:r>
            <w:r>
              <w:rPr>
                <w:rFonts w:hint="eastAsia" w:ascii="宋体" w:hAnsi="宋体" w:cs="宋体"/>
                <w:b/>
                <w:bCs w:val="0"/>
                <w:color w:val="auto"/>
                <w:szCs w:val="21"/>
                <w:lang w:eastAsia="zh-CN"/>
              </w:rPr>
              <w:t>附件</w:t>
            </w:r>
            <w:r>
              <w:rPr>
                <w:rFonts w:hint="eastAsia" w:ascii="宋体" w:hAnsi="宋体" w:cs="宋体"/>
                <w:b/>
                <w:bCs w:val="0"/>
                <w:color w:val="auto"/>
                <w:szCs w:val="21"/>
                <w:lang w:val="en-US" w:eastAsia="zh-CN"/>
              </w:rPr>
              <w:t>3</w:t>
            </w:r>
            <w:r>
              <w:rPr>
                <w:rFonts w:hint="eastAsia" w:ascii="宋体" w:hAnsi="宋体" w:cs="宋体"/>
                <w:b w:val="0"/>
                <w:bCs/>
                <w:color w:val="auto"/>
                <w:szCs w:val="21"/>
                <w:lang w:val="en-US" w:eastAsia="zh-CN"/>
              </w:rPr>
              <w:t>，报价不得高于项目预算金额及单价最高限价，否则视为无效响应。</w:t>
            </w:r>
          </w:p>
          <w:p>
            <w:pPr>
              <w:widowControl/>
              <w:spacing w:line="360" w:lineRule="auto"/>
              <w:jc w:val="left"/>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Cs w:val="21"/>
              </w:rPr>
              <w:t>2.</w:t>
            </w:r>
            <w:r>
              <w:rPr>
                <w:rFonts w:hint="eastAsia" w:ascii="宋体" w:hAnsi="宋体" w:eastAsia="宋体" w:cs="宋体"/>
                <w:b w:val="0"/>
                <w:bCs/>
                <w:color w:val="auto"/>
                <w:spacing w:val="-3"/>
                <w:sz w:val="21"/>
                <w:szCs w:val="21"/>
                <w:highlight w:val="none"/>
                <w:lang w:val="en-US" w:eastAsia="zh-CN"/>
              </w:rPr>
              <w:t>本项目</w:t>
            </w:r>
            <w:r>
              <w:rPr>
                <w:rFonts w:hint="eastAsia" w:ascii="宋体" w:hAnsi="宋体" w:eastAsia="宋体" w:cs="宋体"/>
                <w:b w:val="0"/>
                <w:bCs/>
                <w:color w:val="auto"/>
                <w:spacing w:val="-3"/>
                <w:sz w:val="21"/>
                <w:szCs w:val="21"/>
                <w:highlight w:val="none"/>
              </w:rPr>
              <w:t>报价</w:t>
            </w:r>
            <w:r>
              <w:rPr>
                <w:rFonts w:hint="eastAsia" w:ascii="宋体" w:hAnsi="宋体" w:cs="宋体"/>
                <w:b w:val="0"/>
                <w:bCs/>
                <w:color w:val="auto"/>
                <w:szCs w:val="21"/>
              </w:rPr>
              <w:t>包括但不限于</w:t>
            </w:r>
            <w:r>
              <w:rPr>
                <w:rFonts w:hint="eastAsia" w:ascii="宋体" w:hAnsi="宋体" w:cs="宋体"/>
                <w:b w:val="0"/>
                <w:bCs/>
                <w:color w:val="auto"/>
                <w:szCs w:val="21"/>
                <w:lang w:eastAsia="zh-CN"/>
              </w:rPr>
              <w:t>货物</w:t>
            </w:r>
            <w:r>
              <w:rPr>
                <w:rFonts w:hint="eastAsia" w:ascii="宋体" w:hAnsi="宋体" w:cs="宋体"/>
                <w:b w:val="0"/>
                <w:bCs/>
                <w:color w:val="auto"/>
                <w:szCs w:val="21"/>
              </w:rPr>
              <w:t>成本、</w:t>
            </w:r>
            <w:r>
              <w:rPr>
                <w:rFonts w:hint="eastAsia" w:ascii="宋体" w:hAnsi="宋体" w:cs="宋体"/>
                <w:b w:val="0"/>
                <w:bCs/>
                <w:color w:val="auto"/>
                <w:szCs w:val="21"/>
                <w:lang w:eastAsia="zh-CN"/>
              </w:rPr>
              <w:t>包装、</w:t>
            </w:r>
            <w:r>
              <w:rPr>
                <w:rFonts w:hint="eastAsia" w:ascii="宋体" w:hAnsi="宋体" w:cs="宋体"/>
                <w:b w:val="0"/>
                <w:bCs/>
                <w:color w:val="auto"/>
                <w:szCs w:val="21"/>
              </w:rPr>
              <w:t>运输、安装调试及税金等合同实施过程中的应预见和不可预见的一切费用。</w:t>
            </w:r>
            <w:r>
              <w:rPr>
                <w:rFonts w:hint="eastAsia" w:ascii="宋体" w:hAnsi="宋体" w:eastAsia="宋体" w:cs="宋体"/>
                <w:b w:val="0"/>
                <w:bCs/>
                <w:color w:val="auto"/>
                <w:sz w:val="21"/>
                <w:szCs w:val="21"/>
                <w:highlight w:val="none"/>
                <w:lang w:eastAsia="zh-CN"/>
              </w:rPr>
              <w:t>如果供应商在合同履行过程中出现任何遗漏，均由成交供应商负责提供，不再另外收取费用。</w:t>
            </w:r>
          </w:p>
          <w:p>
            <w:pPr>
              <w:widowControl/>
              <w:spacing w:line="360" w:lineRule="auto"/>
              <w:jc w:val="left"/>
              <w:rPr>
                <w:rFonts w:hint="eastAsia" w:cs="Tahoma"/>
                <w:b w:val="0"/>
                <w:bCs/>
                <w:color w:val="auto"/>
                <w:kern w:val="28"/>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cs="宋体" w:eastAsiaTheme="minorEastAsia"/>
                <w:b w:val="0"/>
                <w:bCs/>
                <w:color w:val="auto"/>
                <w:sz w:val="21"/>
                <w:szCs w:val="21"/>
                <w:highlight w:val="none"/>
                <w:lang w:val="en-US" w:eastAsia="zh-CN"/>
              </w:rPr>
              <w:t>.</w:t>
            </w:r>
            <w:r>
              <w:rPr>
                <w:rFonts w:hint="eastAsia" w:ascii="宋体" w:hAnsi="宋体" w:cs="宋体"/>
                <w:b w:val="0"/>
                <w:bCs/>
                <w:color w:val="auto"/>
                <w:szCs w:val="21"/>
                <w:lang w:val="en-US" w:eastAsia="zh-CN"/>
              </w:rPr>
              <w:t>报价不得高于网上采购价格（京东、天猫等网上电商）。</w:t>
            </w:r>
          </w:p>
        </w:tc>
      </w:tr>
    </w:tbl>
    <w:p>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footerReference r:id="rId3" w:type="default"/>
      <w:pgSz w:w="11906" w:h="16838"/>
      <w:pgMar w:top="1100" w:right="1519" w:bottom="110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7AA2"/>
    <w:multiLevelType w:val="singleLevel"/>
    <w:tmpl w:val="14B37AA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1FA65AD"/>
    <w:rsid w:val="03837AC8"/>
    <w:rsid w:val="03AA5DB1"/>
    <w:rsid w:val="05AE092A"/>
    <w:rsid w:val="05B2719F"/>
    <w:rsid w:val="063F6C84"/>
    <w:rsid w:val="06C64EA2"/>
    <w:rsid w:val="06CA12FF"/>
    <w:rsid w:val="091F0FEF"/>
    <w:rsid w:val="09505A5B"/>
    <w:rsid w:val="0DC43F13"/>
    <w:rsid w:val="0EEF4FBF"/>
    <w:rsid w:val="0FE76391"/>
    <w:rsid w:val="10D0497D"/>
    <w:rsid w:val="10FF31B3"/>
    <w:rsid w:val="11A958FA"/>
    <w:rsid w:val="12E666D9"/>
    <w:rsid w:val="14281A18"/>
    <w:rsid w:val="159B027D"/>
    <w:rsid w:val="15F35750"/>
    <w:rsid w:val="179B606A"/>
    <w:rsid w:val="19263A4B"/>
    <w:rsid w:val="193208CA"/>
    <w:rsid w:val="193E7619"/>
    <w:rsid w:val="196D36B1"/>
    <w:rsid w:val="1A0C358A"/>
    <w:rsid w:val="1ADD03C2"/>
    <w:rsid w:val="1ADF238C"/>
    <w:rsid w:val="1AFB6982"/>
    <w:rsid w:val="1B6818C2"/>
    <w:rsid w:val="1C2259B3"/>
    <w:rsid w:val="1DDE5175"/>
    <w:rsid w:val="1FBC4A4A"/>
    <w:rsid w:val="21FE759C"/>
    <w:rsid w:val="224107B5"/>
    <w:rsid w:val="22A30143"/>
    <w:rsid w:val="23353C5C"/>
    <w:rsid w:val="24A45F71"/>
    <w:rsid w:val="256A369B"/>
    <w:rsid w:val="27341555"/>
    <w:rsid w:val="29105874"/>
    <w:rsid w:val="2991601D"/>
    <w:rsid w:val="2ADB451B"/>
    <w:rsid w:val="2B2636BF"/>
    <w:rsid w:val="2BB176EE"/>
    <w:rsid w:val="2CA3150A"/>
    <w:rsid w:val="2D182FF0"/>
    <w:rsid w:val="2E0E6DB8"/>
    <w:rsid w:val="347D0460"/>
    <w:rsid w:val="34951FE2"/>
    <w:rsid w:val="34C57128"/>
    <w:rsid w:val="37E15394"/>
    <w:rsid w:val="384004B6"/>
    <w:rsid w:val="386F48F8"/>
    <w:rsid w:val="398F1438"/>
    <w:rsid w:val="3A5E4C24"/>
    <w:rsid w:val="3BF632B8"/>
    <w:rsid w:val="3C555B81"/>
    <w:rsid w:val="3C647F54"/>
    <w:rsid w:val="3C74072E"/>
    <w:rsid w:val="3DE034A8"/>
    <w:rsid w:val="3E5365B8"/>
    <w:rsid w:val="3F9D38CE"/>
    <w:rsid w:val="40060E95"/>
    <w:rsid w:val="40300E10"/>
    <w:rsid w:val="403101EE"/>
    <w:rsid w:val="411377D7"/>
    <w:rsid w:val="43AA712C"/>
    <w:rsid w:val="44576961"/>
    <w:rsid w:val="44EB199C"/>
    <w:rsid w:val="459F5CA0"/>
    <w:rsid w:val="460222FB"/>
    <w:rsid w:val="47550258"/>
    <w:rsid w:val="47FC5A7C"/>
    <w:rsid w:val="48A64DFE"/>
    <w:rsid w:val="49D35601"/>
    <w:rsid w:val="4B5160DF"/>
    <w:rsid w:val="4DB9497E"/>
    <w:rsid w:val="4F673F38"/>
    <w:rsid w:val="4FBE0E3B"/>
    <w:rsid w:val="505563FD"/>
    <w:rsid w:val="50CB36A2"/>
    <w:rsid w:val="51143E36"/>
    <w:rsid w:val="52E33AC0"/>
    <w:rsid w:val="553625CD"/>
    <w:rsid w:val="5559450E"/>
    <w:rsid w:val="58C21972"/>
    <w:rsid w:val="5B8326F2"/>
    <w:rsid w:val="5BE36CC5"/>
    <w:rsid w:val="5C290371"/>
    <w:rsid w:val="5CFD7E74"/>
    <w:rsid w:val="5DCA244C"/>
    <w:rsid w:val="6037369D"/>
    <w:rsid w:val="605E0C2A"/>
    <w:rsid w:val="60A01243"/>
    <w:rsid w:val="61673FEA"/>
    <w:rsid w:val="61855BBC"/>
    <w:rsid w:val="61952D71"/>
    <w:rsid w:val="65B5753E"/>
    <w:rsid w:val="66021B9F"/>
    <w:rsid w:val="67B205BD"/>
    <w:rsid w:val="68404D87"/>
    <w:rsid w:val="68686AEA"/>
    <w:rsid w:val="68AB3430"/>
    <w:rsid w:val="69623688"/>
    <w:rsid w:val="696C5805"/>
    <w:rsid w:val="6B6317EA"/>
    <w:rsid w:val="6BCC7390"/>
    <w:rsid w:val="6CB853BD"/>
    <w:rsid w:val="6CD77017"/>
    <w:rsid w:val="6CEB5F3B"/>
    <w:rsid w:val="6D7C29DA"/>
    <w:rsid w:val="6EB2721E"/>
    <w:rsid w:val="6F0926A9"/>
    <w:rsid w:val="70150518"/>
    <w:rsid w:val="705E626E"/>
    <w:rsid w:val="736D7CF8"/>
    <w:rsid w:val="73C46754"/>
    <w:rsid w:val="74274F04"/>
    <w:rsid w:val="76CE0460"/>
    <w:rsid w:val="76EB58A6"/>
    <w:rsid w:val="779E0348"/>
    <w:rsid w:val="78C212E0"/>
    <w:rsid w:val="79DA075D"/>
    <w:rsid w:val="7AEC572A"/>
    <w:rsid w:val="7E79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
    <w:name w:val="投标正文小四"/>
    <w:basedOn w:val="1"/>
    <w:qFormat/>
    <w:uiPriority w:val="0"/>
    <w:pPr>
      <w:spacing w:line="360" w:lineRule="auto"/>
      <w:ind w:firstLine="200" w:firstLineChars="200"/>
    </w:pPr>
    <w:rPr>
      <w:sz w:val="24"/>
    </w:rPr>
  </w:style>
  <w:style w:type="paragraph" w:customStyle="1" w:styleId="11">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12">
    <w:name w:val="Normal"/>
    <w:qFormat/>
    <w:uiPriority w:val="0"/>
    <w:pPr>
      <w:widowControl w:val="0"/>
      <w:jc w:val="both"/>
    </w:pPr>
    <w:rPr>
      <w:rFonts w:ascii="Calibri" w:hAnsi="Calibr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1154</Words>
  <Characters>1196</Characters>
  <Lines>0</Lines>
  <Paragraphs>0</Paragraphs>
  <ScaleCrop>false</ScaleCrop>
  <LinksUpToDate>false</LinksUpToDate>
  <CharactersWithSpaces>1211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赖宇娟</cp:lastModifiedBy>
  <dcterms:modified xsi:type="dcterms:W3CDTF">2026-03-04T06:22:41Z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1DD6392584384DD4AC503FC2543C62B6_12</vt:lpwstr>
  </property>
  <property fmtid="{D5CDD505-2E9C-101B-9397-08002B2CF9AE}" pid="4" name="KSOTemplateDocerSaveRecord">
    <vt:lpwstr>eyJoZGlkIjoiMWVmZjBjODNiMjI1YTgzYTQ0YWU5YjdmMjFjOWI4MWUiLCJ1c2VySWQiOiI1MDEzNzQyOTUifQ==</vt:lpwstr>
  </property>
</Properties>
</file>