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Calibri" w:hAnsi="Calibri" w:eastAsia="宋体" w:cs="Times New Roman"/>
          <w:b/>
          <w:sz w:val="28"/>
          <w:szCs w:val="28"/>
        </w:rPr>
      </w:pPr>
      <w:r>
        <w:rPr>
          <w:rFonts w:hint="eastAsia" w:ascii="Calibri" w:hAnsi="Calibri" w:eastAsia="宋体" w:cs="Times New Roman"/>
          <w:b/>
          <w:sz w:val="28"/>
          <w:szCs w:val="28"/>
        </w:rPr>
        <w:t>附件</w:t>
      </w:r>
      <w:r>
        <w:rPr>
          <w:rFonts w:hint="eastAsia" w:asciiTheme="minorEastAsia" w:hAnsiTheme="minorEastAsia" w:cstheme="minorEastAsia"/>
          <w:b/>
          <w:sz w:val="28"/>
          <w:szCs w:val="28"/>
        </w:rPr>
        <w:t>1</w:t>
      </w:r>
      <w:r>
        <w:rPr>
          <w:rFonts w:hint="eastAsia" w:ascii="Calibri" w:hAnsi="Calibri" w:eastAsia="宋体" w:cs="Times New Roman"/>
          <w:b/>
          <w:sz w:val="28"/>
          <w:szCs w:val="28"/>
        </w:rPr>
        <w:t>：</w:t>
      </w:r>
    </w:p>
    <w:p>
      <w:pPr>
        <w:spacing w:line="560" w:lineRule="exact"/>
        <w:jc w:val="center"/>
        <w:rPr>
          <w:rFonts w:hint="eastAsia" w:ascii="Calibri" w:hAnsi="Calibri" w:eastAsia="宋体" w:cs="Times New Roman"/>
          <w:b/>
          <w:sz w:val="36"/>
          <w:szCs w:val="36"/>
        </w:rPr>
      </w:pPr>
      <w:r>
        <w:rPr>
          <w:rFonts w:hint="eastAsia" w:ascii="Calibri" w:hAnsi="Calibri" w:eastAsia="宋体" w:cs="Times New Roman"/>
          <w:b/>
          <w:sz w:val="36"/>
          <w:szCs w:val="36"/>
        </w:rPr>
        <w:t>用户需求书</w:t>
      </w:r>
    </w:p>
    <w:p>
      <w:pPr>
        <w:pStyle w:val="16"/>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cs="宋体"/>
          <w:b/>
          <w:color w:val="000000"/>
          <w:sz w:val="21"/>
          <w:szCs w:val="21"/>
        </w:rPr>
      </w:pPr>
    </w:p>
    <w:p>
      <w:pPr>
        <w:pStyle w:val="16"/>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cs="宋体" w:hAnsiTheme="minorHAnsi" w:eastAsiaTheme="minorEastAsia"/>
          <w:b/>
          <w:bCs w:val="0"/>
          <w:kern w:val="0"/>
          <w:sz w:val="24"/>
          <w:szCs w:val="24"/>
          <w:lang w:val="en-US" w:eastAsia="zh-CN" w:bidi="en-US"/>
        </w:rPr>
      </w:pPr>
      <w:r>
        <w:rPr>
          <w:rFonts w:hint="eastAsia" w:ascii="宋体" w:cs="宋体" w:hAnsiTheme="minorHAnsi" w:eastAsiaTheme="minorEastAsia"/>
          <w:b/>
          <w:bCs w:val="0"/>
          <w:kern w:val="0"/>
          <w:sz w:val="24"/>
          <w:szCs w:val="24"/>
          <w:lang w:val="en-US" w:eastAsia="zh-CN" w:bidi="en-US"/>
        </w:rPr>
        <w:t>总则</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1、成交供应商必须按国家、行业的标准及采购文件的要求对本项目提供相应的货物及服务。</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2、《用户需求书》中凡有“★”标识的内容条款(如有)被视为实质性响应项目、指标；响应供应商必须对此做出回答并完全满足这些要求不可以出现任何负偏离，如果出现负偏离将被视为无效响应。</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3、本项目由成交供应商负责采购文件对成交供应商要求的一切事宜及责任。若响应报价有缺漏项的，缺漏项部分的价格视为已包含在响应报价中，成交后不作任何调整，采购人将不再支付任何费用。</w:t>
      </w:r>
    </w:p>
    <w:p>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4、本项目不允许提交备选方案，不允许联合体响应、转包或分包。</w:t>
      </w:r>
    </w:p>
    <w:p>
      <w:pPr>
        <w:pStyle w:val="10"/>
        <w:rPr>
          <w:sz w:val="24"/>
          <w:szCs w:val="24"/>
        </w:rPr>
      </w:pPr>
    </w:p>
    <w:p>
      <w:pPr>
        <w:numPr>
          <w:ilvl w:val="0"/>
          <w:numId w:val="1"/>
        </w:numPr>
        <w:spacing w:line="480" w:lineRule="auto"/>
        <w:jc w:val="left"/>
        <w:rPr>
          <w:rFonts w:hint="eastAsia"/>
          <w:sz w:val="24"/>
          <w:szCs w:val="24"/>
          <w:lang w:eastAsia="zh-CN"/>
        </w:rPr>
      </w:pPr>
      <w:r>
        <w:rPr>
          <w:rFonts w:hint="eastAsia" w:asciiTheme="minorEastAsia" w:hAnsiTheme="minorEastAsia" w:cstheme="minorEastAsia"/>
          <w:b/>
          <w:sz w:val="24"/>
          <w:szCs w:val="24"/>
          <w:lang w:eastAsia="zh-CN"/>
        </w:rPr>
        <w:t>项目概况</w:t>
      </w:r>
      <w:r>
        <w:rPr>
          <w:rFonts w:hint="eastAsia"/>
          <w:sz w:val="24"/>
          <w:szCs w:val="24"/>
          <w:lang w:eastAsia="zh-CN"/>
        </w:rPr>
        <w:t>：</w:t>
      </w:r>
    </w:p>
    <w:p>
      <w:pPr>
        <w:numPr>
          <w:ilvl w:val="0"/>
          <w:numId w:val="0"/>
        </w:numPr>
        <w:spacing w:line="480" w:lineRule="auto"/>
        <w:jc w:val="left"/>
        <w:rPr>
          <w:rFonts w:hint="eastAsia"/>
          <w:b w:val="0"/>
          <w:bCs/>
          <w:sz w:val="24"/>
          <w:szCs w:val="24"/>
          <w:lang w:eastAsia="zh-CN"/>
        </w:rPr>
      </w:pPr>
      <w:r>
        <w:rPr>
          <w:rFonts w:hint="eastAsia" w:asciiTheme="minorHAnsi" w:hAnsiTheme="minorHAnsi" w:eastAsiaTheme="minorEastAsia" w:cstheme="minorBidi"/>
          <w:b w:val="0"/>
          <w:bCs/>
          <w:kern w:val="2"/>
          <w:sz w:val="24"/>
          <w:szCs w:val="24"/>
          <w:lang w:val="en-US" w:eastAsia="zh-CN" w:bidi="ar-SA"/>
        </w:rPr>
        <w:t>（一）</w:t>
      </w:r>
      <w:r>
        <w:rPr>
          <w:rFonts w:hint="eastAsia"/>
          <w:sz w:val="24"/>
          <w:szCs w:val="24"/>
          <w:lang w:eastAsia="zh-CN"/>
        </w:rPr>
        <w:t>项目名称：</w:t>
      </w:r>
      <w:r>
        <w:rPr>
          <w:rFonts w:hint="eastAsia"/>
          <w:b w:val="0"/>
          <w:bCs/>
          <w:sz w:val="24"/>
          <w:szCs w:val="24"/>
          <w:lang w:eastAsia="zh-CN"/>
        </w:rPr>
        <w:t>中山市黄圃人民医院202</w:t>
      </w:r>
      <w:r>
        <w:rPr>
          <w:rFonts w:hint="eastAsia"/>
          <w:b w:val="0"/>
          <w:bCs/>
          <w:sz w:val="24"/>
          <w:szCs w:val="24"/>
          <w:lang w:val="en-US" w:eastAsia="zh-CN"/>
        </w:rPr>
        <w:t>6-2027</w:t>
      </w:r>
      <w:r>
        <w:rPr>
          <w:rFonts w:hint="eastAsia"/>
          <w:b w:val="0"/>
          <w:bCs/>
          <w:sz w:val="24"/>
          <w:szCs w:val="24"/>
          <w:lang w:eastAsia="zh-CN"/>
        </w:rPr>
        <w:t>年度印刷服务项目</w:t>
      </w:r>
    </w:p>
    <w:p>
      <w:pPr>
        <w:numPr>
          <w:ilvl w:val="-1"/>
          <w:numId w:val="0"/>
        </w:numPr>
        <w:spacing w:line="480" w:lineRule="auto"/>
        <w:jc w:val="left"/>
        <w:rPr>
          <w:rFonts w:hint="eastAsia"/>
          <w:b w:val="0"/>
          <w:bCs/>
          <w:sz w:val="24"/>
          <w:szCs w:val="24"/>
          <w:lang w:eastAsia="zh-CN"/>
        </w:rPr>
      </w:pPr>
      <w:r>
        <w:rPr>
          <w:rFonts w:hint="eastAsia"/>
          <w:b w:val="0"/>
          <w:bCs/>
          <w:sz w:val="24"/>
          <w:szCs w:val="24"/>
          <w:lang w:eastAsia="zh-CN"/>
        </w:rPr>
        <w:t>（二）报价仅为评审价格，不作为合同价，实际以成交单价×实际采购数量进行结算。具体采购需在广东政府采购智慧云平台下单交易。</w:t>
      </w:r>
    </w:p>
    <w:p>
      <w:pPr>
        <w:spacing w:line="560" w:lineRule="exact"/>
        <w:rPr>
          <w:rFonts w:asciiTheme="minorEastAsia" w:hAnsiTheme="minorEastAsia" w:cstheme="minorEastAsia"/>
          <w:b/>
          <w:sz w:val="24"/>
          <w:szCs w:val="24"/>
        </w:rPr>
      </w:pPr>
      <w:r>
        <w:rPr>
          <w:rFonts w:hint="eastAsia" w:asciiTheme="minorEastAsia" w:hAnsiTheme="minorEastAsia" w:cstheme="minorEastAsia"/>
          <w:b/>
          <w:sz w:val="24"/>
          <w:szCs w:val="24"/>
        </w:rPr>
        <w:t>二、采购清单</w:t>
      </w:r>
    </w:p>
    <w:tbl>
      <w:tblPr>
        <w:tblStyle w:val="9"/>
        <w:tblW w:w="10415" w:type="dxa"/>
        <w:tblInd w:w="-7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775"/>
        <w:gridCol w:w="1395"/>
        <w:gridCol w:w="1677"/>
        <w:gridCol w:w="2568"/>
        <w:gridCol w:w="645"/>
        <w:gridCol w:w="1005"/>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源文件序号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cs="宋体"/>
                <w:i w:val="0"/>
                <w:iCs w:val="0"/>
                <w:color w:val="000000"/>
                <w:kern w:val="0"/>
                <w:sz w:val="22"/>
                <w:szCs w:val="22"/>
                <w:u w:val="none"/>
                <w:lang w:val="en-US" w:eastAsia="zh-CN" w:bidi="ar"/>
              </w:rPr>
              <w:t>预</w:t>
            </w:r>
            <w:r>
              <w:rPr>
                <w:rFonts w:hint="eastAsia" w:ascii="宋体" w:hAnsi="宋体" w:eastAsia="宋体" w:cs="宋体"/>
                <w:i w:val="0"/>
                <w:iCs w:val="0"/>
                <w:color w:val="000000"/>
                <w:kern w:val="0"/>
                <w:sz w:val="22"/>
                <w:szCs w:val="22"/>
                <w:u w:val="none"/>
                <w:lang w:val="en-US" w:eastAsia="zh-CN" w:bidi="ar"/>
              </w:rPr>
              <w:t>估用量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病历封面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250克双铜纸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44*31cm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按样本（10种颜色）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产妇中医体质辨识报告</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产妇中医体质辨识报告</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产科入院健康宣教表单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产科母婴交接表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产科手术知情同意书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出院缴费通知书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经阴道分娩器械敷料清点记录单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03-3/改269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母乳喂养支持组织随访登记卡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盆底功能检测报告</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03-7改333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盆底功能检查申请单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身份证、母亲指印、新生儿脚印粘贴单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胎盘处置知情同意书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糖尿病营养膳食指南</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63改327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温馨提示（产科血糖监测）</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新生儿疾病筛查知情告知书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医疗付款方式征询书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中山市新生儿听力筛查报告单知情同意书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住院病历评分表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入院信息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妇科子宫腔镜检查与手术知情同意书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腹腔镜下子宫手术知情同意书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手术前（操作前）与家属谈话签字单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住院病历（辅助材料8页）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按样本，每份8页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处方笺（附方）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处方笺（精二）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处方笺（麻、精一）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急诊病人记录单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口腔科X线检查会诊单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口腔科正畸组病历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口腔科治疗知情同意书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26.5*19cm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口腔科种植组病历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CHA手术安全核查表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04改310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手术麻醉收费单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62改309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病危（重）通知书 ICU</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18*21cm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病危（重）通知书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按样本，每本200张，加封面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出入院病人登记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29.5*21cm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临床科室领血单（2联）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13.5*15.5cm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按样本，每本50份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临床用血申请单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医疗废物外包袋警示标识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08改338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病理活体组织检查申请单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电子肠镜检查预约单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电子内镜（胃/肠/胶囊/十二指肠/超声内镜等）检查申请单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病假证明书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12.5*14.5cm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多次治疗预约证</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12.5*10cm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疾病诊断证明书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中信封</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17.5*12.3cm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大信封</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32.5*23cm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档案袋</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22.8*3.3*30.5cm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肺热清解口服液标签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苦柏妇洁洗剂标签（方形）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苦柏妇洁洗剂药盒（冲洗瓶）</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16.5*10*11cm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46/改307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天葵菌毒清颗粒药盒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65改331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银菊病毒清口服液标签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08改346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纸箱（小）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42.5*32*13cm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按样本，V838A加强美牛； 五层瓦楞；内衬纸加厚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护理安全知情同意书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检验报告粘贴单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开具麻醉药品、第一类精神药品处方登记专册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，加封面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胃管入标识粘贴卡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有创性诊断、治疗操作（包括内、外科）同意书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体检报告信封</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300克白卡纸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327*245mm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按样本，开窗65*97MM，贴0.05透明PVC,封口位贴双面胶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病理科玻片标签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2.5*2.2cm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按样本(小张）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出生医学证明首次签发登记表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科负责人防火检查记录（周查）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按样本，每本16张（双面） ，加封面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供应室自检单（大）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21*26cm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供应室自检单（小）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每日消防安全检查情况表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按样本，每本16张（双面） ，加封面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42/229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皮测黄疸指数与血清胆红素结果</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103/改268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医疗服务告知通知书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02-7、02-8，77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麻醉药品、第一类精神药品入库、进出专库（柜登记专册）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按样本、每本50张，加封面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妇科流产手术同意书</w:t>
            </w:r>
            <w:r>
              <w:rPr>
                <w:rFonts w:hint="eastAsia" w:ascii="宋体" w:hAnsi="宋体" w:cs="宋体"/>
                <w:i w:val="0"/>
                <w:iCs w:val="0"/>
                <w:color w:val="000000"/>
                <w:kern w:val="0"/>
                <w:sz w:val="22"/>
                <w:szCs w:val="22"/>
                <w:u w:val="none"/>
                <w:lang w:val="en-US" w:eastAsia="zh-CN" w:bidi="ar"/>
              </w:rPr>
              <w:t xml:space="preserve">(取出宫内节育器手术知情同意书)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妇科入院健康宣教书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妇科手术知情同意书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宫腔镜预约登记本（妇科）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口服米索前列醇告知书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盆底康复注意事项（妇科）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茵栀苓口服液标签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茵栀苓口服液药盒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肺热清解口服液药盒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加蒲生化妇康颗粒药盒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扶仁止泻口服液标签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08改346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呋喃西林溶液标签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按样本，10小张/张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X光、CT、MR、检查申请单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院内会诊单（急诊科）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新生儿床头卡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250克卡纸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8.5*6.5cm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消毒供应室承压类设备技术档案记录表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供应室消毒供应室外来器械及植入物灭菌监测记录表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医患双方不收和不送“红包”协议书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II级产前超声检查患者知情同意书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05改265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I级产前超声检查患者知情同意书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06改266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病历复印申请书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按样本，每本31张，加封面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按样本，每本60张，加封面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产科婴儿心形挂牌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300克双铜纸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7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肠腹宁颗粒药盒</w:t>
            </w:r>
          </w:p>
        </w:tc>
        <w:tc>
          <w:tcPr>
            <w:tcW w:w="1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25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15更改 305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电加热锅炉运行日志</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29.5*21</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儿童保健手册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牛皮纸封面，70克双胶纸内页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膏方标签（空白）</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膏方标签（说明）</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大型检查贵重药品高值（自费、植入性）耗材使用知情告知书</w:t>
            </w:r>
            <w:r>
              <w:rPr>
                <w:rFonts w:hint="eastAsia" w:ascii="宋体" w:hAnsi="宋体" w:cs="宋体"/>
                <w:i w:val="0"/>
                <w:iCs w:val="0"/>
                <w:color w:val="000000"/>
                <w:kern w:val="0"/>
                <w:sz w:val="22"/>
                <w:szCs w:val="22"/>
                <w:u w:val="none"/>
                <w:lang w:val="en-US" w:eastAsia="zh-CN" w:bidi="ar"/>
              </w:rPr>
              <w:t>（急性脑梗死治疗高值耗材、贵重药品使用告知同意书）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97/改271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内部管理保安员巡查记录表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牛皮纸封面，70克双胶纸内页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21*14.5cm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按样本，每本40张（双面）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入住重症监护室（ICU）告知书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中山市新生儿疾病免费筛查知情同意书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药品材料出库汇总表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19.5*11.2cm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按样本，两联上白下红，50份/本，胶左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暂收单汇总登记表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按样本，两联上白下红，50份/本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银菊病毒清口服液药盒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英花伤宁口服液药盒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16.8*5.8*10cm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药械出入库登记卡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250克白板纸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天葵菌毒清颗粒礼品盒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坑纸+卡纸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33*10.6*15.7cm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制剂物料单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消毒供应中心工作满意度调查表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纸箱（大）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43*35*20cm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V838A加强美牛； 五层瓦楞；内衬纸加厚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扶仁止泻口服液药盒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按样本，一折两页，彩刷，包设计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按样本，两折三页，彩刷，包设计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21*38cm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按样本，三折四页，彩刷，包设计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按样本，全书16p，彩印，骑马钉</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按样本，每本100张（双面），绿色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分娩镇痛知情同意书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中山市黄圃人民医院收款证明</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19.1*10cm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按样本，三联，每本50份，牛皮纸封面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新生儿安全责任书（产科）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产科出院告知书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150/改270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患者健康宣教表单(骨二科）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中心供氧运行记录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神经血液内科入院健康宣教书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医院公务车出车登记表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妇科口服药物流产告知书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妇科人流、药流预约流程（包括取环、上环）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药物流产记录表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妇科药物流产后告知书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妇科人流术后告知书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人流术病历及手术记录表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中山市黄圃人民医院舒适医疗麻醉知情同意书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）镜清洗消毒登记本</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70克双胶纸+牛皮纸封面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拔牙术后须知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60克色书纸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黄圃人民医院血液透析记录单（改版）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196改339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取环登记本</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按样板、每份4页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上环登记本</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按样板、每份4页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危险废物转移联单（上半月，下半月）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19*26.7cm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无痛人流术病历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按样板、每份6页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药流病历（妇科）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按样板、每份10页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预约单（口腔科）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60克色书纸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取环术登记册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上环术登记册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29.5*42cm </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无痛人流术登记册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无痛药流术登记册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有痛人流术登记册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有痛药流术登记册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29.5*42cm </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胸痛中心时间管理记录表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A4 </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209/改241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病人申请退费凭（门诊部）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23*12.5cm </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 ,单面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ASPECT评分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mRS评分表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NIHSS评分量表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大型耗材告知同意书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急性脑梗死静脉溶栓治疗同意书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急诊临时医嘱</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拒绝或放弃医学治疗告知书(急诊)</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绿色通道化验单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218改302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脑血管介入治疗手术同意书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手术部位标记图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中山市黄圃人民医院卒中中心急性脑梗死血管内治疗时间控制表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中山市黄圃人民医院卒中中心绿色通道时间控制表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223改303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蛛网膜下腔出血的HUNT-HESS分级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盆底功能康复预约单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210*285cm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值班医师交接班记录本</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按样本（100页/本），加封面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牙周龈下刮治及根面平整术知情同意书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妇科普查表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活血壮骨胶囊标签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养心复脉胶囊标签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英花伤宁口服液标签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参罗胶囊标签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308改346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利湿康肝胶囊标签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CRUSADE出血风险评估表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245改323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GRACE评分表-实用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244改321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纯音测听报告</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儿童口腔体检表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14.5*21cm </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发热门诊就诊患者留观告知书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14.5*21cm </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黄圃人民医院供应室器械物品回收登记表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黄圃人民医院溶栓筛查表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21*29.5cm </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急性心肌梗死溶栓治疗知情同意书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急性胸痛患者终止治疗知情同意书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介入诊断及治疗知情同意书(双面）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251改322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母乳喂养宣传手册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21*28.5cm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按样板，三折页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体检报告单及TST检测记录单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 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消毒供应室超大超重灭菌包检测结果记录表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胸痛时间管理表介入室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原始单据粘贴单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 单面 单色印刷（墨蓝色）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送健康惠群众单张（乳腺宣传）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按样本，A5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手术麻醉科麻醉药品、第一类精神药品专册记录表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《出生医学证明》签发知情告知书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（上午）电子结肠镜检查服药方法及注意事项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（下午）电子结肠镜检查服药方法及注意事项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胃、十二指肠、结肠镜检查知情同意书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中医体质辨识报告量表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按样本，每本200张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慢性创面治疗（宣传文件）</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按样本，两折三页，彩刷，包设计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预防梅毒母婴传播药物服用及采取相关措施知情同意书（保密）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介入冠脉+支架植入手术收费单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介入治疗、造影护理记录单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神经外科介入收费单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急性心梗救治手册（宣传册子）</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按样本，12页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PAC人流病历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按样本，每份11页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微生物登记本</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A4纸大小</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微生物工作记录表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A5纸大小</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血培养记录表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A4纸大小</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广东省非免疫规划疫苗知情同意书（人用狂犬疫苗）双面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企业使用易制毒化学品出入库登记表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企业人员进出易制毒化学品仓库情况登记表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企业易制毒化学品使用情况登记表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骨科熏洗液1号标签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骨科熏洗液2号标签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骨科熏洗液3号标签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活络液标签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四黄液标签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苦连肤康方标签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5</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消肿止痛液标签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蛇蚁方标签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医疗废物标签（热敏）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热敏打印纸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按样板，60张/卷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体检报告表信封</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100克牛皮纸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16*22cm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按样本，开天窗粘薄膜</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有效期标识500*1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管道标识500*1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引流袋标识500*1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胃管标识500*1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中心静脉管标识500*1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尿管标识500*1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临床科室医院感染管理工作记录本</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封面彩色，内页80克双胶单黑印，胶装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医技、门诊医院感染管理工作记录本</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封面彩色，内页80克双胶单黑印，胶装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麻醉药品、第一类精神药品处方登记专册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麻醉药品、第一类精神药品专账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药品类易制毒化学品处方登记专册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药品类易制毒化学品专账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广东省医疗机构门（急）诊通用病历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通用版24P，单黑印，加封面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影像光盘纸壳套</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450克白卡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成品22.5*31.5cm,展开尺寸45.0*44.5cm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按样板，双面彩印，过亚膜，异形啤、粘</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影像胶片袋</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OPP35/PE85复合</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成品尺寸420*509cm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按样板，三边封，8色印刷，含模具费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中医体质辨识量表 儿童组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按样板，6页,双面打印,左钉</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中山市黄圃人民医院收费处医疗业务收入现金缴款单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按样本，三联，每本50份，牛皮纸封面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新入职护士规范化培训手册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按样板，约110页，封面彩色，双面单黑印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出院患者回访记录表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按样本，每本100张（双面），加封面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门诊随访登记表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按样本，每份2页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心力衰竭患者档案管理表格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按样本，每份4页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体检科套餐手册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157双铜彩印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全书36P，活页（每页打孔）</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抢救车使用登记本(不封车)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封面230g蓝色皮纹纸彩色印刷；内页高白70g双胶纸黑白印刷；无线胶装；40p</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抢救车使用登记本(封车)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封面230g蓝色皮纹纸彩色印刷；内页高白70g双胶纸黑白印刷；无线胶装；40p</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手术室外麻醉同意书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外来器械及植入物管理记录单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日间麻醉复苏室监护记录单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麻醉舒适化治疗评估单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255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低温等离子消毒物品接收清单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“120”急救指挥中心院前急救记录单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21*29.5cm</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住院患者一般情况登记表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bl>
    <w:p>
      <w:pPr>
        <w:spacing w:line="5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1、数量为年度预估用量，按实际送货量结算，分批次下单。</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2、采购清单内容根据医院需求可能会发生变更。</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3、成交供应商供货时，不在以上清单内的货物按照相同材料、尺寸及规格的货物报价进行结算。</w:t>
      </w:r>
    </w:p>
    <w:p>
      <w:pPr>
        <w:spacing w:line="560" w:lineRule="exact"/>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4、成交供应商供货时，不在以上清单内的货物且无相同材料、无相同尺寸及无相同规格的货物，由双方协商决定按市场价报价进行结算。</w:t>
      </w:r>
    </w:p>
    <w:p>
      <w:pPr>
        <w:widowControl/>
        <w:autoSpaceDE w:val="0"/>
        <w:autoSpaceDN w:val="0"/>
        <w:spacing w:line="460" w:lineRule="exact"/>
        <w:ind w:firstLine="420" w:firstLineChars="0"/>
        <w:jc w:val="left"/>
        <w:textAlignment w:val="bottom"/>
        <w:rPr>
          <w:rFonts w:hint="eastAsia" w:asciiTheme="minorEastAsia" w:hAnsiTheme="minorEastAsia" w:eastAsiaTheme="minorEastAsia" w:cstheme="minorEastAsia"/>
        </w:rPr>
      </w:pPr>
      <w:r>
        <w:rPr>
          <w:rFonts w:hint="eastAsia" w:ascii="宋体" w:hAnsi="宋体" w:eastAsia="宋体" w:cs="Times New Roman"/>
          <w:b/>
          <w:sz w:val="24"/>
          <w:lang w:val="en-US" w:eastAsia="zh-CN"/>
        </w:rPr>
        <w:t>二、商务要求</w:t>
      </w:r>
    </w:p>
    <w:tbl>
      <w:tblPr>
        <w:tblStyle w:val="9"/>
        <w:tblW w:w="926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60"/>
        <w:gridCol w:w="74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860" w:type="dxa"/>
            <w:vAlign w:val="center"/>
          </w:tcPr>
          <w:p>
            <w:pPr>
              <w:pStyle w:val="13"/>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rPr>
            </w:pPr>
            <w:r>
              <w:rPr>
                <w:rFonts w:hint="eastAsia" w:cs="Tahoma"/>
                <w:b/>
                <w:bCs/>
                <w:color w:val="auto"/>
                <w:kern w:val="28"/>
                <w:sz w:val="21"/>
                <w:szCs w:val="21"/>
                <w:highlight w:val="none"/>
              </w:rPr>
              <w:t>合同履行地点</w:t>
            </w:r>
          </w:p>
        </w:tc>
        <w:tc>
          <w:tcPr>
            <w:tcW w:w="7402" w:type="dxa"/>
            <w:vAlign w:val="top"/>
          </w:tcPr>
          <w:p>
            <w:pPr>
              <w:pStyle w:val="13"/>
              <w:keepNext w:val="0"/>
              <w:keepLines w:val="0"/>
              <w:pageBreakBefore w:val="0"/>
              <w:suppressLineNumbers w:val="0"/>
              <w:kinsoku/>
              <w:overflowPunct/>
              <w:bidi w:val="0"/>
              <w:spacing w:before="0" w:beforeAutospacing="0" w:after="0" w:afterAutospacing="0" w:line="360" w:lineRule="auto"/>
              <w:ind w:left="0" w:leftChars="0" w:right="0" w:rightChars="0"/>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860" w:type="dxa"/>
            <w:vAlign w:val="center"/>
          </w:tcPr>
          <w:p>
            <w:pPr>
              <w:pStyle w:val="13"/>
              <w:pageBreakBefore w:val="0"/>
              <w:kinsoku/>
              <w:overflowPunct/>
              <w:bidi w:val="0"/>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eastAsia="zh-CN"/>
              </w:rPr>
              <w:t>响应</w:t>
            </w:r>
            <w:r>
              <w:rPr>
                <w:rFonts w:hint="eastAsia" w:cs="Tahoma"/>
                <w:b/>
                <w:bCs/>
                <w:color w:val="auto"/>
                <w:kern w:val="28"/>
                <w:sz w:val="21"/>
                <w:szCs w:val="21"/>
                <w:highlight w:val="none"/>
              </w:rPr>
              <w:t>有效期</w:t>
            </w:r>
          </w:p>
        </w:tc>
        <w:tc>
          <w:tcPr>
            <w:tcW w:w="7402" w:type="dxa"/>
            <w:vAlign w:val="top"/>
          </w:tcPr>
          <w:p>
            <w:pPr>
              <w:pStyle w:val="13"/>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860" w:type="dxa"/>
            <w:vAlign w:val="center"/>
          </w:tcPr>
          <w:p>
            <w:pPr>
              <w:pStyle w:val="13"/>
              <w:pageBreakBefore w:val="0"/>
              <w:kinsoku/>
              <w:overflowPunct/>
              <w:bidi w:val="0"/>
              <w:spacing w:line="360" w:lineRule="auto"/>
              <w:jc w:val="center"/>
              <w:rPr>
                <w:rFonts w:hint="eastAsia" w:eastAsia="宋体" w:cs="Tahoma"/>
                <w:b/>
                <w:bCs/>
                <w:color w:val="auto"/>
                <w:kern w:val="28"/>
                <w:sz w:val="21"/>
                <w:szCs w:val="21"/>
                <w:highlight w:val="none"/>
                <w:lang w:val="en-US" w:eastAsia="zh-CN"/>
              </w:rPr>
            </w:pPr>
            <w:r>
              <w:rPr>
                <w:rFonts w:hint="eastAsia" w:cs="Tahoma"/>
                <w:b/>
                <w:bCs/>
                <w:color w:val="auto"/>
                <w:kern w:val="28"/>
                <w:sz w:val="21"/>
                <w:szCs w:val="21"/>
                <w:highlight w:val="none"/>
                <w:lang w:val="en-US" w:eastAsia="zh-CN"/>
              </w:rPr>
              <w:t>服务期限</w:t>
            </w:r>
          </w:p>
        </w:tc>
        <w:tc>
          <w:tcPr>
            <w:tcW w:w="7402" w:type="dxa"/>
            <w:vAlign w:val="top"/>
          </w:tcPr>
          <w:p>
            <w:pPr>
              <w:pStyle w:val="13"/>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两年（具体起止时间以合同约定为准）或结算金额累计达到本项目采购预算金额时合同提前终止，以先到者为准。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7" w:hRule="atLeast"/>
        </w:trPr>
        <w:tc>
          <w:tcPr>
            <w:tcW w:w="1860" w:type="dxa"/>
            <w:vAlign w:val="center"/>
          </w:tcPr>
          <w:p>
            <w:pPr>
              <w:pStyle w:val="13"/>
              <w:pageBreakBefore w:val="0"/>
              <w:kinsoku/>
              <w:overflowPunct/>
              <w:bidi w:val="0"/>
              <w:spacing w:line="360" w:lineRule="auto"/>
              <w:jc w:val="center"/>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bidi="ar-SA"/>
              </w:rPr>
              <w:t>付款方式</w:t>
            </w:r>
          </w:p>
        </w:tc>
        <w:tc>
          <w:tcPr>
            <w:tcW w:w="7402" w:type="dxa"/>
            <w:vAlign w:val="top"/>
          </w:tcPr>
          <w:p>
            <w:pPr>
              <w:pStyle w:val="16"/>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本合同的款项以人民币</w:t>
            </w:r>
            <w:r>
              <w:rPr>
                <w:rFonts w:hint="eastAsia" w:ascii="宋体" w:cs="Tahoma"/>
                <w:color w:val="000000"/>
                <w:kern w:val="28"/>
                <w:sz w:val="21"/>
                <w:szCs w:val="21"/>
                <w:highlight w:val="none"/>
                <w:lang w:val="en-US" w:eastAsia="zh-CN" w:bidi="ar-SA"/>
              </w:rPr>
              <w:t>银行转账</w:t>
            </w:r>
            <w:r>
              <w:rPr>
                <w:rFonts w:hint="eastAsia" w:ascii="宋体" w:hAnsi="Times New Roman" w:eastAsia="宋体" w:cs="Tahoma"/>
                <w:color w:val="000000"/>
                <w:kern w:val="28"/>
                <w:sz w:val="21"/>
                <w:szCs w:val="21"/>
                <w:highlight w:val="none"/>
                <w:lang w:val="en-US" w:eastAsia="zh-CN" w:bidi="ar-SA"/>
              </w:rPr>
              <w:t>方式支付；</w:t>
            </w:r>
          </w:p>
          <w:p>
            <w:pPr>
              <w:pStyle w:val="16"/>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w:t>
            </w:r>
            <w:r>
              <w:rPr>
                <w:rFonts w:hint="eastAsia" w:ascii="宋体" w:cs="Tahoma"/>
                <w:color w:val="auto"/>
                <w:kern w:val="28"/>
                <w:sz w:val="21"/>
                <w:szCs w:val="21"/>
                <w:highlight w:val="none"/>
                <w:lang w:val="en-US" w:eastAsia="zh-CN" w:bidi="ar-SA"/>
              </w:rPr>
              <w:t>每批次的采购</w:t>
            </w:r>
            <w:r>
              <w:rPr>
                <w:rFonts w:hint="eastAsia" w:ascii="宋体" w:cs="Tahoma"/>
                <w:color w:val="000000"/>
                <w:kern w:val="28"/>
                <w:sz w:val="21"/>
                <w:szCs w:val="21"/>
                <w:highlight w:val="none"/>
                <w:lang w:val="en-US" w:eastAsia="zh-CN" w:bidi="ar-SA"/>
              </w:rPr>
              <w:t>，</w:t>
            </w:r>
            <w:r>
              <w:rPr>
                <w:rFonts w:hint="eastAsia" w:ascii="宋体" w:hAnsi="Times New Roman" w:eastAsia="宋体" w:cs="Tahoma"/>
                <w:color w:val="000000"/>
                <w:kern w:val="28"/>
                <w:sz w:val="21"/>
                <w:szCs w:val="21"/>
                <w:highlight w:val="none"/>
                <w:lang w:val="en-US" w:eastAsia="zh-CN" w:bidi="ar-SA"/>
              </w:rPr>
              <w:t>经验收合格，采购人在收到成交供应商的款项发票申请资料且核对无误后，方可进行支付，从收到发票当天算起60日内支付款项。</w:t>
            </w:r>
          </w:p>
          <w:p>
            <w:pPr>
              <w:pStyle w:val="16"/>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w:t>
            </w:r>
            <w:r>
              <w:rPr>
                <w:rFonts w:hint="eastAsia" w:ascii="宋体" w:hAnsi="Times New Roman" w:eastAsia="宋体" w:cs="Tahoma"/>
                <w:color w:val="000000"/>
                <w:kern w:val="28"/>
                <w:sz w:val="21"/>
                <w:szCs w:val="21"/>
                <w:highlight w:val="none"/>
                <w:lang w:val="en-GB" w:eastAsia="zh-CN" w:bidi="ar-SA"/>
              </w:rPr>
              <w:t>因采购人使用的是财政资金，按政府审批流程支付，若审批延迟则相应货款到账延迟，且不视为采购人违约。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44" w:hRule="atLeast"/>
        </w:trPr>
        <w:tc>
          <w:tcPr>
            <w:tcW w:w="1860" w:type="dxa"/>
            <w:vAlign w:val="center"/>
          </w:tcPr>
          <w:p>
            <w:pPr>
              <w:pStyle w:val="13"/>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eastAsiaTheme="minorEastAsia"/>
                <w:b/>
                <w:bCs/>
                <w:color w:val="000000"/>
                <w:kern w:val="28"/>
                <w:sz w:val="21"/>
                <w:szCs w:val="21"/>
                <w:highlight w:val="none"/>
                <w:lang w:eastAsia="zh-CN"/>
              </w:rPr>
            </w:pPr>
            <w:r>
              <w:rPr>
                <w:rFonts w:hint="eastAsia" w:cs="Tahoma"/>
                <w:b/>
                <w:bCs/>
                <w:color w:val="000000"/>
                <w:kern w:val="28"/>
                <w:sz w:val="21"/>
                <w:szCs w:val="21"/>
                <w:highlight w:val="none"/>
                <w:lang w:eastAsia="zh-CN"/>
              </w:rPr>
              <w:t>验收要求</w:t>
            </w:r>
          </w:p>
        </w:tc>
        <w:tc>
          <w:tcPr>
            <w:tcW w:w="7402" w:type="dxa"/>
            <w:vAlign w:val="top"/>
          </w:tcPr>
          <w:p>
            <w:pPr>
              <w:pStyle w:val="16"/>
              <w:pageBreakBefore w:val="0"/>
              <w:numPr>
                <w:ilvl w:val="0"/>
                <w:numId w:val="2"/>
              </w:numPr>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按科室要求样板和数量印刷，验收无误后，方可</w:t>
            </w:r>
            <w:bookmarkStart w:id="0" w:name="_GoBack"/>
            <w:bookmarkEnd w:id="0"/>
            <w:r>
              <w:rPr>
                <w:rFonts w:hint="eastAsia" w:ascii="宋体" w:hAnsi="Times New Roman" w:eastAsia="宋体" w:cs="Tahoma"/>
                <w:color w:val="000000"/>
                <w:kern w:val="28"/>
                <w:sz w:val="21"/>
                <w:szCs w:val="21"/>
                <w:highlight w:val="none"/>
                <w:lang w:val="en-US" w:eastAsia="zh-CN" w:bidi="ar-SA"/>
              </w:rPr>
              <w:t>开单.</w:t>
            </w:r>
          </w:p>
          <w:p>
            <w:pPr>
              <w:pStyle w:val="16"/>
              <w:pageBreakBefore w:val="0"/>
              <w:numPr>
                <w:ilvl w:val="0"/>
                <w:numId w:val="2"/>
              </w:numPr>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如验收不合格，需退回重新印刷，如因为供应商印刷不合格所造成的一切损失，需供应商承担。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44" w:hRule="atLeast"/>
        </w:trPr>
        <w:tc>
          <w:tcPr>
            <w:tcW w:w="1860" w:type="dxa"/>
            <w:vAlign w:val="center"/>
          </w:tcPr>
          <w:p>
            <w:pPr>
              <w:pStyle w:val="13"/>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rPr>
              <w:t>服务要求</w:t>
            </w:r>
          </w:p>
        </w:tc>
        <w:tc>
          <w:tcPr>
            <w:tcW w:w="7402" w:type="dxa"/>
            <w:vAlign w:val="top"/>
          </w:tcPr>
          <w:p>
            <w:pPr>
              <w:pStyle w:val="16"/>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1、如货物出现质量问题成交供应商无偿更换。</w:t>
            </w:r>
          </w:p>
          <w:p>
            <w:pPr>
              <w:pStyle w:val="16"/>
              <w:pageBreakBefore w:val="0"/>
              <w:kinsoku/>
              <w:overflowPunct/>
              <w:bidi w:val="0"/>
              <w:spacing w:line="360" w:lineRule="auto"/>
              <w:ind w:left="0" w:leftChars="0" w:firstLine="0" w:firstLineChars="0"/>
              <w:rPr>
                <w:rFonts w:hint="default"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w:t>
            </w:r>
            <w:r>
              <w:rPr>
                <w:rFonts w:hint="eastAsia" w:ascii="宋体" w:cs="Tahoma"/>
                <w:color w:val="000000"/>
                <w:kern w:val="28"/>
                <w:sz w:val="21"/>
                <w:szCs w:val="21"/>
                <w:highlight w:val="none"/>
                <w:lang w:val="en-US" w:eastAsia="zh-CN" w:bidi="ar-SA"/>
              </w:rPr>
              <w:t>印刷字迹要清晰，套印准确，不能出现重页、缺页、掉页、倒装等问题，对采购人提供的文字和图片资料严格保密，不得外泄，否则需要承担相关法律责任。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3" w:hRule="atLeast"/>
        </w:trPr>
        <w:tc>
          <w:tcPr>
            <w:tcW w:w="1860" w:type="dxa"/>
            <w:vAlign w:val="center"/>
          </w:tcPr>
          <w:p>
            <w:pPr>
              <w:pStyle w:val="13"/>
              <w:pageBreakBefore w:val="0"/>
              <w:kinsoku/>
              <w:overflowPunct/>
              <w:bidi w:val="0"/>
              <w:spacing w:line="360" w:lineRule="auto"/>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lang w:val="en-US" w:eastAsia="zh-CN"/>
              </w:rPr>
              <w:t>供货要求</w:t>
            </w:r>
          </w:p>
        </w:tc>
        <w:tc>
          <w:tcPr>
            <w:tcW w:w="7402" w:type="dxa"/>
            <w:vAlign w:val="top"/>
          </w:tcPr>
          <w:p>
            <w:pPr>
              <w:pStyle w:val="16"/>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1、供货期限：自分批次的《广东政府采购智慧云平台电子卖场印刷服务定点采购合同》签订之日起</w:t>
            </w:r>
            <w:r>
              <w:rPr>
                <w:rFonts w:hint="eastAsia" w:ascii="宋体" w:cs="Tahoma"/>
                <w:color w:val="000000"/>
                <w:kern w:val="28"/>
                <w:sz w:val="21"/>
                <w:szCs w:val="21"/>
                <w:highlight w:val="none"/>
                <w:lang w:val="en-US" w:eastAsia="zh-CN" w:bidi="ar-SA"/>
              </w:rPr>
              <w:t>7</w:t>
            </w:r>
            <w:r>
              <w:rPr>
                <w:rFonts w:hint="eastAsia" w:ascii="宋体" w:hAnsi="Times New Roman" w:eastAsia="宋体" w:cs="Tahoma"/>
                <w:color w:val="000000"/>
                <w:kern w:val="28"/>
                <w:sz w:val="21"/>
                <w:szCs w:val="21"/>
                <w:highlight w:val="none"/>
                <w:lang w:val="en-US" w:eastAsia="zh-CN" w:bidi="ar-SA"/>
              </w:rPr>
              <w:t>天内完成供货。</w:t>
            </w:r>
          </w:p>
          <w:p>
            <w:pPr>
              <w:pStyle w:val="16"/>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2、交货地点：供应商接到采购人通知后按采购人要求的时间将货物统一运送至中山市黄圃人民医院指定地点进行签收。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860" w:type="dxa"/>
            <w:vAlign w:val="center"/>
          </w:tcPr>
          <w:p>
            <w:pPr>
              <w:pStyle w:val="13"/>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7402" w:type="dxa"/>
            <w:vAlign w:val="top"/>
          </w:tcPr>
          <w:p>
            <w:pPr>
              <w:pStyle w:val="13"/>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860"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highlight w:val="none"/>
                <w:lang w:val="en-US" w:eastAsia="zh-CN"/>
              </w:rPr>
              <w:t>报价说明</w:t>
            </w:r>
          </w:p>
        </w:tc>
        <w:tc>
          <w:tcPr>
            <w:tcW w:w="7402" w:type="dxa"/>
            <w:vAlign w:val="top"/>
          </w:tcPr>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1、供应商所报价格在合同执行期间是固定不变的，不得以任何理由予以变更。供应商响应报价不是固定价的响应文件将作为非实质性响应性响应而予以拒绝。</w:t>
            </w:r>
          </w:p>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供应商的报价为包含本项目所需的一切费用，包括（但不限于）：工作人员工资、食宿、福利、服装、通信工具、社保、医疗、保险、运输、可预料的风险和措施、所有税费等所有费用。供应商漏报或不报，采购人将视为该漏报或不报部分的费用已包括在已报的报价中而不予支付。</w:t>
            </w:r>
          </w:p>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3、供应商必须对所有内容进行响应，成交</w:t>
            </w:r>
            <w:r>
              <w:rPr>
                <w:rFonts w:hint="eastAsia" w:ascii="宋体" w:cs="Tahoma"/>
                <w:color w:val="000000"/>
                <w:kern w:val="28"/>
                <w:sz w:val="21"/>
                <w:szCs w:val="21"/>
                <w:highlight w:val="none"/>
                <w:lang w:val="en-US" w:eastAsia="zh-CN" w:bidi="ar-SA"/>
              </w:rPr>
              <w:t>供应商</w:t>
            </w:r>
            <w:r>
              <w:rPr>
                <w:rFonts w:hint="eastAsia" w:ascii="宋体" w:hAnsi="Times New Roman" w:eastAsia="宋体" w:cs="Tahoma"/>
                <w:color w:val="000000"/>
                <w:kern w:val="28"/>
                <w:sz w:val="21"/>
                <w:szCs w:val="21"/>
                <w:highlight w:val="none"/>
                <w:lang w:val="en-US" w:eastAsia="zh-CN" w:bidi="ar-SA"/>
              </w:rPr>
              <w:t>不得再以任何方式转包或分包本项目。</w:t>
            </w:r>
          </w:p>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4、报价需按报价表（详见附件2）报价，如名称、材料、尺寸、规格与报价表不一致，否则视为无效报价。</w:t>
            </w:r>
          </w:p>
          <w:p>
            <w:pPr>
              <w:widowControl/>
              <w:spacing w:line="360" w:lineRule="auto"/>
              <w:jc w:val="left"/>
              <w:rPr>
                <w:rFonts w:hint="eastAsia"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val="en-US" w:eastAsia="zh-CN" w:bidi="ar-SA"/>
              </w:rPr>
              <w:t>5、</w:t>
            </w:r>
            <w:r>
              <w:rPr>
                <w:rFonts w:hint="eastAsia" w:ascii="宋体" w:hAnsi="Times New Roman" w:eastAsia="宋体" w:cs="Tahoma"/>
                <w:color w:val="auto"/>
                <w:kern w:val="28"/>
                <w:sz w:val="21"/>
                <w:szCs w:val="21"/>
                <w:highlight w:val="none"/>
                <w:lang w:val="en-US" w:eastAsia="zh-CN" w:bidi="ar-SA"/>
              </w:rPr>
              <w:t>本项目组织现场二次报价，供应商需针对一次报价进行折扣率报价，报价仅作为评审价格，不作为合同价，实际以其单价最终报价进行结算。合同单价=单价报价</w:t>
            </w:r>
            <w:r>
              <w:rPr>
                <w:rFonts w:hint="eastAsia" w:ascii="宋体" w:cs="Tahoma"/>
                <w:color w:val="auto"/>
                <w:kern w:val="28"/>
                <w:sz w:val="21"/>
                <w:szCs w:val="21"/>
                <w:highlight w:val="none"/>
                <w:lang w:val="en-US" w:eastAsia="zh-CN" w:bidi="ar-SA"/>
              </w:rPr>
              <w:t>×</w:t>
            </w:r>
            <w:r>
              <w:rPr>
                <w:rFonts w:hint="eastAsia" w:ascii="宋体" w:hAnsi="Times New Roman" w:eastAsia="宋体" w:cs="Tahoma"/>
                <w:color w:val="auto"/>
                <w:kern w:val="28"/>
                <w:sz w:val="21"/>
                <w:szCs w:val="21"/>
                <w:highlight w:val="none"/>
                <w:lang w:val="en-US" w:eastAsia="zh-CN" w:bidi="ar-SA"/>
              </w:rPr>
              <w:t>折扣率。</w:t>
            </w:r>
            <w:r>
              <w:rPr>
                <w:rFonts w:hint="eastAsia" w:ascii="宋体" w:cs="Tahoma"/>
                <w:color w:val="auto"/>
                <w:kern w:val="28"/>
                <w:sz w:val="21"/>
                <w:szCs w:val="21"/>
                <w:highlight w:val="none"/>
                <w:lang w:val="en-US" w:eastAsia="zh-CN" w:bidi="ar-SA"/>
              </w:rPr>
              <w:t>供应商</w:t>
            </w:r>
            <w:r>
              <w:rPr>
                <w:rFonts w:hint="eastAsia" w:ascii="宋体" w:hAnsi="Times New Roman" w:eastAsia="宋体" w:cs="Tahoma"/>
                <w:color w:val="auto"/>
                <w:kern w:val="28"/>
                <w:sz w:val="21"/>
                <w:szCs w:val="21"/>
                <w:highlight w:val="none"/>
                <w:lang w:val="en-US" w:eastAsia="zh-CN" w:bidi="ar-SA"/>
              </w:rPr>
              <w:t>所报折扣率不超过100%，不能为0和负数，否则按无效</w:t>
            </w:r>
            <w:r>
              <w:rPr>
                <w:rFonts w:hint="eastAsia" w:ascii="宋体" w:cs="Tahoma"/>
                <w:color w:val="auto"/>
                <w:kern w:val="28"/>
                <w:sz w:val="21"/>
                <w:szCs w:val="21"/>
                <w:highlight w:val="none"/>
                <w:lang w:val="en-US" w:eastAsia="zh-CN" w:bidi="ar-SA"/>
              </w:rPr>
              <w:t>报价</w:t>
            </w:r>
            <w:r>
              <w:rPr>
                <w:rFonts w:hint="eastAsia" w:ascii="宋体" w:hAnsi="Times New Roman" w:eastAsia="宋体" w:cs="Tahoma"/>
                <w:color w:val="auto"/>
                <w:kern w:val="28"/>
                <w:sz w:val="21"/>
                <w:szCs w:val="21"/>
                <w:highlight w:val="none"/>
                <w:lang w:val="en-US" w:eastAsia="zh-CN" w:bidi="ar-SA"/>
              </w:rPr>
              <w:t>处理。</w:t>
            </w:r>
          </w:p>
        </w:tc>
      </w:tr>
    </w:tbl>
    <w:p>
      <w:pPr>
        <w:widowControl/>
        <w:autoSpaceDE w:val="0"/>
        <w:autoSpaceDN w:val="0"/>
        <w:spacing w:line="460" w:lineRule="exact"/>
        <w:ind w:firstLine="420" w:firstLineChars="200"/>
        <w:jc w:val="left"/>
        <w:textAlignment w:val="bottom"/>
        <w:rPr>
          <w:rFonts w:hint="default" w:ascii="宋体" w:hAnsi="宋体" w:eastAsia="宋体" w:cs="Times New Roman"/>
          <w:szCs w:val="21"/>
          <w:lang w:val="en-US" w:eastAsia="zh-CN"/>
        </w:rPr>
      </w:pPr>
    </w:p>
    <w:p>
      <w:pPr>
        <w:spacing w:line="560" w:lineRule="exact"/>
        <w:rPr>
          <w:sz w:val="2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D5132C"/>
    <w:multiLevelType w:val="singleLevel"/>
    <w:tmpl w:val="A1D5132C"/>
    <w:lvl w:ilvl="0" w:tentative="0">
      <w:start w:val="1"/>
      <w:numFmt w:val="chineseCounting"/>
      <w:suff w:val="nothing"/>
      <w:lvlText w:val="%1、"/>
      <w:lvlJc w:val="left"/>
      <w:rPr>
        <w:rFonts w:hint="eastAsia"/>
      </w:rPr>
    </w:lvl>
  </w:abstractNum>
  <w:abstractNum w:abstractNumId="1">
    <w:nsid w:val="B15EC075"/>
    <w:multiLevelType w:val="singleLevel"/>
    <w:tmpl w:val="B15EC07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2642"/>
    <w:rsid w:val="000239B0"/>
    <w:rsid w:val="000E3647"/>
    <w:rsid w:val="00335D3A"/>
    <w:rsid w:val="004F393C"/>
    <w:rsid w:val="005069FA"/>
    <w:rsid w:val="00571918"/>
    <w:rsid w:val="00692123"/>
    <w:rsid w:val="00721A71"/>
    <w:rsid w:val="00790F48"/>
    <w:rsid w:val="0081394E"/>
    <w:rsid w:val="008647D1"/>
    <w:rsid w:val="008A3C6F"/>
    <w:rsid w:val="00935C5C"/>
    <w:rsid w:val="00981AC7"/>
    <w:rsid w:val="009C0A47"/>
    <w:rsid w:val="009F6604"/>
    <w:rsid w:val="00A830B5"/>
    <w:rsid w:val="00AF5DCC"/>
    <w:rsid w:val="00B42C36"/>
    <w:rsid w:val="00BB1F7F"/>
    <w:rsid w:val="00C12642"/>
    <w:rsid w:val="00D009FF"/>
    <w:rsid w:val="00D12001"/>
    <w:rsid w:val="00D90910"/>
    <w:rsid w:val="00E21AD4"/>
    <w:rsid w:val="00E53B3E"/>
    <w:rsid w:val="00E6662A"/>
    <w:rsid w:val="00F860F1"/>
    <w:rsid w:val="00FD0D7E"/>
    <w:rsid w:val="00FF3C15"/>
    <w:rsid w:val="01B6046E"/>
    <w:rsid w:val="01F01BD2"/>
    <w:rsid w:val="04504BAA"/>
    <w:rsid w:val="06E710CA"/>
    <w:rsid w:val="075B57FF"/>
    <w:rsid w:val="09455ABA"/>
    <w:rsid w:val="0D8D29CB"/>
    <w:rsid w:val="0D935B07"/>
    <w:rsid w:val="0DC42165"/>
    <w:rsid w:val="0DD44D78"/>
    <w:rsid w:val="0FDD306A"/>
    <w:rsid w:val="10757746"/>
    <w:rsid w:val="10A1053B"/>
    <w:rsid w:val="10E01064"/>
    <w:rsid w:val="10FC6693"/>
    <w:rsid w:val="11D53BF0"/>
    <w:rsid w:val="11FF7667"/>
    <w:rsid w:val="12CB14C1"/>
    <w:rsid w:val="13170C3D"/>
    <w:rsid w:val="13F4757F"/>
    <w:rsid w:val="15D31197"/>
    <w:rsid w:val="17397720"/>
    <w:rsid w:val="17403356"/>
    <w:rsid w:val="187F1162"/>
    <w:rsid w:val="18D86AC4"/>
    <w:rsid w:val="18F002B2"/>
    <w:rsid w:val="19EA4D01"/>
    <w:rsid w:val="1A55661F"/>
    <w:rsid w:val="1AF062E4"/>
    <w:rsid w:val="1D81597C"/>
    <w:rsid w:val="1DCD471E"/>
    <w:rsid w:val="1F486752"/>
    <w:rsid w:val="1FB057E7"/>
    <w:rsid w:val="23447230"/>
    <w:rsid w:val="235F22BC"/>
    <w:rsid w:val="23AB72AF"/>
    <w:rsid w:val="25990877"/>
    <w:rsid w:val="28EC45F2"/>
    <w:rsid w:val="2A874294"/>
    <w:rsid w:val="2AB253C7"/>
    <w:rsid w:val="2AD94979"/>
    <w:rsid w:val="2ADD7247"/>
    <w:rsid w:val="2C92251F"/>
    <w:rsid w:val="2D1F486A"/>
    <w:rsid w:val="2D970F00"/>
    <w:rsid w:val="2FCC6F2B"/>
    <w:rsid w:val="30EA597E"/>
    <w:rsid w:val="31713D09"/>
    <w:rsid w:val="325D20BC"/>
    <w:rsid w:val="34821E08"/>
    <w:rsid w:val="34F9247A"/>
    <w:rsid w:val="36CE17DB"/>
    <w:rsid w:val="37D746BF"/>
    <w:rsid w:val="37FC2378"/>
    <w:rsid w:val="38130D92"/>
    <w:rsid w:val="394144E6"/>
    <w:rsid w:val="394F0285"/>
    <w:rsid w:val="397F500E"/>
    <w:rsid w:val="3A3A18C9"/>
    <w:rsid w:val="3A480BD6"/>
    <w:rsid w:val="3BD17677"/>
    <w:rsid w:val="3D4D2D2E"/>
    <w:rsid w:val="3F125FDD"/>
    <w:rsid w:val="41717932"/>
    <w:rsid w:val="42B51AA1"/>
    <w:rsid w:val="43F42155"/>
    <w:rsid w:val="44D37FBC"/>
    <w:rsid w:val="45C456A9"/>
    <w:rsid w:val="461A0599"/>
    <w:rsid w:val="46EB5A91"/>
    <w:rsid w:val="48736294"/>
    <w:rsid w:val="48C04CFB"/>
    <w:rsid w:val="494B0A69"/>
    <w:rsid w:val="49793828"/>
    <w:rsid w:val="4C7402D7"/>
    <w:rsid w:val="4E200716"/>
    <w:rsid w:val="4E99593D"/>
    <w:rsid w:val="50327C8D"/>
    <w:rsid w:val="503E6C32"/>
    <w:rsid w:val="523522B6"/>
    <w:rsid w:val="52AA500C"/>
    <w:rsid w:val="54402F8B"/>
    <w:rsid w:val="57EF4CB5"/>
    <w:rsid w:val="58000521"/>
    <w:rsid w:val="59030A18"/>
    <w:rsid w:val="5BA858A7"/>
    <w:rsid w:val="5D812854"/>
    <w:rsid w:val="5DF5208E"/>
    <w:rsid w:val="5E0B036F"/>
    <w:rsid w:val="5E587A58"/>
    <w:rsid w:val="5EBE3549"/>
    <w:rsid w:val="6243355D"/>
    <w:rsid w:val="628E1C9B"/>
    <w:rsid w:val="62E775FD"/>
    <w:rsid w:val="63163A3E"/>
    <w:rsid w:val="635B58F5"/>
    <w:rsid w:val="63CF256B"/>
    <w:rsid w:val="671464E6"/>
    <w:rsid w:val="67DB2EEB"/>
    <w:rsid w:val="69B85106"/>
    <w:rsid w:val="6AD9782B"/>
    <w:rsid w:val="6AF1726A"/>
    <w:rsid w:val="6BC51690"/>
    <w:rsid w:val="6DA46816"/>
    <w:rsid w:val="6DF80910"/>
    <w:rsid w:val="6E462E93"/>
    <w:rsid w:val="6EF47329"/>
    <w:rsid w:val="6F59718C"/>
    <w:rsid w:val="6FF349D5"/>
    <w:rsid w:val="704F233D"/>
    <w:rsid w:val="70671D7D"/>
    <w:rsid w:val="70893AA1"/>
    <w:rsid w:val="70CE575B"/>
    <w:rsid w:val="744D4DE6"/>
    <w:rsid w:val="749E2AA0"/>
    <w:rsid w:val="75E17EDC"/>
    <w:rsid w:val="764C17F9"/>
    <w:rsid w:val="776D5ECB"/>
    <w:rsid w:val="777D59E2"/>
    <w:rsid w:val="77BE1EE8"/>
    <w:rsid w:val="7BB51BEE"/>
    <w:rsid w:val="7D3E79C1"/>
    <w:rsid w:val="7DD675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rFonts w:ascii="宋体" w:hAnsi="宋体"/>
      <w:color w:val="0000FF"/>
      <w:sz w:val="28"/>
    </w:rPr>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10">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character" w:customStyle="1" w:styleId="11">
    <w:name w:val="页眉 Char"/>
    <w:basedOn w:val="8"/>
    <w:link w:val="6"/>
    <w:semiHidden/>
    <w:qFormat/>
    <w:uiPriority w:val="99"/>
    <w:rPr>
      <w:sz w:val="18"/>
      <w:szCs w:val="18"/>
    </w:rPr>
  </w:style>
  <w:style w:type="character" w:customStyle="1" w:styleId="12">
    <w:name w:val="页脚 Char"/>
    <w:basedOn w:val="8"/>
    <w:link w:val="5"/>
    <w:semiHidden/>
    <w:qFormat/>
    <w:uiPriority w:val="99"/>
    <w:rPr>
      <w:sz w:val="18"/>
      <w:szCs w:val="18"/>
    </w:rPr>
  </w:style>
  <w:style w:type="paragraph" w:customStyle="1" w:styleId="13">
    <w:name w:val="正文1"/>
    <w:qFormat/>
    <w:uiPriority w:val="0"/>
    <w:pPr>
      <w:widowControl w:val="0"/>
      <w:jc w:val="both"/>
    </w:pPr>
    <w:rPr>
      <w:rFonts w:ascii="Calibri" w:hAnsi="Calibri" w:eastAsiaTheme="minorEastAsia" w:cstheme="minorBidi"/>
      <w:sz w:val="21"/>
      <w:szCs w:val="22"/>
      <w:lang w:val="en-US" w:eastAsia="zh-CN" w:bidi="ar-SA"/>
    </w:rPr>
  </w:style>
  <w:style w:type="character" w:customStyle="1" w:styleId="14">
    <w:name w:val="批注框文本 Char"/>
    <w:basedOn w:val="8"/>
    <w:link w:val="4"/>
    <w:semiHidden/>
    <w:qFormat/>
    <w:uiPriority w:val="99"/>
    <w:rPr>
      <w:rFonts w:asciiTheme="minorHAnsi" w:hAnsiTheme="minorHAnsi" w:eastAsiaTheme="minorEastAsia" w:cstheme="minorBidi"/>
      <w:kern w:val="2"/>
      <w:sz w:val="18"/>
      <w:szCs w:val="18"/>
    </w:rPr>
  </w:style>
  <w:style w:type="character" w:customStyle="1" w:styleId="15">
    <w:name w:val="HTML 预设格式 Char"/>
    <w:basedOn w:val="8"/>
    <w:link w:val="7"/>
    <w:semiHidden/>
    <w:qFormat/>
    <w:uiPriority w:val="99"/>
    <w:rPr>
      <w:rFonts w:ascii="宋体" w:hAnsi="宋体" w:cs="宋体"/>
      <w:sz w:val="24"/>
      <w:szCs w:val="24"/>
    </w:rPr>
  </w:style>
  <w:style w:type="paragraph" w:customStyle="1" w:styleId="16">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2409</Words>
  <Characters>3519</Characters>
  <Lines>12</Lines>
  <Paragraphs>3</Paragraphs>
  <ScaleCrop>false</ScaleCrop>
  <LinksUpToDate>false</LinksUpToDate>
  <CharactersWithSpaces>4541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2022-01-14T07:42:00Z</dcterms:created>
  <dc:creator>黎凤婵</dc:creator>
  <cp:lastModifiedBy>李铜光</cp:lastModifiedBy>
  <cp:lastPrinted>2023-03-06T08:33:00Z</cp:lastPrinted>
  <dcterms:modified xsi:type="dcterms:W3CDTF">2026-01-05T01:54:27Z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A7BC8053256444F9AED47B0F5D10D1E6_13</vt:lpwstr>
  </property>
  <property fmtid="{D5CDD505-2E9C-101B-9397-08002B2CF9AE}" pid="4" name="KSOTemplateDocerSaveRecord">
    <vt:lpwstr>eyJoZGlkIjoiMjAyNDk0OTM5ZjE2MDUwMDJiMWIwZGQwMjQwZjRmZDAiLCJ1c2VySWQiOiI0NDc4NzM5NzgifQ==</vt:lpwstr>
  </property>
</Properties>
</file>