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pPr>
        <w:pStyle w:val="12"/>
        <w:ind w:firstLine="482"/>
        <w:rPr>
          <w:rFonts w:hint="eastAsia"/>
          <w:b/>
          <w:color w:val="000000"/>
          <w:highlight w:val="none"/>
        </w:rPr>
      </w:pPr>
    </w:p>
    <w:p>
      <w:pPr>
        <w:pStyle w:val="12"/>
        <w:ind w:firstLine="482"/>
        <w:rPr>
          <w:b/>
          <w:color w:val="000000"/>
          <w:highlight w:val="none"/>
        </w:rPr>
      </w:pPr>
      <w:r>
        <w:rPr>
          <w:rFonts w:hint="eastAsia"/>
          <w:b/>
          <w:color w:val="000000"/>
          <w:highlight w:val="none"/>
        </w:rPr>
        <w:t>总则</w:t>
      </w:r>
    </w:p>
    <w:p>
      <w:pPr>
        <w:pStyle w:val="12"/>
        <w:ind w:firstLine="480"/>
        <w:rPr>
          <w:color w:val="000000"/>
          <w:highlight w:val="none"/>
        </w:rPr>
      </w:pPr>
      <w:r>
        <w:rPr>
          <w:rFonts w:hint="eastAsia"/>
          <w:color w:val="000000"/>
          <w:highlight w:val="none"/>
        </w:rPr>
        <w:t>1</w:t>
      </w:r>
      <w:r>
        <w:rPr>
          <w:rFonts w:hint="eastAsia"/>
          <w:color w:val="000000"/>
          <w:highlight w:val="none"/>
          <w:lang w:val="en-US" w:eastAsia="zh-CN"/>
        </w:rPr>
        <w:t>.</w:t>
      </w:r>
      <w:r>
        <w:rPr>
          <w:rFonts w:hint="eastAsia"/>
          <w:color w:val="000000"/>
          <w:highlight w:val="none"/>
        </w:rPr>
        <w:t>成交供应商必须按国家、行业的标准及采购文件的要求对本项目提供相应的货物及服务。</w:t>
      </w:r>
    </w:p>
    <w:p>
      <w:pPr>
        <w:pStyle w:val="12"/>
        <w:ind w:firstLine="480"/>
        <w:rPr>
          <w:color w:val="000000"/>
          <w:highlight w:val="none"/>
        </w:rPr>
      </w:pPr>
      <w:r>
        <w:rPr>
          <w:rFonts w:hint="eastAsia"/>
          <w:color w:val="000000"/>
          <w:highlight w:val="none"/>
        </w:rPr>
        <w:t>2</w:t>
      </w:r>
      <w:r>
        <w:rPr>
          <w:rFonts w:hint="eastAsia"/>
          <w:color w:val="000000"/>
          <w:highlight w:val="none"/>
          <w:lang w:val="en-US" w:eastAsia="zh-CN"/>
        </w:rPr>
        <w:t>.</w:t>
      </w:r>
      <w:r>
        <w:rPr>
          <w:rFonts w:hint="eastAsia"/>
          <w:color w:val="000000"/>
          <w:highlight w:val="none"/>
        </w:rPr>
        <w:t>《用户需求书》中凡有“★”标识的内容条款(如有)被视为实质性响应项目、指标；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。凡有“▲”的内容（如有）为重点评审项目，供应商必须对该标识项目按照要求进行真实应答描述。</w:t>
      </w:r>
    </w:p>
    <w:p>
      <w:pPr>
        <w:pStyle w:val="12"/>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2"/>
          <w:highlight w:val="none"/>
          <w:lang w:val="en-US" w:eastAsia="zh-CN" w:bidi="ar-SA"/>
        </w:rPr>
        <w:t>4</w:t>
      </w:r>
      <w:r>
        <w:rPr>
          <w:rFonts w:hint="eastAsia" w:ascii="Calibri" w:hAnsi="Calibri" w:cs="Times New Roman"/>
          <w:color w:val="000000"/>
          <w:kern w:val="2"/>
          <w:sz w:val="24"/>
          <w:szCs w:val="22"/>
          <w:highlight w:val="none"/>
          <w:lang w:val="en-US" w:eastAsia="zh-CN" w:bidi="ar-SA"/>
        </w:rPr>
        <w:t>.</w:t>
      </w:r>
      <w:r>
        <w:rPr>
          <w:rFonts w:hint="eastAsia" w:ascii="Times New Roman" w:hAnsi="Times New Roman" w:eastAsia="宋体" w:cs="Times New Roman"/>
          <w:color w:val="000000"/>
          <w:kern w:val="2"/>
          <w:sz w:val="24"/>
          <w:szCs w:val="24"/>
          <w:highlight w:val="none"/>
          <w:lang w:val="en-US" w:eastAsia="zh-CN" w:bidi="ar-SA"/>
        </w:rPr>
        <w:t>本项目不允许提交备选方案，不允许联合体响应、转包或分包。</w:t>
      </w:r>
    </w:p>
    <w:p>
      <w:pPr>
        <w:pStyle w:val="12"/>
        <w:ind w:firstLine="0" w:firstLineChars="0"/>
        <w:rPr>
          <w:rFonts w:hint="eastAsia" w:ascii="宋体" w:hAnsi="宋体" w:eastAsia="宋体" w:cs="宋体"/>
          <w:b/>
          <w:snapToGrid w:val="0"/>
          <w:color w:val="auto"/>
          <w:sz w:val="24"/>
          <w:szCs w:val="24"/>
          <w:highlight w:val="none"/>
          <w:lang w:eastAsia="zh-CN"/>
        </w:rPr>
      </w:pPr>
      <w:r>
        <w:rPr>
          <w:rFonts w:hint="eastAsia" w:ascii="宋体" w:hAnsi="宋体" w:eastAsia="宋体" w:cs="宋体"/>
          <w:b/>
          <w:snapToGrid w:val="0"/>
          <w:color w:val="auto"/>
          <w:sz w:val="24"/>
          <w:szCs w:val="24"/>
          <w:highlight w:val="none"/>
          <w:lang w:eastAsia="zh-CN"/>
        </w:rPr>
        <w:t>一、</w:t>
      </w:r>
      <w:r>
        <w:rPr>
          <w:rFonts w:hint="eastAsia" w:ascii="宋体" w:hAnsi="宋体" w:cs="宋体"/>
          <w:b/>
          <w:snapToGrid w:val="0"/>
          <w:color w:val="000000"/>
          <w:sz w:val="24"/>
          <w:highlight w:val="none"/>
          <w:lang w:eastAsia="zh-CN"/>
        </w:rPr>
        <w:t>项目名称：</w:t>
      </w:r>
      <w:r>
        <w:rPr>
          <w:rFonts w:hint="eastAsia" w:ascii="Calibri" w:hAnsi="Calibri" w:eastAsia="宋体" w:cs="Times New Roman"/>
          <w:color w:val="000000"/>
          <w:sz w:val="24"/>
          <w:szCs w:val="22"/>
          <w:highlight w:val="none"/>
          <w:lang w:val="en-US" w:eastAsia="zh-CN"/>
        </w:rPr>
        <w:t>中山市黄圃人民医院</w:t>
      </w:r>
      <w:r>
        <w:rPr>
          <w:rFonts w:hint="eastAsia"/>
          <w:color w:val="000000"/>
          <w:szCs w:val="22"/>
          <w:highlight w:val="none"/>
        </w:rPr>
        <w:t>室内空气检测</w:t>
      </w:r>
      <w:r>
        <w:rPr>
          <w:rFonts w:hint="eastAsia" w:ascii="Calibri" w:hAnsi="Calibri" w:eastAsia="宋体" w:cs="Times New Roman"/>
          <w:color w:val="000000"/>
          <w:sz w:val="24"/>
          <w:szCs w:val="22"/>
          <w:highlight w:val="none"/>
          <w:lang w:val="en-US" w:eastAsia="zh-CN"/>
        </w:rPr>
        <w:t>服务项目</w:t>
      </w:r>
    </w:p>
    <w:p>
      <w:pPr>
        <w:numPr>
          <w:ilvl w:val="0"/>
          <w:numId w:val="0"/>
        </w:numPr>
        <w:spacing w:line="240" w:lineRule="auto"/>
        <w:ind w:firstLine="0" w:firstLineChars="0"/>
        <w:rPr>
          <w:rFonts w:hint="eastAsia" w:ascii="宋体" w:hAnsi="宋体" w:eastAsia="宋体" w:cs="宋体"/>
          <w:b/>
          <w:snapToGrid w:val="0"/>
          <w:color w:val="auto"/>
          <w:sz w:val="24"/>
          <w:szCs w:val="24"/>
          <w:highlight w:val="none"/>
          <w:lang w:eastAsia="zh-CN"/>
        </w:rPr>
      </w:pPr>
      <w:r>
        <w:rPr>
          <w:rFonts w:hint="eastAsia" w:ascii="宋体" w:hAnsi="宋体" w:eastAsia="宋体" w:cs="宋体"/>
          <w:b/>
          <w:snapToGrid w:val="0"/>
          <w:color w:val="auto"/>
          <w:kern w:val="2"/>
          <w:sz w:val="24"/>
          <w:szCs w:val="24"/>
          <w:lang w:val="en-US" w:eastAsia="zh-CN" w:bidi="ar-SA"/>
        </w:rPr>
        <w:t>二、</w:t>
      </w:r>
      <w:r>
        <w:rPr>
          <w:rFonts w:hint="eastAsia" w:ascii="宋体" w:hAnsi="宋体" w:eastAsia="宋体" w:cs="宋体"/>
          <w:b/>
          <w:snapToGrid w:val="0"/>
          <w:color w:val="auto"/>
          <w:sz w:val="24"/>
          <w:szCs w:val="24"/>
          <w:highlight w:val="none"/>
          <w:lang w:eastAsia="zh-CN"/>
        </w:rPr>
        <w:t>采购内容</w:t>
      </w:r>
      <w:r>
        <w:rPr>
          <w:rFonts w:hint="eastAsia" w:ascii="宋体" w:hAnsi="宋体" w:cs="宋体"/>
          <w:b/>
          <w:snapToGrid w:val="0"/>
          <w:color w:val="auto"/>
          <w:sz w:val="24"/>
          <w:szCs w:val="24"/>
          <w:highlight w:val="none"/>
          <w:lang w:eastAsia="zh-CN"/>
        </w:rPr>
        <w:t>及</w:t>
      </w:r>
      <w:r>
        <w:rPr>
          <w:rFonts w:hint="eastAsia" w:ascii="宋体" w:hAnsi="宋体" w:eastAsia="宋体" w:cs="宋体"/>
          <w:b/>
          <w:snapToGrid w:val="0"/>
          <w:color w:val="auto"/>
          <w:sz w:val="24"/>
          <w:szCs w:val="24"/>
          <w:highlight w:val="none"/>
          <w:lang w:eastAsia="zh-CN"/>
        </w:rPr>
        <w:t>服务要求</w:t>
      </w:r>
    </w:p>
    <w:p>
      <w:pPr>
        <w:numPr>
          <w:ilvl w:val="-1"/>
          <w:numId w:val="0"/>
        </w:numPr>
        <w:spacing w:line="360" w:lineRule="auto"/>
        <w:ind w:firstLine="480" w:firstLineChars="200"/>
        <w:rPr>
          <w:rFonts w:hint="eastAsia" w:ascii="宋体" w:hAnsi="宋体" w:eastAsia="宋体" w:cs="宋体"/>
          <w:b/>
          <w:snapToGrid w:val="0"/>
          <w:color w:val="auto"/>
          <w:sz w:val="24"/>
          <w:szCs w:val="24"/>
          <w:highlight w:val="none"/>
          <w:lang w:eastAsia="zh-CN"/>
        </w:rPr>
      </w:pPr>
      <w:r>
        <w:rPr>
          <w:rFonts w:hint="eastAsia" w:ascii="Times New Roman" w:hAnsi="Times New Roman" w:eastAsia="宋体" w:cs="Times New Roman"/>
          <w:bCs/>
          <w:sz w:val="24"/>
        </w:rPr>
        <w:t>(一)采购内容：</w:t>
      </w:r>
    </w:p>
    <w:tbl>
      <w:tblPr>
        <w:tblStyle w:val="7"/>
        <w:tblpPr w:leftFromText="180" w:rightFromText="180" w:vertAnchor="text" w:horzAnchor="page" w:tblpX="847" w:tblpY="32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1"/>
        <w:gridCol w:w="1519"/>
        <w:gridCol w:w="3491"/>
        <w:gridCol w:w="1255"/>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3" w:hRule="atLeast"/>
        </w:trPr>
        <w:tc>
          <w:tcPr>
            <w:tcW w:w="1871" w:type="dxa"/>
            <w:tcBorders>
              <w:top w:val="single" w:color="auto" w:sz="4" w:space="0"/>
              <w:left w:val="single" w:color="auto" w:sz="4" w:space="0"/>
              <w:bottom w:val="single" w:color="auto" w:sz="4" w:space="0"/>
              <w:right w:val="nil"/>
              <w:tl2br w:val="nil"/>
              <w:tr2bl w:val="nil"/>
            </w:tcBorders>
            <w:shd w:val="clear" w:color="auto" w:fill="FFFFFF"/>
            <w:vAlign w:val="top"/>
          </w:tcPr>
          <w:p>
            <w:pPr>
              <w:spacing w:beforeLines="0" w:afterLines="0" w:line="24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检测类别及执行标准</w:t>
            </w:r>
          </w:p>
        </w:tc>
        <w:tc>
          <w:tcPr>
            <w:tcW w:w="1519"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项目内容</w:t>
            </w:r>
          </w:p>
        </w:tc>
        <w:tc>
          <w:tcPr>
            <w:tcW w:w="3491"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点位名称</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点位数量</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restart"/>
            <w:tcBorders>
              <w:top w:val="single" w:color="auto" w:sz="4" w:space="0"/>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室内空气</w:t>
            </w:r>
            <w:r>
              <w:rPr>
                <w:rFonts w:hint="eastAsia" w:ascii="仿宋" w:hAnsi="仿宋" w:eastAsia="仿宋" w:cs="仿宋"/>
                <w:bCs w:val="0"/>
                <w:color w:val="auto"/>
                <w:spacing w:val="0"/>
                <w:kern w:val="0"/>
                <w:sz w:val="28"/>
                <w:szCs w:val="28"/>
                <w:lang w:val="en-US" w:eastAsia="zh-CN"/>
              </w:rPr>
              <w:t>GB18883-2022</w:t>
            </w:r>
          </w:p>
        </w:tc>
        <w:tc>
          <w:tcPr>
            <w:tcW w:w="1519" w:type="dxa"/>
            <w:vMerge w:val="restart"/>
            <w:tcBorders>
              <w:top w:val="single" w:color="auto" w:sz="4" w:space="0"/>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甲醛、二甲苯</w:t>
            </w: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病理科诊断室</w:t>
            </w:r>
            <w:r>
              <w:rPr>
                <w:rFonts w:hint="eastAsia" w:ascii="仿宋" w:hAnsi="仿宋" w:eastAsia="仿宋" w:cs="仿宋"/>
                <w:bCs w:val="0"/>
                <w:color w:val="auto"/>
                <w:spacing w:val="0"/>
                <w:kern w:val="0"/>
                <w:sz w:val="28"/>
                <w:szCs w:val="28"/>
                <w:lang w:val="en-US" w:eastAsia="zh-CN"/>
              </w:rPr>
              <w:t>1、诊断室2</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2</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取材室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脱水室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细胞抽片室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zh-TW" w:eastAsia="zh-CN"/>
              </w:rPr>
              <w:t>包埋切片室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常规染色室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6" w:hRule="atLeast"/>
        </w:trPr>
        <w:tc>
          <w:tcPr>
            <w:tcW w:w="1871"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冰冷切片室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r>
              <w:rPr>
                <w:rFonts w:hint="eastAsia" w:ascii="仿宋" w:hAnsi="仿宋" w:eastAsia="仿宋" w:cs="仿宋"/>
                <w:bCs w:val="0"/>
                <w:color w:val="auto"/>
                <w:spacing w:val="0"/>
                <w:kern w:val="0"/>
                <w:sz w:val="28"/>
                <w:szCs w:val="28"/>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4" w:hRule="atLeast"/>
        </w:trPr>
        <w:tc>
          <w:tcPr>
            <w:tcW w:w="1871" w:type="dxa"/>
            <w:vMerge w:val="continue"/>
            <w:tcBorders>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1519" w:type="dxa"/>
            <w:vMerge w:val="continue"/>
            <w:tcBorders>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zh-TW" w:eastAsia="zh-CN"/>
              </w:rPr>
            </w:pPr>
          </w:p>
        </w:tc>
        <w:tc>
          <w:tcPr>
            <w:tcW w:w="34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line="360" w:lineRule="auto"/>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PCR标本制备室</w:t>
            </w:r>
          </w:p>
        </w:tc>
        <w:tc>
          <w:tcPr>
            <w:tcW w:w="1255" w:type="dxa"/>
            <w:tcBorders>
              <w:top w:val="single" w:color="auto" w:sz="4" w:space="0"/>
              <w:left w:val="single" w:color="auto" w:sz="4" w:space="0"/>
              <w:bottom w:val="single" w:color="auto" w:sz="4" w:space="0"/>
              <w:right w:val="nil"/>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w:t>
            </w:r>
          </w:p>
        </w:tc>
        <w:tc>
          <w:tcPr>
            <w:tcW w:w="154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spacing w:beforeLines="0" w:afterLines="0"/>
              <w:jc w:val="center"/>
              <w:rPr>
                <w:rFonts w:hint="eastAsia" w:ascii="仿宋" w:hAnsi="仿宋" w:eastAsia="仿宋" w:cs="仿宋"/>
                <w:bCs w:val="0"/>
                <w:color w:val="auto"/>
                <w:spacing w:val="0"/>
                <w:kern w:val="0"/>
                <w:sz w:val="28"/>
                <w:szCs w:val="28"/>
                <w:lang w:val="en-US" w:eastAsia="zh-CN"/>
              </w:rPr>
            </w:pPr>
            <w:r>
              <w:rPr>
                <w:rFonts w:hint="eastAsia" w:ascii="仿宋" w:hAnsi="仿宋" w:eastAsia="仿宋" w:cs="仿宋"/>
                <w:bCs w:val="0"/>
                <w:color w:val="auto"/>
                <w:spacing w:val="0"/>
                <w:kern w:val="0"/>
                <w:sz w:val="28"/>
                <w:szCs w:val="28"/>
                <w:lang w:val="en-US" w:eastAsia="zh-CN"/>
              </w:rPr>
              <w:t>1.00</w:t>
            </w:r>
          </w:p>
        </w:tc>
      </w:tr>
    </w:tbl>
    <w:p>
      <w:pPr>
        <w:numPr>
          <w:ilvl w:val="0"/>
          <w:numId w:val="1"/>
        </w:numPr>
        <w:spacing w:line="360" w:lineRule="auto"/>
        <w:ind w:firstLine="480" w:firstLineChars="200"/>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lang w:eastAsia="zh-CN"/>
        </w:rPr>
        <w:t>采样结束后</w:t>
      </w:r>
      <w:r>
        <w:rPr>
          <w:rFonts w:hint="eastAsia" w:ascii="宋体" w:hAnsi="宋体" w:cs="宋体"/>
          <w:color w:val="auto"/>
          <w:sz w:val="24"/>
          <w:szCs w:val="24"/>
          <w:lang w:eastAsia="zh-CN"/>
        </w:rPr>
        <w:t>需</w:t>
      </w:r>
      <w:r>
        <w:rPr>
          <w:rFonts w:hint="eastAsia" w:ascii="宋体" w:hAnsi="宋体" w:eastAsia="宋体" w:cs="宋体"/>
          <w:color w:val="auto"/>
          <w:sz w:val="24"/>
          <w:szCs w:val="24"/>
          <w:u w:val="single"/>
          <w:lang w:val="en-US" w:eastAsia="zh-CN"/>
        </w:rPr>
        <w:t>向采购人出具有CMA资质认证的检测报告。</w:t>
      </w:r>
      <w:bookmarkStart w:id="0" w:name="_GoBack"/>
      <w:bookmarkEnd w:id="0"/>
    </w:p>
    <w:p>
      <w:pPr>
        <w:spacing w:line="400" w:lineRule="exact"/>
        <w:ind w:firstLine="482" w:firstLineChars="200"/>
        <w:rPr>
          <w:rFonts w:hint="eastAsia" w:ascii="宋体" w:hAnsi="宋体" w:eastAsia="宋体" w:cs="宋体"/>
          <w:b/>
          <w:snapToGrid w:val="0"/>
          <w:color w:val="auto"/>
          <w:sz w:val="24"/>
          <w:szCs w:val="24"/>
          <w:highlight w:val="none"/>
          <w:lang w:eastAsia="zh-CN"/>
        </w:rPr>
      </w:pPr>
      <w:r>
        <w:rPr>
          <w:rFonts w:hint="eastAsia" w:ascii="仿宋" w:hAnsi="仿宋" w:eastAsia="仿宋" w:cs="仿宋"/>
          <w:b/>
          <w:bCs/>
          <w:color w:val="auto"/>
          <w:sz w:val="24"/>
          <w:szCs w:val="24"/>
          <w:lang w:eastAsia="zh-CN"/>
        </w:rPr>
        <w:t>三、</w:t>
      </w:r>
      <w:r>
        <w:rPr>
          <w:rFonts w:hint="eastAsia" w:ascii="宋体" w:hAnsi="宋体" w:eastAsia="宋体" w:cs="宋体"/>
          <w:b/>
          <w:snapToGrid w:val="0"/>
          <w:color w:val="auto"/>
          <w:sz w:val="24"/>
          <w:szCs w:val="24"/>
          <w:highlight w:val="none"/>
          <w:lang w:eastAsia="zh-CN"/>
        </w:rPr>
        <w:t>商务要求</w:t>
      </w:r>
    </w:p>
    <w:tbl>
      <w:tblPr>
        <w:tblStyle w:val="7"/>
        <w:tblW w:w="85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0"/>
        <w:gridCol w:w="68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ascii="宋体" w:hAnsi="Times New Roman" w:eastAsia="宋体" w:cs="Tahoma"/>
                <w:b/>
                <w:bCs/>
                <w:color w:val="000000"/>
                <w:kern w:val="28"/>
                <w:sz w:val="21"/>
                <w:szCs w:val="21"/>
                <w:highlight w:val="none"/>
                <w:lang w:val="en-US" w:eastAsia="zh-CN" w:bidi="ar-SA"/>
              </w:rPr>
            </w:pPr>
            <w:r>
              <w:rPr>
                <w:rFonts w:hint="eastAsia" w:cs="Tahoma"/>
                <w:b/>
                <w:bCs/>
                <w:color w:val="000000"/>
                <w:kern w:val="28"/>
                <w:sz w:val="21"/>
                <w:szCs w:val="21"/>
                <w:highlight w:val="none"/>
              </w:rPr>
              <w:t>合同履行期限</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000000"/>
                <w:kern w:val="28"/>
                <w:sz w:val="21"/>
                <w:szCs w:val="21"/>
                <w:highlight w:val="none"/>
                <w:lang w:val="en-US" w:eastAsia="zh-CN" w:bidi="ar-SA"/>
              </w:rPr>
            </w:pPr>
            <w:r>
              <w:rPr>
                <w:rFonts w:hint="eastAsia" w:cs="Tahoma"/>
                <w:color w:val="auto"/>
                <w:kern w:val="28"/>
                <w:sz w:val="21"/>
                <w:szCs w:val="21"/>
                <w:highlight w:val="none"/>
                <w:lang w:val="en-US" w:eastAsia="zh-CN"/>
              </w:rPr>
              <w:t>本项目为一次性项目。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keepNext w:val="0"/>
              <w:keepLines w:val="0"/>
              <w:pageBreakBefore w:val="0"/>
              <w:suppressLineNumbers w:val="0"/>
              <w:kinsoku/>
              <w:overflowPunct/>
              <w:bidi w:val="0"/>
              <w:spacing w:before="0" w:beforeAutospacing="0" w:after="0" w:afterAutospacing="0" w:line="360" w:lineRule="auto"/>
              <w:ind w:left="0" w:leftChars="0" w:right="0" w:rightChars="0"/>
              <w:jc w:val="center"/>
              <w:rPr>
                <w:rFonts w:hint="eastAsia" w:cs="Tahoma"/>
                <w:b/>
                <w:bCs/>
                <w:color w:val="auto"/>
                <w:kern w:val="28"/>
                <w:sz w:val="21"/>
                <w:szCs w:val="21"/>
                <w:highlight w:val="none"/>
              </w:rPr>
            </w:pPr>
            <w:r>
              <w:rPr>
                <w:rFonts w:hint="eastAsia" w:cs="Tahoma"/>
                <w:b/>
                <w:bCs/>
                <w:color w:val="auto"/>
                <w:kern w:val="28"/>
                <w:sz w:val="21"/>
                <w:szCs w:val="21"/>
                <w:highlight w:val="none"/>
              </w:rPr>
              <w:t>合同履行地点</w:t>
            </w:r>
          </w:p>
        </w:tc>
        <w:tc>
          <w:tcPr>
            <w:tcW w:w="6805" w:type="dxa"/>
            <w:vAlign w:val="top"/>
          </w:tcPr>
          <w:p>
            <w:pPr>
              <w:pStyle w:val="11"/>
              <w:keepNext w:val="0"/>
              <w:keepLines w:val="0"/>
              <w:pageBreakBefore w:val="0"/>
              <w:suppressLineNumbers w:val="0"/>
              <w:kinsoku/>
              <w:overflowPunct/>
              <w:bidi w:val="0"/>
              <w:spacing w:before="0" w:beforeAutospacing="0" w:after="0" w:afterAutospacing="0" w:line="360" w:lineRule="auto"/>
              <w:ind w:left="0" w:leftChars="0" w:right="0" w:rightChars="0"/>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cs="Tahoma"/>
                <w:b/>
                <w:bCs/>
                <w:color w:val="auto"/>
                <w:kern w:val="28"/>
                <w:sz w:val="21"/>
                <w:szCs w:val="21"/>
                <w:highlight w:val="none"/>
              </w:rPr>
            </w:pPr>
            <w:r>
              <w:rPr>
                <w:rFonts w:hint="eastAsia" w:cs="Tahoma"/>
                <w:b/>
                <w:bCs/>
                <w:color w:val="auto"/>
                <w:kern w:val="28"/>
                <w:sz w:val="21"/>
                <w:szCs w:val="21"/>
                <w:highlight w:val="none"/>
                <w:lang w:eastAsia="zh-CN"/>
              </w:rPr>
              <w:t>响应</w:t>
            </w:r>
            <w:r>
              <w:rPr>
                <w:rFonts w:hint="eastAsia" w:cs="Tahoma"/>
                <w:b/>
                <w:bCs/>
                <w:color w:val="auto"/>
                <w:kern w:val="28"/>
                <w:sz w:val="21"/>
                <w:szCs w:val="21"/>
                <w:highlight w:val="none"/>
              </w:rPr>
              <w:t>有效期</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9" w:hRule="atLeast"/>
        </w:trPr>
        <w:tc>
          <w:tcPr>
            <w:tcW w:w="1710" w:type="dxa"/>
            <w:vAlign w:val="center"/>
          </w:tcPr>
          <w:p>
            <w:pPr>
              <w:pStyle w:val="11"/>
              <w:pageBreakBefore w:val="0"/>
              <w:kinsoku/>
              <w:overflowPunct/>
              <w:bidi w:val="0"/>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b/>
                <w:bCs/>
                <w:color w:val="000000"/>
                <w:kern w:val="28"/>
                <w:sz w:val="21"/>
                <w:szCs w:val="21"/>
                <w:highlight w:val="none"/>
                <w:lang w:val="en-US" w:eastAsia="zh-CN" w:bidi="ar-SA"/>
              </w:rPr>
              <w:t>付款方式</w:t>
            </w:r>
          </w:p>
        </w:tc>
        <w:tc>
          <w:tcPr>
            <w:tcW w:w="6805" w:type="dxa"/>
            <w:vAlign w:val="top"/>
          </w:tcPr>
          <w:p>
            <w:pPr>
              <w:pStyle w:val="12"/>
              <w:pageBreakBefore w:val="0"/>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eastAsia="宋体" w:cs="宋体"/>
                <w:color w:val="auto"/>
                <w:kern w:val="28"/>
                <w:sz w:val="21"/>
                <w:szCs w:val="21"/>
                <w:highlight w:val="none"/>
                <w:lang w:val="en-US" w:eastAsia="zh-CN" w:bidi="ar-SA"/>
              </w:rPr>
              <w:t>本合同的款项以人民币银行转账方式支付；</w:t>
            </w:r>
          </w:p>
          <w:p>
            <w:pPr>
              <w:pStyle w:val="12"/>
              <w:pageBreakBefore w:val="0"/>
              <w:numPr>
                <w:ilvl w:val="0"/>
                <w:numId w:val="0"/>
              </w:numPr>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lang w:val="en-US" w:eastAsia="zh-CN" w:bidi="ar-SA"/>
              </w:rPr>
              <w:t>1.</w:t>
            </w:r>
            <w:r>
              <w:rPr>
                <w:rFonts w:hint="eastAsia" w:ascii="宋体" w:hAnsi="宋体" w:cs="宋体"/>
                <w:color w:val="auto"/>
                <w:kern w:val="28"/>
                <w:sz w:val="21"/>
                <w:szCs w:val="21"/>
                <w:highlight w:val="none"/>
                <w:lang w:val="en-US" w:eastAsia="zh-CN" w:bidi="ar-SA"/>
              </w:rPr>
              <w:t>本项目为一次性项目</w:t>
            </w:r>
            <w:r>
              <w:rPr>
                <w:rFonts w:hint="eastAsia" w:ascii="宋体" w:hAnsi="宋体" w:eastAsia="宋体" w:cs="宋体"/>
                <w:color w:val="auto"/>
                <w:kern w:val="28"/>
                <w:sz w:val="21"/>
                <w:szCs w:val="21"/>
                <w:highlight w:val="none"/>
                <w:lang w:val="en-US" w:eastAsia="zh-CN" w:bidi="ar-SA"/>
              </w:rPr>
              <w:t>，</w:t>
            </w:r>
            <w:r>
              <w:rPr>
                <w:rFonts w:hint="eastAsia" w:ascii="宋体" w:hAnsi="宋体" w:cs="宋体"/>
                <w:color w:val="auto"/>
                <w:kern w:val="28"/>
                <w:sz w:val="21"/>
                <w:szCs w:val="21"/>
                <w:highlight w:val="none"/>
                <w:lang w:val="en-US" w:eastAsia="zh-CN" w:bidi="ar-SA"/>
              </w:rPr>
              <w:t>服务后</w:t>
            </w:r>
            <w:r>
              <w:rPr>
                <w:rFonts w:hint="eastAsia" w:ascii="宋体" w:hAnsi="宋体" w:eastAsia="宋体" w:cs="宋体"/>
                <w:color w:val="auto"/>
                <w:kern w:val="28"/>
                <w:sz w:val="21"/>
                <w:szCs w:val="21"/>
                <w:highlight w:val="none"/>
                <w:lang w:val="en-US" w:eastAsia="zh-CN" w:bidi="ar-SA"/>
              </w:rPr>
              <w:t>经双方核对无误后，</w:t>
            </w:r>
            <w:r>
              <w:rPr>
                <w:rFonts w:hint="eastAsia" w:ascii="宋体" w:hAnsi="宋体" w:cs="宋体"/>
                <w:color w:val="auto"/>
                <w:kern w:val="28"/>
                <w:sz w:val="21"/>
                <w:szCs w:val="21"/>
                <w:highlight w:val="none"/>
                <w:lang w:val="en-US" w:eastAsia="zh-CN" w:bidi="ar-SA"/>
              </w:rPr>
              <w:t>成交供应商</w:t>
            </w:r>
            <w:r>
              <w:rPr>
                <w:rFonts w:hint="eastAsia" w:ascii="宋体" w:hAnsi="宋体" w:eastAsia="宋体" w:cs="宋体"/>
                <w:color w:val="auto"/>
                <w:kern w:val="28"/>
                <w:sz w:val="21"/>
                <w:szCs w:val="21"/>
                <w:highlight w:val="none"/>
                <w:lang w:val="en-US" w:eastAsia="zh-CN" w:bidi="ar-SA"/>
              </w:rPr>
              <w:t>开具相应金额的有效发票给采购人，采购人收到发票</w:t>
            </w:r>
            <w:r>
              <w:rPr>
                <w:rFonts w:hint="eastAsia" w:ascii="宋体" w:hAnsi="宋体" w:cs="宋体"/>
                <w:color w:val="auto"/>
                <w:kern w:val="28"/>
                <w:sz w:val="21"/>
                <w:szCs w:val="21"/>
                <w:highlight w:val="none"/>
                <w:lang w:val="en-US" w:eastAsia="zh-CN" w:bidi="ar-SA"/>
              </w:rPr>
              <w:t>等资料核对无误</w:t>
            </w:r>
            <w:r>
              <w:rPr>
                <w:rFonts w:hint="eastAsia" w:ascii="宋体" w:hAnsi="宋体" w:eastAsia="宋体" w:cs="宋体"/>
                <w:color w:val="auto"/>
                <w:kern w:val="28"/>
                <w:sz w:val="21"/>
                <w:szCs w:val="21"/>
                <w:highlight w:val="none"/>
                <w:lang w:val="en-US" w:eastAsia="zh-CN" w:bidi="ar-SA"/>
              </w:rPr>
              <w:t>后</w:t>
            </w:r>
            <w:r>
              <w:rPr>
                <w:rFonts w:hint="eastAsia" w:ascii="宋体" w:hAnsi="宋体" w:cs="宋体"/>
                <w:color w:val="auto"/>
                <w:kern w:val="28"/>
                <w:sz w:val="21"/>
                <w:szCs w:val="21"/>
                <w:highlight w:val="none"/>
                <w:lang w:val="en-US" w:eastAsia="zh-CN" w:bidi="ar-SA"/>
              </w:rPr>
              <w:t>，</w:t>
            </w:r>
            <w:r>
              <w:rPr>
                <w:rFonts w:hint="eastAsia" w:ascii="宋体" w:hAnsi="宋体" w:eastAsia="宋体" w:cs="宋体"/>
                <w:color w:val="auto"/>
                <w:kern w:val="28"/>
                <w:sz w:val="21"/>
                <w:szCs w:val="21"/>
                <w:highlight w:val="none"/>
                <w:lang w:val="en-US" w:eastAsia="zh-CN" w:bidi="ar-SA"/>
              </w:rPr>
              <w:t>在</w:t>
            </w:r>
            <w:r>
              <w:rPr>
                <w:rFonts w:hint="eastAsia" w:ascii="宋体" w:hAnsi="宋体" w:cs="宋体"/>
                <w:color w:val="auto"/>
                <w:kern w:val="28"/>
                <w:sz w:val="21"/>
                <w:szCs w:val="21"/>
                <w:highlight w:val="none"/>
                <w:lang w:val="en-US" w:eastAsia="zh-CN" w:bidi="ar-SA"/>
              </w:rPr>
              <w:t>60</w:t>
            </w:r>
            <w:r>
              <w:rPr>
                <w:rFonts w:hint="eastAsia" w:ascii="宋体" w:hAnsi="宋体" w:eastAsia="宋体" w:cs="宋体"/>
                <w:color w:val="auto"/>
                <w:kern w:val="28"/>
                <w:sz w:val="21"/>
                <w:szCs w:val="21"/>
                <w:highlight w:val="none"/>
                <w:lang w:val="en-US" w:eastAsia="zh-CN" w:bidi="ar-SA"/>
              </w:rPr>
              <w:t>天内支付该批订单的货款；</w:t>
            </w:r>
          </w:p>
          <w:p>
            <w:pPr>
              <w:pStyle w:val="12"/>
              <w:pageBreakBefore w:val="0"/>
              <w:numPr>
                <w:ilvl w:val="0"/>
                <w:numId w:val="0"/>
              </w:numPr>
              <w:kinsoku/>
              <w:overflowPunct/>
              <w:bidi w:val="0"/>
              <w:spacing w:line="360" w:lineRule="auto"/>
              <w:ind w:left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highlight w:val="none"/>
                <w:lang w:val="en-US" w:eastAsia="zh-CN" w:bidi="ar-SA"/>
              </w:rPr>
              <w:t>2.</w:t>
            </w:r>
            <w:r>
              <w:rPr>
                <w:rFonts w:hint="eastAsia" w:ascii="宋体" w:hAnsi="宋体" w:eastAsia="宋体" w:cs="宋体"/>
                <w:color w:val="auto"/>
                <w:kern w:val="28"/>
                <w:sz w:val="21"/>
                <w:szCs w:val="21"/>
                <w:highlight w:val="none"/>
                <w:lang w:val="en-US" w:eastAsia="zh-CN" w:bidi="ar-SA"/>
              </w:rPr>
              <w:t>因</w:t>
            </w:r>
            <w:r>
              <w:rPr>
                <w:rFonts w:hint="eastAsia" w:ascii="宋体" w:hAnsi="宋体" w:cs="宋体"/>
                <w:color w:val="auto"/>
                <w:kern w:val="28"/>
                <w:sz w:val="21"/>
                <w:szCs w:val="21"/>
                <w:highlight w:val="none"/>
                <w:lang w:val="en-US" w:eastAsia="zh-CN" w:bidi="ar-SA"/>
              </w:rPr>
              <w:t>成交供应商</w:t>
            </w:r>
            <w:r>
              <w:rPr>
                <w:rFonts w:hint="eastAsia" w:ascii="宋体" w:hAnsi="宋体" w:eastAsia="宋体" w:cs="宋体"/>
                <w:color w:val="auto"/>
                <w:kern w:val="28"/>
                <w:sz w:val="21"/>
                <w:szCs w:val="21"/>
                <w:highlight w:val="none"/>
                <w:lang w:val="en-US" w:eastAsia="zh-CN" w:bidi="ar-SA"/>
              </w:rPr>
              <w:t>未及时向</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开具有效发票导致</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未能在约定期限内付款的，不视为</w:t>
            </w:r>
            <w:r>
              <w:rPr>
                <w:rFonts w:hint="eastAsia" w:ascii="宋体" w:hAnsi="宋体" w:cs="宋体"/>
                <w:color w:val="auto"/>
                <w:kern w:val="28"/>
                <w:sz w:val="21"/>
                <w:szCs w:val="21"/>
                <w:highlight w:val="none"/>
                <w:lang w:val="en-US" w:eastAsia="zh-CN" w:bidi="ar-SA"/>
              </w:rPr>
              <w:t>采购人</w:t>
            </w:r>
            <w:r>
              <w:rPr>
                <w:rFonts w:hint="eastAsia" w:ascii="宋体" w:hAnsi="宋体" w:eastAsia="宋体" w:cs="宋体"/>
                <w:color w:val="auto"/>
                <w:kern w:val="28"/>
                <w:sz w:val="21"/>
                <w:szCs w:val="21"/>
                <w:highlight w:val="none"/>
                <w:lang w:val="en-US" w:eastAsia="zh-CN" w:bidi="ar-SA"/>
              </w:rPr>
              <w:t>违约；</w:t>
            </w:r>
          </w:p>
          <w:p>
            <w:pPr>
              <w:pStyle w:val="12"/>
              <w:pageBreakBefore w:val="0"/>
              <w:kinsoku/>
              <w:overflowPunct/>
              <w:bidi w:val="0"/>
              <w:spacing w:line="360" w:lineRule="auto"/>
              <w:ind w:left="0" w:leftChars="0" w:firstLine="0" w:firstLineChars="0"/>
              <w:rPr>
                <w:rFonts w:hint="eastAsia" w:ascii="宋体" w:hAnsi="宋体" w:eastAsia="宋体" w:cs="宋体"/>
                <w:color w:val="auto"/>
                <w:kern w:val="28"/>
                <w:sz w:val="21"/>
                <w:szCs w:val="21"/>
                <w:highlight w:val="none"/>
                <w:lang w:val="en-US" w:eastAsia="zh-CN" w:bidi="ar-SA"/>
              </w:rPr>
            </w:pPr>
            <w:r>
              <w:rPr>
                <w:rFonts w:hint="eastAsia" w:ascii="宋体" w:hAnsi="宋体" w:cs="宋体"/>
                <w:color w:val="auto"/>
                <w:kern w:val="28"/>
                <w:sz w:val="21"/>
                <w:szCs w:val="21"/>
                <w:highlight w:val="none"/>
                <w:lang w:val="en-US" w:eastAsia="zh-CN" w:bidi="ar-SA"/>
              </w:rPr>
              <w:t>3.</w:t>
            </w:r>
            <w:r>
              <w:rPr>
                <w:rFonts w:hint="eastAsia" w:ascii="宋体" w:hAnsi="宋体" w:eastAsia="宋体" w:cs="宋体"/>
                <w:color w:val="auto"/>
                <w:kern w:val="28"/>
                <w:sz w:val="21"/>
                <w:szCs w:val="21"/>
                <w:highlight w:val="none"/>
                <w:lang w:val="en-US" w:eastAsia="zh-CN" w:bidi="ar-SA"/>
              </w:rPr>
              <w:t>因采购人使用的是财政资金，按政府审批流程支付，若审批延迟则相应货款到账延迟，且不视为采购人违约。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Style w:val="11"/>
              <w:pageBreakBefore w:val="0"/>
              <w:kinsoku/>
              <w:overflowPunct/>
              <w:bidi w:val="0"/>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805" w:type="dxa"/>
            <w:vAlign w:val="top"/>
          </w:tcPr>
          <w:p>
            <w:pPr>
              <w:pStyle w:val="11"/>
              <w:pageBreakBefore w:val="0"/>
              <w:kinsoku/>
              <w:overflowPunct/>
              <w:bidi w:val="0"/>
              <w:spacing w:line="360" w:lineRule="auto"/>
              <w:jc w:val="left"/>
              <w:rPr>
                <w:rFonts w:hint="eastAsia" w:ascii="宋体" w:hAnsi="宋体" w:eastAsia="宋体" w:cs="宋体"/>
                <w:color w:val="auto"/>
                <w:kern w:val="28"/>
                <w:sz w:val="21"/>
                <w:szCs w:val="21"/>
                <w:highlight w:val="none"/>
                <w:lang w:eastAsia="zh-CN"/>
              </w:rPr>
            </w:pPr>
            <w:r>
              <w:rPr>
                <w:rFonts w:hint="eastAsia" w:ascii="宋体" w:hAnsi="宋体" w:eastAsia="宋体" w:cs="宋体"/>
                <w:color w:val="auto"/>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10"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highlight w:val="none"/>
                <w:lang w:val="en-US" w:eastAsia="zh-CN"/>
              </w:rPr>
              <w:t>报价说明</w:t>
            </w:r>
          </w:p>
        </w:tc>
        <w:tc>
          <w:tcPr>
            <w:tcW w:w="6805" w:type="dxa"/>
            <w:vAlign w:val="top"/>
          </w:tcPr>
          <w:p>
            <w:pPr>
              <w:widowControl/>
              <w:autoSpaceDE w:val="0"/>
              <w:autoSpaceDN w:val="0"/>
              <w:spacing w:line="360" w:lineRule="auto"/>
              <w:ind w:firstLine="0" w:firstLineChars="0"/>
              <w:jc w:val="left"/>
              <w:textAlignment w:val="bottom"/>
              <w:outlineLvl w:val="9"/>
              <w:rPr>
                <w:rFonts w:hint="eastAsia" w:ascii="宋体" w:hAnsi="宋体" w:eastAsia="宋体" w:cs="宋体"/>
                <w:color w:val="auto"/>
                <w:kern w:val="28"/>
                <w:sz w:val="21"/>
                <w:szCs w:val="21"/>
                <w:highlight w:val="none"/>
                <w:lang w:val="en-US" w:eastAsia="zh-CN"/>
              </w:rPr>
            </w:pPr>
            <w:r>
              <w:rPr>
                <w:rFonts w:hint="eastAsia" w:ascii="宋体" w:hAnsi="宋体" w:eastAsia="宋体" w:cs="宋体"/>
                <w:color w:val="auto"/>
                <w:kern w:val="28"/>
                <w:sz w:val="21"/>
                <w:szCs w:val="21"/>
                <w:highlight w:val="none"/>
                <w:lang w:val="en-US" w:eastAsia="zh-CN"/>
              </w:rPr>
              <w:t>1.供应商所报的响应报价应包含本项目所需的一切费用，包括（但不限于）：工作人员工资、食宿、福利、服装、通信工具、社保、医疗、运输、检测、报告编制、送审、报告输出、数据汇总、总结编写及完成该项目所须工具</w:t>
            </w:r>
            <w:r>
              <w:rPr>
                <w:rFonts w:hint="eastAsia" w:ascii="宋体" w:hAnsi="宋体" w:cs="宋体"/>
                <w:color w:val="auto"/>
                <w:kern w:val="28"/>
                <w:sz w:val="21"/>
                <w:szCs w:val="21"/>
                <w:highlight w:val="none"/>
                <w:lang w:val="en-US" w:eastAsia="zh-CN"/>
              </w:rPr>
              <w:t>、税费等及</w:t>
            </w:r>
            <w:r>
              <w:rPr>
                <w:rFonts w:hint="eastAsia" w:ascii="宋体" w:hAnsi="宋体" w:eastAsia="宋体" w:cs="宋体"/>
                <w:color w:val="auto"/>
                <w:kern w:val="28"/>
                <w:sz w:val="21"/>
                <w:szCs w:val="21"/>
                <w:highlight w:val="none"/>
                <w:lang w:val="en-US" w:eastAsia="zh-CN"/>
              </w:rPr>
              <w:t>合同实施过程中的一切可预见和不可预见费用。</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rightChars="0"/>
              <w:jc w:val="left"/>
              <w:textAlignment w:val="bottom"/>
              <w:outlineLvl w:val="9"/>
              <w:rPr>
                <w:rFonts w:hint="eastAsia" w:ascii="仿宋" w:hAnsi="仿宋" w:eastAsia="仿宋" w:cs="仿宋"/>
                <w:color w:val="auto"/>
                <w:sz w:val="28"/>
                <w:szCs w:val="28"/>
              </w:rPr>
            </w:pPr>
            <w:r>
              <w:rPr>
                <w:rFonts w:hint="eastAsia" w:ascii="宋体" w:hAnsi="宋体" w:eastAsia="宋体" w:cs="宋体"/>
                <w:color w:val="auto"/>
                <w:kern w:val="28"/>
                <w:sz w:val="21"/>
                <w:szCs w:val="21"/>
                <w:highlight w:val="none"/>
                <w:lang w:val="en-US" w:eastAsia="zh-CN" w:bidi="ar-SA"/>
              </w:rPr>
              <w:t>2.报价不得高于项目预算金额，否则视为无效响应。</w:t>
            </w:r>
          </w:p>
          <w:p>
            <w:pPr>
              <w:spacing w:line="400" w:lineRule="exact"/>
              <w:outlineLvl w:val="1"/>
              <w:rPr>
                <w:rFonts w:hint="eastAsia" w:ascii="宋体" w:hAnsi="宋体" w:eastAsia="宋体" w:cs="宋体"/>
                <w:sz w:val="21"/>
                <w:szCs w:val="24"/>
                <w:lang w:val="en-US" w:eastAsia="zh-CN"/>
              </w:rPr>
            </w:pPr>
          </w:p>
        </w:tc>
      </w:tr>
    </w:tbl>
    <w:p>
      <w:pPr>
        <w:widowControl/>
        <w:tabs>
          <w:tab w:val="left" w:pos="636"/>
        </w:tabs>
        <w:autoSpaceDE w:val="0"/>
        <w:autoSpaceDN w:val="0"/>
        <w:spacing w:line="460" w:lineRule="exact"/>
        <w:ind w:firstLine="482" w:firstLineChars="200"/>
        <w:jc w:val="left"/>
        <w:textAlignment w:val="bottom"/>
        <w:rPr>
          <w:rFonts w:hint="eastAsia" w:ascii="宋体" w:hAnsi="宋体" w:eastAsia="宋体" w:cs="宋体"/>
          <w:b/>
          <w:bCs/>
          <w:color w:val="auto"/>
          <w:sz w:val="24"/>
          <w:szCs w:val="24"/>
          <w:highlight w:val="none"/>
          <w:lang w:eastAsia="zh-CN"/>
        </w:rPr>
      </w:pPr>
    </w:p>
    <w:p>
      <w:pPr>
        <w:pStyle w:val="8"/>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7C83D3"/>
    <w:multiLevelType w:val="singleLevel"/>
    <w:tmpl w:val="F17C83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668C"/>
    <w:rsid w:val="015C7D5B"/>
    <w:rsid w:val="0490380A"/>
    <w:rsid w:val="055C36E7"/>
    <w:rsid w:val="05B95012"/>
    <w:rsid w:val="07192964"/>
    <w:rsid w:val="07393D5C"/>
    <w:rsid w:val="0AB62F51"/>
    <w:rsid w:val="0E0B4230"/>
    <w:rsid w:val="108961E5"/>
    <w:rsid w:val="11013B88"/>
    <w:rsid w:val="11CC6FAC"/>
    <w:rsid w:val="14144E5B"/>
    <w:rsid w:val="17D35B26"/>
    <w:rsid w:val="1DFC12B5"/>
    <w:rsid w:val="1E525496"/>
    <w:rsid w:val="1EA54B23"/>
    <w:rsid w:val="2198088E"/>
    <w:rsid w:val="21EA62CE"/>
    <w:rsid w:val="278B464C"/>
    <w:rsid w:val="28560CB2"/>
    <w:rsid w:val="2D84179F"/>
    <w:rsid w:val="2F753266"/>
    <w:rsid w:val="33BB594F"/>
    <w:rsid w:val="37C9343C"/>
    <w:rsid w:val="3CC8605D"/>
    <w:rsid w:val="422028D2"/>
    <w:rsid w:val="466F1F67"/>
    <w:rsid w:val="46D9586E"/>
    <w:rsid w:val="4F156E6E"/>
    <w:rsid w:val="53211A42"/>
    <w:rsid w:val="5AFC7E15"/>
    <w:rsid w:val="5B8638E0"/>
    <w:rsid w:val="5C9B70F6"/>
    <w:rsid w:val="5DF856EE"/>
    <w:rsid w:val="5E645FD2"/>
    <w:rsid w:val="612562B2"/>
    <w:rsid w:val="627D26D4"/>
    <w:rsid w:val="67E14C13"/>
    <w:rsid w:val="6A1C34A7"/>
    <w:rsid w:val="702D43DF"/>
    <w:rsid w:val="760A7513"/>
    <w:rsid w:val="766B248A"/>
    <w:rsid w:val="785B6800"/>
    <w:rsid w:val="78D828FA"/>
    <w:rsid w:val="7F575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0"/>
      <w:sz w:val="20"/>
      <w:szCs w:val="20"/>
    </w:rPr>
  </w:style>
  <w:style w:type="paragraph" w:customStyle="1" w:styleId="8">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styleId="9">
    <w:name w:val="List Paragraph"/>
    <w:basedOn w:val="1"/>
    <w:qFormat/>
    <w:uiPriority w:val="0"/>
    <w:pPr>
      <w:ind w:firstLine="420" w:firstLineChars="200"/>
    </w:pPr>
    <w:rPr>
      <w:szCs w:val="22"/>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12">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1170</Words>
  <Characters>1199</Characters>
  <Lines>0</Lines>
  <Paragraphs>0</Paragraphs>
  <ScaleCrop>false</ScaleCrop>
  <LinksUpToDate>false</LinksUpToDate>
  <CharactersWithSpaces>1215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李铜光</cp:lastModifiedBy>
  <dcterms:modified xsi:type="dcterms:W3CDTF">2025-12-09T01:32:03Z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4591BF9EA52244B59716329C5E0D198F_13</vt:lpwstr>
  </property>
  <property fmtid="{D5CDD505-2E9C-101B-9397-08002B2CF9AE}" pid="4" name="KSOTemplateDocerSaveRecord">
    <vt:lpwstr>eyJoZGlkIjoiMjAyNDk0OTM5ZjE2MDUwMDJiMWIwZGQwMjQwZjRmZDAiLCJ1c2VySWQiOiI0NDc4NzM5NzgifQ==</vt:lpwstr>
  </property>
</Properties>
</file>