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Calibri" w:hAnsi="Calibri" w:eastAsia="宋体" w:cs="Times New Roman"/>
          <w:b/>
          <w:sz w:val="28"/>
          <w:szCs w:val="28"/>
        </w:rPr>
      </w:pPr>
      <w:r>
        <w:rPr>
          <w:rFonts w:hint="eastAsia" w:ascii="Calibri" w:hAnsi="Calibri" w:eastAsia="宋体" w:cs="Times New Roman"/>
          <w:b/>
          <w:sz w:val="28"/>
          <w:szCs w:val="28"/>
        </w:rPr>
        <w:t>附件</w:t>
      </w:r>
      <w:r>
        <w:rPr>
          <w:rFonts w:hint="eastAsia" w:asciiTheme="minorEastAsia" w:hAnsiTheme="minorEastAsia" w:cstheme="minorEastAsia"/>
          <w:b/>
          <w:sz w:val="28"/>
          <w:szCs w:val="28"/>
        </w:rPr>
        <w:t>1</w:t>
      </w:r>
      <w:r>
        <w:rPr>
          <w:rFonts w:hint="eastAsia" w:ascii="Calibri" w:hAnsi="Calibri" w:eastAsia="宋体" w:cs="Times New Roman"/>
          <w:b/>
          <w:sz w:val="28"/>
          <w:szCs w:val="28"/>
        </w:rPr>
        <w:t>：</w:t>
      </w:r>
    </w:p>
    <w:p>
      <w:pPr>
        <w:spacing w:line="560" w:lineRule="exact"/>
        <w:jc w:val="center"/>
      </w:pPr>
      <w:r>
        <w:rPr>
          <w:rFonts w:hint="eastAsia" w:ascii="Calibri" w:hAnsi="Calibri" w:eastAsia="宋体" w:cs="Times New Roman"/>
          <w:b/>
          <w:sz w:val="36"/>
          <w:szCs w:val="36"/>
        </w:rPr>
        <w:t>用户需求书</w:t>
      </w:r>
    </w:p>
    <w:p>
      <w:pPr>
        <w:pStyle w:val="2"/>
      </w:pPr>
    </w:p>
    <w:p>
      <w:pPr>
        <w:pStyle w:val="17"/>
        <w:ind w:firstLine="0" w:firstLineChars="0"/>
        <w:rPr>
          <w:b/>
        </w:rPr>
      </w:pPr>
      <w:r>
        <w:rPr>
          <w:rFonts w:hint="eastAsia"/>
          <w:b/>
        </w:rPr>
        <w:t>总则</w:t>
      </w:r>
    </w:p>
    <w:p>
      <w:pPr>
        <w:spacing w:line="360" w:lineRule="auto"/>
        <w:ind w:firstLine="420" w:firstLineChars="200"/>
        <w:jc w:val="left"/>
        <w:rPr>
          <w:rFonts w:ascii="宋体" w:hAnsi="宋体" w:eastAsia="宋体" w:cs="宋体"/>
          <w:b/>
          <w:bCs/>
          <w:sz w:val="36"/>
          <w:szCs w:val="36"/>
        </w:rPr>
      </w:pPr>
      <w:r>
        <w:rPr>
          <w:rFonts w:hint="eastAsia"/>
        </w:rPr>
        <w:t>1、《用户需求书》中凡有“★”标识的内容条款(如有)被视为实质性响应项目、指标；响应供应商必须对此做出回答并完全满足这些要求不可以出现任何负偏离，如果出现负偏离将被视为无效响应。</w:t>
      </w:r>
    </w:p>
    <w:p>
      <w:pPr>
        <w:spacing w:line="360" w:lineRule="auto"/>
        <w:jc w:val="left"/>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一、项目名称：中山市黄圃人民医院科教科超纯水机采购项目。</w:t>
      </w:r>
    </w:p>
    <w:p>
      <w:pPr>
        <w:numPr>
          <w:ilvl w:val="255"/>
          <w:numId w:val="0"/>
        </w:num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二、项目内容及要求：</w:t>
      </w:r>
    </w:p>
    <w:p>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(一)采购内容：</w:t>
      </w:r>
    </w:p>
    <w:tbl>
      <w:tblPr>
        <w:tblStyle w:val="10"/>
        <w:tblW w:w="8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600"/>
        <w:gridCol w:w="600"/>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货物名称</w:t>
            </w:r>
          </w:p>
        </w:tc>
        <w:tc>
          <w:tcPr>
            <w:tcW w:w="600" w:type="dxa"/>
            <w:tcBorders>
              <w:top w:val="single" w:color="auto" w:sz="4" w:space="0"/>
              <w:left w:val="single" w:color="auto" w:sz="4" w:space="0"/>
              <w:bottom w:val="single" w:color="auto" w:sz="4" w:space="0"/>
              <w:right w:val="single" w:color="auto" w:sz="4" w:space="0"/>
            </w:tcBorders>
            <w:vAlign w:val="center"/>
          </w:tcPr>
          <w:p>
            <w:pPr>
              <w:pStyle w:val="18"/>
              <w:widowControl/>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6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6031" w:type="dxa"/>
            <w:tcBorders>
              <w:top w:val="single" w:color="auto" w:sz="4" w:space="0"/>
              <w:left w:val="single" w:color="auto" w:sz="4" w:space="0"/>
              <w:bottom w:val="single" w:color="auto" w:sz="4" w:space="0"/>
              <w:right w:val="single" w:color="auto" w:sz="4" w:space="0"/>
            </w:tcBorders>
            <w:vAlign w:val="center"/>
          </w:tcPr>
          <w:p>
            <w:pPr>
              <w:pStyle w:val="18"/>
              <w:widowControl/>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jc w:val="center"/>
              <w:rPr>
                <w:rFonts w:ascii="宋体" w:hAnsi="宋体" w:cs="宋体"/>
                <w:sz w:val="24"/>
                <w:szCs w:val="24"/>
              </w:rPr>
            </w:pPr>
            <w:r>
              <w:rPr>
                <w:rFonts w:hint="eastAsia" w:asciiTheme="minorHAnsi" w:hAnsiTheme="minorHAnsi"/>
                <w:kern w:val="2"/>
                <w:szCs w:val="21"/>
              </w:rPr>
              <w:t>超纯水机</w:t>
            </w:r>
          </w:p>
        </w:tc>
        <w:tc>
          <w:tcPr>
            <w:tcW w:w="600" w:type="dxa"/>
            <w:tcBorders>
              <w:top w:val="single" w:color="auto" w:sz="4" w:space="0"/>
              <w:left w:val="single" w:color="auto" w:sz="4" w:space="0"/>
              <w:bottom w:val="single" w:color="auto" w:sz="4" w:space="0"/>
              <w:right w:val="single" w:color="auto" w:sz="4" w:space="0"/>
            </w:tcBorders>
            <w:vAlign w:val="center"/>
          </w:tcPr>
          <w:p>
            <w:pPr>
              <w:pStyle w:val="18"/>
              <w:widowControl/>
              <w:adjustRightInd w:val="0"/>
              <w:snapToGrid w:val="0"/>
              <w:spacing w:line="360" w:lineRule="auto"/>
              <w:jc w:val="center"/>
              <w:rPr>
                <w:rFonts w:ascii="宋体" w:hAnsi="宋体" w:eastAsia="宋体" w:cs="宋体"/>
                <w:sz w:val="24"/>
                <w:szCs w:val="24"/>
              </w:rPr>
            </w:pPr>
            <w:r>
              <w:rPr>
                <w:rFonts w:hint="eastAsia" w:asciiTheme="minorHAnsi" w:hAnsiTheme="minorHAnsi"/>
                <w:kern w:val="2"/>
                <w:szCs w:val="21"/>
              </w:rPr>
              <w:t>1</w:t>
            </w:r>
          </w:p>
        </w:tc>
        <w:tc>
          <w:tcPr>
            <w:tcW w:w="6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jc w:val="center"/>
              <w:rPr>
                <w:rFonts w:ascii="宋体" w:hAnsi="宋体" w:eastAsia="宋体" w:cs="宋体"/>
                <w:sz w:val="24"/>
                <w:szCs w:val="24"/>
              </w:rPr>
            </w:pPr>
            <w:r>
              <w:rPr>
                <w:rFonts w:hint="eastAsia" w:asciiTheme="minorHAnsi" w:hAnsiTheme="minorHAnsi"/>
                <w:kern w:val="2"/>
                <w:szCs w:val="21"/>
              </w:rPr>
              <w:t>台</w:t>
            </w:r>
          </w:p>
        </w:tc>
        <w:tc>
          <w:tcPr>
            <w:tcW w:w="6031"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line="360" w:lineRule="auto"/>
              <w:ind w:firstLine="420" w:firstLineChars="200"/>
              <w:jc w:val="left"/>
              <w:rPr>
                <w:szCs w:val="21"/>
              </w:rPr>
            </w:pPr>
            <w:r>
              <w:rPr>
                <w:rFonts w:hint="eastAsia"/>
              </w:rPr>
              <w:t>★</w:t>
            </w:r>
            <w:r>
              <w:rPr>
                <w:rFonts w:hint="eastAsia" w:ascii="Calibri" w:hAnsi="Calibri" w:cstheme="minorBidi"/>
                <w:sz w:val="21"/>
                <w:szCs w:val="21"/>
              </w:rPr>
              <w:t>1.系统产水量：20 升/小时，可同时生产 UP 超纯水(18.2MΩ.cm)和一级 RO 纯水。</w:t>
            </w:r>
          </w:p>
          <w:p>
            <w:pPr>
              <w:pStyle w:val="18"/>
              <w:widowControl/>
              <w:shd w:val="clear" w:color="auto" w:fill="FFFFFF"/>
              <w:spacing w:line="360" w:lineRule="auto"/>
              <w:ind w:firstLine="420" w:firstLineChars="200"/>
              <w:jc w:val="left"/>
              <w:rPr>
                <w:rFonts w:ascii="宋体" w:hAnsi="宋体" w:cs="宋体"/>
              </w:rPr>
            </w:pPr>
            <w:r>
              <w:rPr>
                <w:rFonts w:hint="eastAsia"/>
              </w:rPr>
              <w:t>★</w:t>
            </w:r>
            <w:r>
              <w:rPr>
                <w:rFonts w:hint="eastAsia" w:ascii="Calibri" w:hAnsi="Calibri" w:cstheme="minorBidi"/>
                <w:sz w:val="21"/>
                <w:szCs w:val="21"/>
              </w:rPr>
              <w:t>2.纯水质量完全达到或超过 ASTM D1193-06、GB/T 11446.1-2013、GB/T 33087-2016、GB/T 6682-2008、CP、EP、USP、JP、CAP、CLSI 等规定的水质标准要求。</w:t>
            </w:r>
          </w:p>
          <w:p>
            <w:pPr>
              <w:pStyle w:val="18"/>
              <w:widowControl/>
              <w:spacing w:line="360" w:lineRule="auto"/>
              <w:ind w:firstLine="420" w:firstLineChars="200"/>
              <w:jc w:val="left"/>
              <w:rPr>
                <w:szCs w:val="21"/>
              </w:rPr>
            </w:pPr>
            <w:r>
              <w:rPr>
                <w:rFonts w:hint="eastAsia"/>
              </w:rPr>
              <w:t>★</w:t>
            </w:r>
            <w:r>
              <w:rPr>
                <w:rFonts w:hint="eastAsia" w:ascii="宋体" w:hAnsi="宋体" w:cs="宋体"/>
              </w:rPr>
              <w:t>3.电导率：18.2MΩ.cm、微生物：&lt;0.01cfu/ml、热源/内毒素：&lt;0.001EU/ml、颗粒物(&gt;0.1μm)：&lt;1/ml。</w:t>
            </w:r>
            <w:r>
              <w:rPr>
                <w:szCs w:val="21"/>
              </w:rPr>
              <w:tab/>
            </w:r>
          </w:p>
          <w:p>
            <w:pPr>
              <w:pStyle w:val="18"/>
              <w:widowControl/>
              <w:spacing w:line="360" w:lineRule="auto"/>
              <w:ind w:firstLine="420" w:firstLineChars="200"/>
              <w:jc w:val="left"/>
              <w:rPr>
                <w:szCs w:val="21"/>
              </w:rPr>
            </w:pPr>
            <w:r>
              <w:rPr>
                <w:rFonts w:hint="eastAsia"/>
              </w:rPr>
              <w:t>★</w:t>
            </w:r>
            <w:r>
              <w:rPr>
                <w:rFonts w:hint="eastAsia" w:ascii="宋体" w:hAnsi="宋体" w:cs="宋体"/>
              </w:rPr>
              <w:t>4.带紫外灯灭菌。</w:t>
            </w:r>
          </w:p>
          <w:p>
            <w:pPr>
              <w:pStyle w:val="18"/>
              <w:widowControl/>
              <w:spacing w:line="360" w:lineRule="auto"/>
              <w:ind w:firstLine="420" w:firstLineChars="200"/>
              <w:jc w:val="left"/>
              <w:rPr>
                <w:rFonts w:ascii="宋体" w:hAnsi="宋体" w:cs="宋体"/>
              </w:rPr>
            </w:pPr>
            <w:r>
              <w:rPr>
                <w:rFonts w:hint="eastAsia"/>
              </w:rPr>
              <w:t>★</w:t>
            </w:r>
            <w:r>
              <w:rPr>
                <w:rFonts w:hint="eastAsia" w:ascii="宋体" w:hAnsi="宋体" w:cs="宋体"/>
              </w:rPr>
              <w:t>5.水源是纯化水或饮用水，能抽桶装水的纯化水</w:t>
            </w:r>
          </w:p>
          <w:p>
            <w:pPr>
              <w:pStyle w:val="18"/>
              <w:widowControl/>
              <w:spacing w:line="360" w:lineRule="auto"/>
              <w:ind w:firstLine="420" w:firstLineChars="200"/>
              <w:jc w:val="left"/>
              <w:rPr>
                <w:szCs w:val="21"/>
              </w:rPr>
            </w:pPr>
            <w:r>
              <w:rPr>
                <w:rFonts w:hint="eastAsia" w:ascii="宋体" w:hAnsi="宋体" w:cs="宋体"/>
              </w:rPr>
              <w:t>6.该仪器的宽度、长度小于60cm。</w:t>
            </w:r>
          </w:p>
          <w:p>
            <w:pPr>
              <w:pStyle w:val="18"/>
              <w:widowControl/>
              <w:numPr>
                <w:ilvl w:val="255"/>
                <w:numId w:val="0"/>
              </w:numPr>
              <w:spacing w:line="360" w:lineRule="auto"/>
              <w:jc w:val="left"/>
              <w:rPr>
                <w:szCs w:val="21"/>
              </w:rPr>
            </w:pPr>
            <w:r>
              <w:rPr>
                <w:rFonts w:hint="eastAsia"/>
                <w:szCs w:val="21"/>
              </w:rPr>
              <w:t xml:space="preserve"> </w:t>
            </w:r>
            <w:r>
              <w:rPr>
                <w:rFonts w:hint="eastAsia"/>
                <w:szCs w:val="21"/>
                <w:lang w:val="en-US" w:eastAsia="zh-CN"/>
              </w:rPr>
              <w:t xml:space="preserve">   </w:t>
            </w:r>
            <w:r>
              <w:rPr>
                <w:rFonts w:hint="eastAsia"/>
              </w:rPr>
              <w:t>★</w:t>
            </w:r>
            <w:r>
              <w:rPr>
                <w:rFonts w:hint="eastAsia"/>
                <w:szCs w:val="21"/>
              </w:rPr>
              <w:t xml:space="preserve"> 7.附带易损耗材1套（预处理纯化柱 C 一支、RO 一级反渗透柱 S2 一支、UP 超纯化柱两支、TF 终端 UP 除菌滤器一个、双波长 UV 紫外灯管一支</w:t>
            </w:r>
            <w:r>
              <w:rPr>
                <w:rFonts w:hint="eastAsia"/>
                <w:szCs w:val="21"/>
                <w:lang w:eastAsia="zh-CN"/>
              </w:rPr>
              <w:t>）</w:t>
            </w:r>
            <w:r>
              <w:rPr>
                <w:rFonts w:hint="eastAsia"/>
                <w:szCs w:val="21"/>
              </w:rPr>
              <w:t>。</w:t>
            </w:r>
          </w:p>
        </w:tc>
      </w:tr>
    </w:tbl>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三、报价说明</w:t>
      </w:r>
    </w:p>
    <w:p>
      <w:pPr>
        <w:spacing w:line="56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（一）供应商的报价为包含本项目所需的一切费用，到货全包价、含税价，承担交货前的所有费用，包括但不限于</w:t>
      </w:r>
      <w:r>
        <w:rPr>
          <w:rFonts w:hint="eastAsia" w:asciiTheme="minorEastAsia" w:hAnsiTheme="minorEastAsia" w:cstheme="minorEastAsia"/>
          <w:sz w:val="24"/>
          <w:szCs w:val="24"/>
          <w:lang w:eastAsia="zh-CN"/>
        </w:rPr>
        <w:t>包装费、安装调试、</w:t>
      </w:r>
      <w:r>
        <w:rPr>
          <w:rFonts w:hint="eastAsia" w:asciiTheme="minorEastAsia" w:hAnsiTheme="minorEastAsia" w:cstheme="minorEastAsia"/>
          <w:sz w:val="24"/>
          <w:szCs w:val="24"/>
        </w:rPr>
        <w:t>运输费、途中保险费、装车费、途中损耗与损失费及货物运送至交货地点后的卸车费</w:t>
      </w:r>
      <w:r>
        <w:rPr>
          <w:rFonts w:hint="eastAsia" w:asciiTheme="minorEastAsia" w:hAnsiTheme="minorEastAsia" w:cstheme="minorEastAsia"/>
          <w:sz w:val="24"/>
          <w:szCs w:val="24"/>
          <w:lang w:eastAsia="zh-CN"/>
        </w:rPr>
        <w:t>、安装费</w:t>
      </w:r>
      <w:r>
        <w:rPr>
          <w:rFonts w:hint="eastAsia" w:asciiTheme="minorEastAsia" w:hAnsiTheme="minorEastAsia" w:cstheme="minorEastAsia"/>
          <w:sz w:val="24"/>
          <w:szCs w:val="24"/>
        </w:rPr>
        <w:t>等及合同实施过程中的一切可预见和不可预见费用。</w:t>
      </w:r>
    </w:p>
    <w:p>
      <w:pPr>
        <w:widowControl/>
        <w:spacing w:line="560" w:lineRule="exact"/>
        <w:ind w:firstLine="240" w:firstLineChars="100"/>
        <w:rPr>
          <w:rFonts w:hint="eastAsia" w:asciiTheme="minorEastAsia" w:hAnsiTheme="minorEastAsia" w:cstheme="minorEastAsia"/>
          <w:b/>
          <w:bCs/>
          <w:sz w:val="24"/>
          <w:szCs w:val="24"/>
        </w:rPr>
      </w:pPr>
      <w:r>
        <w:rPr>
          <w:rFonts w:hint="eastAsia" w:asciiTheme="minorEastAsia" w:hAnsiTheme="minorEastAsia" w:cstheme="minorEastAsia"/>
          <w:sz w:val="24"/>
          <w:szCs w:val="24"/>
        </w:rPr>
        <w:t>（二）供应商须对所有内容进行报价，不得漏项，否则视为无效报价。</w:t>
      </w:r>
      <w:r>
        <w:rPr>
          <w:rFonts w:hint="eastAsia" w:asciiTheme="minorEastAsia" w:hAnsiTheme="minorEastAsia" w:cstheme="minorEastAsia"/>
          <w:b/>
          <w:bCs/>
          <w:sz w:val="24"/>
          <w:szCs w:val="24"/>
        </w:rPr>
        <w:t>（格式详见附件2）</w:t>
      </w:r>
    </w:p>
    <w:p>
      <w:pPr>
        <w:widowControl/>
        <w:spacing w:line="360" w:lineRule="auto"/>
        <w:ind w:firstLine="0" w:firstLineChars="0"/>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四、交货期及交货地点</w:t>
      </w:r>
    </w:p>
    <w:p>
      <w:pPr>
        <w:pStyle w:val="4"/>
        <w:spacing w:line="360" w:lineRule="auto"/>
        <w:rPr>
          <w:rFonts w:hint="eastAsia" w:asciiTheme="minorEastAsia" w:hAnsiTheme="minorEastAsia" w:cstheme="minorEastAsia"/>
          <w:b w:val="0"/>
          <w:bCs w:val="0"/>
          <w:kern w:val="2"/>
          <w:sz w:val="24"/>
          <w:szCs w:val="24"/>
          <w:lang w:eastAsia="zh-CN"/>
        </w:rPr>
      </w:pP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b w:val="0"/>
          <w:bCs w:val="0"/>
          <w:sz w:val="24"/>
          <w:szCs w:val="24"/>
          <w:lang w:val="en-US" w:eastAsia="zh-CN"/>
        </w:rPr>
        <w:t>（一）</w:t>
      </w:r>
      <w:r>
        <w:rPr>
          <w:rFonts w:hint="eastAsia" w:asciiTheme="minorEastAsia" w:hAnsiTheme="minorEastAsia" w:cstheme="minorEastAsia"/>
          <w:sz w:val="24"/>
          <w:szCs w:val="24"/>
          <w:lang w:eastAsia="zh-CN"/>
        </w:rPr>
        <w:t>交货期：</w:t>
      </w:r>
      <w:r>
        <w:rPr>
          <w:rFonts w:hint="eastAsia" w:asciiTheme="minorEastAsia" w:hAnsiTheme="minorEastAsia" w:cstheme="minorEastAsia"/>
          <w:b w:val="0"/>
          <w:bCs w:val="0"/>
          <w:kern w:val="2"/>
          <w:sz w:val="24"/>
          <w:szCs w:val="24"/>
          <w:lang w:eastAsia="zh-CN"/>
        </w:rPr>
        <w:t>在采购人下达订单起七天内提供正品，并完成安装调试。</w:t>
      </w:r>
    </w:p>
    <w:p>
      <w:pPr>
        <w:pStyle w:val="4"/>
        <w:spacing w:line="360" w:lineRule="auto"/>
        <w:ind w:firstLine="480" w:firstLineChars="200"/>
        <w:rPr>
          <w:rFonts w:hint="eastAsia" w:asciiTheme="minorEastAsia" w:hAnsiTheme="minorEastAsia" w:cstheme="minorEastAsia"/>
          <w:b/>
          <w:bCs/>
          <w:sz w:val="24"/>
          <w:szCs w:val="24"/>
          <w:lang w:val="en-US" w:eastAsia="zh-CN"/>
        </w:rPr>
      </w:pPr>
      <w:r>
        <w:rPr>
          <w:rFonts w:hint="eastAsia" w:asciiTheme="minorEastAsia" w:hAnsiTheme="minorEastAsia" w:cstheme="minorEastAsia"/>
          <w:b w:val="0"/>
          <w:bCs w:val="0"/>
          <w:kern w:val="2"/>
          <w:sz w:val="24"/>
          <w:szCs w:val="24"/>
          <w:lang w:eastAsia="zh-CN"/>
        </w:rPr>
        <w:t>（二）</w:t>
      </w:r>
      <w:r>
        <w:rPr>
          <w:rFonts w:hint="eastAsia" w:asciiTheme="minorEastAsia" w:hAnsiTheme="minorEastAsia" w:cstheme="minorEastAsia"/>
          <w:sz w:val="24"/>
          <w:szCs w:val="24"/>
          <w:lang w:eastAsia="zh-CN"/>
        </w:rPr>
        <w:t>交货地点：</w:t>
      </w:r>
      <w:r>
        <w:rPr>
          <w:rFonts w:hint="eastAsia" w:asciiTheme="minorEastAsia" w:hAnsiTheme="minorEastAsia" w:cstheme="minorEastAsia"/>
          <w:b w:val="0"/>
          <w:bCs w:val="0"/>
          <w:kern w:val="2"/>
          <w:sz w:val="24"/>
          <w:szCs w:val="24"/>
          <w:lang w:eastAsia="zh-CN"/>
        </w:rPr>
        <w:t>采购人指定地点。</w:t>
      </w:r>
    </w:p>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五、付款方式</w:t>
      </w:r>
    </w:p>
    <w:p>
      <w:pPr>
        <w:pStyle w:val="17"/>
        <w:ind w:firstLine="480"/>
        <w:rPr>
          <w:rFonts w:asciiTheme="minorEastAsia" w:hAnsiTheme="minorEastAsia" w:cstheme="minorEastAsia"/>
          <w:szCs w:val="24"/>
        </w:rPr>
      </w:pPr>
      <w:r>
        <w:rPr>
          <w:rFonts w:hint="eastAsia" w:asciiTheme="minorEastAsia" w:hAnsiTheme="minorEastAsia" w:cstheme="minorEastAsia"/>
          <w:szCs w:val="24"/>
        </w:rPr>
        <w:t>（一）本合同的款项以人民币银行转账方式支付；成交供应商在配送安装、验收完成后，采购人在收到成交供应商的验收单、有效发票等资料且核对无误后60天内向成交供应商支付款项；因采购人使用的是财政资金，申请汇款审批之日视为付款之日，若审批延迟则相应货款到账延迟，且不视为采购人违约。</w:t>
      </w:r>
      <w:bookmarkStart w:id="0" w:name="_GoBack"/>
      <w:bookmarkEnd w:id="0"/>
    </w:p>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六、质量要求</w:t>
      </w:r>
    </w:p>
    <w:p>
      <w:pPr>
        <w:pStyle w:val="19"/>
        <w:spacing w:line="360" w:lineRule="auto"/>
        <w:ind w:firstLine="480" w:firstLineChars="200"/>
        <w:jc w:val="left"/>
        <w:rPr>
          <w:rFonts w:asciiTheme="minorEastAsia" w:hAnsiTheme="minorEastAsia" w:eastAsiaTheme="minorEastAsia" w:cstheme="minorEastAsia"/>
          <w:kern w:val="2"/>
          <w:szCs w:val="24"/>
        </w:rPr>
      </w:pPr>
      <w:r>
        <w:rPr>
          <w:rFonts w:hint="eastAsia"/>
        </w:rPr>
        <w:t>★</w:t>
      </w:r>
      <w:r>
        <w:rPr>
          <w:rFonts w:hint="eastAsia" w:asciiTheme="minorEastAsia" w:hAnsiTheme="minorEastAsia" w:cstheme="minorEastAsia"/>
          <w:szCs w:val="24"/>
        </w:rPr>
        <w:t>（一）</w:t>
      </w:r>
      <w:r>
        <w:rPr>
          <w:rFonts w:hint="eastAsia" w:asciiTheme="minorEastAsia" w:hAnsiTheme="minorEastAsia" w:eastAsiaTheme="minorEastAsia" w:cstheme="minorEastAsia"/>
          <w:kern w:val="2"/>
          <w:szCs w:val="24"/>
        </w:rPr>
        <w:t>质保期：整机质保期≥3年。质保期内非因采购人的人为原因而出现产品质量及安装问题，由成交供应商负责包修、包换或包退，并承担因此而产生的一切费用。</w:t>
      </w:r>
    </w:p>
    <w:p>
      <w:pPr>
        <w:widowControl/>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二）退换货要求：成交供应商所配送的产品（品牌、规格、生产厂家、质量等）不符合或达不到采购文件要求的，采购人可拒绝收货并要求进行换货。换货应为全新并符合采购文件和响应文件规定的品质、规格等。若换货仍不能达到质量要求，采购人有权要求退货，并由成交供应商承担因此而产生的一切费用和采购人遭受的一切损失。</w:t>
      </w:r>
    </w:p>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七、包装及运输</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（一）成交</w:t>
      </w:r>
      <w:r>
        <w:rPr>
          <w:rFonts w:hint="eastAsia" w:asciiTheme="minorEastAsia" w:hAnsiTheme="minorEastAsia" w:cstheme="minorEastAsia"/>
          <w:bCs/>
          <w:sz w:val="24"/>
          <w:szCs w:val="24"/>
          <w:lang w:val="zh-CN"/>
        </w:rPr>
        <w:t>供应商应保证合同项下所供货物是全新的、符合采购人要求的。</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（二）</w:t>
      </w:r>
      <w:r>
        <w:rPr>
          <w:rFonts w:hint="eastAsia" w:asciiTheme="minorEastAsia" w:hAnsiTheme="minorEastAsia" w:cstheme="minorEastAsia"/>
          <w:bCs/>
          <w:sz w:val="24"/>
          <w:szCs w:val="24"/>
          <w:lang w:val="zh-CN"/>
        </w:rPr>
        <w:t>货物的包装必须是制造商原厂包装，其包装均应有良好的防湿、防锈、防潮、防雨、防腐及防碰撞的措施。凡由于包装不良造成的损失和由此产生的费用均由</w:t>
      </w:r>
      <w:r>
        <w:rPr>
          <w:rFonts w:hint="eastAsia" w:asciiTheme="minorEastAsia" w:hAnsiTheme="minorEastAsia" w:cstheme="minorEastAsia"/>
          <w:sz w:val="24"/>
          <w:szCs w:val="24"/>
        </w:rPr>
        <w:t>成交</w:t>
      </w:r>
      <w:r>
        <w:rPr>
          <w:rFonts w:hint="eastAsia" w:asciiTheme="minorEastAsia" w:hAnsiTheme="minorEastAsia" w:cstheme="minorEastAsia"/>
          <w:bCs/>
          <w:sz w:val="24"/>
          <w:szCs w:val="24"/>
          <w:lang w:val="zh-CN"/>
        </w:rPr>
        <w:t xml:space="preserve">供应商承担。 </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（三）成交</w:t>
      </w:r>
      <w:r>
        <w:rPr>
          <w:rFonts w:hint="eastAsia" w:asciiTheme="minorEastAsia" w:hAnsiTheme="minorEastAsia" w:cstheme="minorEastAsia"/>
          <w:bCs/>
          <w:sz w:val="24"/>
          <w:szCs w:val="24"/>
          <w:lang w:val="zh-CN"/>
        </w:rPr>
        <w:t xml:space="preserve">供应商负责将货物送到现场过程中的全部运输，包括装卸车、货物现场的搬运，费用均由成交供应商承担。 </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（四）</w:t>
      </w:r>
      <w:r>
        <w:rPr>
          <w:rFonts w:hint="eastAsia" w:asciiTheme="minorEastAsia" w:hAnsiTheme="minorEastAsia" w:cstheme="minorEastAsia"/>
          <w:bCs/>
          <w:sz w:val="24"/>
          <w:szCs w:val="24"/>
          <w:lang w:val="zh-CN"/>
        </w:rPr>
        <w:t>货物至采购人指定的使用现场的包装、保险及发运等环节和费用均由成交供应商负责。</w:t>
      </w:r>
    </w:p>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八、验收要求</w:t>
      </w:r>
    </w:p>
    <w:p>
      <w:pPr>
        <w:widowControl/>
        <w:numPr>
          <w:ilvl w:val="255"/>
          <w:numId w:val="0"/>
        </w:numPr>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（一）</w:t>
      </w:r>
      <w:r>
        <w:rPr>
          <w:rFonts w:hint="eastAsia" w:asciiTheme="minorEastAsia" w:hAnsiTheme="minorEastAsia" w:cstheme="minorEastAsia"/>
          <w:bCs/>
          <w:sz w:val="24"/>
          <w:szCs w:val="24"/>
          <w:lang w:val="zh-CN"/>
        </w:rPr>
        <w:t>各种货物必须提供装箱清单，按装箱清单验收货物。</w:t>
      </w:r>
      <w:r>
        <w:rPr>
          <w:rFonts w:hint="eastAsia" w:asciiTheme="minorEastAsia" w:hAnsiTheme="minorEastAsia" w:cstheme="minorEastAsia"/>
          <w:bCs/>
          <w:sz w:val="24"/>
          <w:szCs w:val="24"/>
        </w:rPr>
        <w:t>当货物到达指定地点后，采购人和</w:t>
      </w:r>
      <w:r>
        <w:rPr>
          <w:rFonts w:hint="eastAsia" w:asciiTheme="minorEastAsia" w:hAnsiTheme="minorEastAsia" w:cstheme="minorEastAsia"/>
          <w:bCs/>
          <w:sz w:val="24"/>
          <w:szCs w:val="24"/>
          <w:lang w:val="zh-CN"/>
        </w:rPr>
        <w:t>成交</w:t>
      </w:r>
      <w:r>
        <w:rPr>
          <w:rFonts w:hint="eastAsia" w:asciiTheme="minorEastAsia" w:hAnsiTheme="minorEastAsia" w:cstheme="minorEastAsia"/>
          <w:bCs/>
          <w:sz w:val="24"/>
          <w:szCs w:val="24"/>
        </w:rPr>
        <w:t>供应商依据装箱清单共同对货物进行检验，并按采购文件及有关附件要求对货物及其规格、数量、外观、包装、资料文件（如出库单、检验合格证书等）进行验收，</w:t>
      </w:r>
      <w:r>
        <w:rPr>
          <w:rFonts w:hint="eastAsia" w:asciiTheme="minorEastAsia" w:hAnsiTheme="minorEastAsia" w:cstheme="minorEastAsia"/>
          <w:bCs/>
          <w:sz w:val="24"/>
          <w:szCs w:val="24"/>
          <w:lang w:val="zh-CN"/>
        </w:rPr>
        <w:t>验收以采购人的验收为准，应满足采购人的货物参数设置要求。</w:t>
      </w:r>
      <w:r>
        <w:rPr>
          <w:rFonts w:hint="eastAsia" w:asciiTheme="minorEastAsia" w:hAnsiTheme="minorEastAsia" w:cstheme="minorEastAsia"/>
          <w:bCs/>
          <w:sz w:val="24"/>
          <w:szCs w:val="24"/>
        </w:rPr>
        <w:t xml:space="preserve">对不符合合同要求的，采购人有权拒绝接收。 </w:t>
      </w:r>
    </w:p>
    <w:p>
      <w:pPr>
        <w:widowControl/>
        <w:spacing w:line="560" w:lineRule="exact"/>
        <w:ind w:firstLine="480" w:firstLineChars="200"/>
        <w:rPr>
          <w:rFonts w:asciiTheme="minorEastAsia" w:hAnsiTheme="minorEastAsia" w:cstheme="minorEastAsia"/>
          <w:bCs/>
          <w:sz w:val="24"/>
          <w:szCs w:val="24"/>
        </w:rPr>
      </w:pPr>
      <w:r>
        <w:rPr>
          <w:rFonts w:hint="eastAsia" w:asciiTheme="minorEastAsia" w:hAnsiTheme="minorEastAsia" w:cstheme="minorEastAsia"/>
          <w:sz w:val="24"/>
          <w:szCs w:val="24"/>
        </w:rPr>
        <w:t>（二）</w:t>
      </w:r>
      <w:r>
        <w:rPr>
          <w:rFonts w:hint="eastAsia" w:asciiTheme="minorEastAsia" w:hAnsiTheme="minorEastAsia" w:cstheme="minorEastAsia"/>
          <w:bCs/>
          <w:sz w:val="24"/>
          <w:szCs w:val="24"/>
        </w:rPr>
        <w:t>验收由采购人、</w:t>
      </w:r>
      <w:r>
        <w:rPr>
          <w:rFonts w:hint="eastAsia" w:asciiTheme="minorEastAsia" w:hAnsiTheme="minorEastAsia" w:cstheme="minorEastAsia"/>
          <w:bCs/>
          <w:sz w:val="24"/>
          <w:szCs w:val="24"/>
          <w:lang w:val="zh-CN"/>
        </w:rPr>
        <w:t>成交</w:t>
      </w:r>
      <w:r>
        <w:rPr>
          <w:rFonts w:hint="eastAsia" w:asciiTheme="minorEastAsia" w:hAnsiTheme="minorEastAsia" w:cstheme="minorEastAsia"/>
          <w:bCs/>
          <w:sz w:val="24"/>
          <w:szCs w:val="24"/>
        </w:rPr>
        <w:t>供应商及相关人员依照国家有关标准、合同及有关附件要求进行。</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（三）</w:t>
      </w:r>
      <w:r>
        <w:rPr>
          <w:rFonts w:hint="eastAsia" w:asciiTheme="minorEastAsia" w:hAnsiTheme="minorEastAsia" w:cstheme="minorEastAsia"/>
          <w:bCs/>
          <w:sz w:val="24"/>
          <w:szCs w:val="24"/>
        </w:rPr>
        <w:t>验收完毕由采购人及</w:t>
      </w:r>
      <w:r>
        <w:rPr>
          <w:rFonts w:hint="eastAsia" w:asciiTheme="minorEastAsia" w:hAnsiTheme="minorEastAsia" w:cstheme="minorEastAsia"/>
          <w:bCs/>
          <w:sz w:val="24"/>
          <w:szCs w:val="24"/>
          <w:lang w:val="zh-CN"/>
        </w:rPr>
        <w:t>成交</w:t>
      </w:r>
      <w:r>
        <w:rPr>
          <w:rFonts w:hint="eastAsia" w:asciiTheme="minorEastAsia" w:hAnsiTheme="minorEastAsia" w:cstheme="minorEastAsia"/>
          <w:bCs/>
          <w:sz w:val="24"/>
          <w:szCs w:val="24"/>
        </w:rPr>
        <w:t>供应商在送货单上签名。</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（四）</w:t>
      </w:r>
      <w:r>
        <w:rPr>
          <w:rFonts w:hint="eastAsia" w:asciiTheme="minorEastAsia" w:hAnsiTheme="minorEastAsia" w:cstheme="minorEastAsia"/>
          <w:bCs/>
          <w:sz w:val="24"/>
          <w:szCs w:val="24"/>
          <w:lang w:val="zh-CN"/>
        </w:rPr>
        <w:t xml:space="preserve">货物在现场的保管由成交供应商负责，直至项目验收完毕。 </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（五）</w:t>
      </w:r>
      <w:r>
        <w:rPr>
          <w:rFonts w:hint="eastAsia" w:asciiTheme="minorEastAsia" w:hAnsiTheme="minorEastAsia" w:cstheme="minorEastAsia"/>
          <w:bCs/>
          <w:sz w:val="24"/>
          <w:szCs w:val="24"/>
          <w:lang w:val="zh-CN"/>
        </w:rPr>
        <w:t xml:space="preserve">货物在验收合格前的保险由成交供应商负责，成交供应商负责其派出的现场服务人员人身意外保险。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12642"/>
    <w:rsid w:val="000239B0"/>
    <w:rsid w:val="0012072D"/>
    <w:rsid w:val="001D3037"/>
    <w:rsid w:val="0040078A"/>
    <w:rsid w:val="004F393C"/>
    <w:rsid w:val="005069FA"/>
    <w:rsid w:val="00721A71"/>
    <w:rsid w:val="00790F48"/>
    <w:rsid w:val="008647D1"/>
    <w:rsid w:val="00947FCE"/>
    <w:rsid w:val="00981AC7"/>
    <w:rsid w:val="00C12642"/>
    <w:rsid w:val="00D009FF"/>
    <w:rsid w:val="00D12001"/>
    <w:rsid w:val="00DD1E6C"/>
    <w:rsid w:val="00F860F1"/>
    <w:rsid w:val="01B6046E"/>
    <w:rsid w:val="02335CD8"/>
    <w:rsid w:val="027710E5"/>
    <w:rsid w:val="0306245E"/>
    <w:rsid w:val="031E0F2C"/>
    <w:rsid w:val="04504BAA"/>
    <w:rsid w:val="057B348D"/>
    <w:rsid w:val="06E710CA"/>
    <w:rsid w:val="0ADF7042"/>
    <w:rsid w:val="0D6003B9"/>
    <w:rsid w:val="0D8D29CB"/>
    <w:rsid w:val="0D935B07"/>
    <w:rsid w:val="0DC42165"/>
    <w:rsid w:val="0DD44D78"/>
    <w:rsid w:val="10757746"/>
    <w:rsid w:val="10A1053B"/>
    <w:rsid w:val="10E01064"/>
    <w:rsid w:val="10FC6693"/>
    <w:rsid w:val="11D53BF0"/>
    <w:rsid w:val="11FF7667"/>
    <w:rsid w:val="13170C3D"/>
    <w:rsid w:val="13BB7B66"/>
    <w:rsid w:val="13F4757F"/>
    <w:rsid w:val="17397720"/>
    <w:rsid w:val="18F002B2"/>
    <w:rsid w:val="190806FD"/>
    <w:rsid w:val="19EA4D01"/>
    <w:rsid w:val="1A55661F"/>
    <w:rsid w:val="1AF062E4"/>
    <w:rsid w:val="1B1801A4"/>
    <w:rsid w:val="1BF027DF"/>
    <w:rsid w:val="1C4061A9"/>
    <w:rsid w:val="1DCD471E"/>
    <w:rsid w:val="20476A27"/>
    <w:rsid w:val="20F60C21"/>
    <w:rsid w:val="21594450"/>
    <w:rsid w:val="22D3057B"/>
    <w:rsid w:val="23447230"/>
    <w:rsid w:val="235F22BC"/>
    <w:rsid w:val="25710FF8"/>
    <w:rsid w:val="25824A83"/>
    <w:rsid w:val="26D8108A"/>
    <w:rsid w:val="2AD94979"/>
    <w:rsid w:val="2D970F00"/>
    <w:rsid w:val="2E1212F9"/>
    <w:rsid w:val="2E2F0B69"/>
    <w:rsid w:val="2FCC6F2B"/>
    <w:rsid w:val="30EA597E"/>
    <w:rsid w:val="31397470"/>
    <w:rsid w:val="31B82C24"/>
    <w:rsid w:val="325D20BC"/>
    <w:rsid w:val="34F9247A"/>
    <w:rsid w:val="36CE17DB"/>
    <w:rsid w:val="37720325"/>
    <w:rsid w:val="379F05D6"/>
    <w:rsid w:val="37FC2378"/>
    <w:rsid w:val="38130D92"/>
    <w:rsid w:val="38807612"/>
    <w:rsid w:val="38853B85"/>
    <w:rsid w:val="394144E6"/>
    <w:rsid w:val="394F0285"/>
    <w:rsid w:val="397F500E"/>
    <w:rsid w:val="3A3A18C9"/>
    <w:rsid w:val="3A480BD6"/>
    <w:rsid w:val="3A7E3FE1"/>
    <w:rsid w:val="3BD17677"/>
    <w:rsid w:val="3D1A117F"/>
    <w:rsid w:val="3D4D2D2E"/>
    <w:rsid w:val="3E8F2C24"/>
    <w:rsid w:val="41717932"/>
    <w:rsid w:val="42B51AA1"/>
    <w:rsid w:val="44921932"/>
    <w:rsid w:val="44D37FBC"/>
    <w:rsid w:val="45C456A9"/>
    <w:rsid w:val="46EB5A91"/>
    <w:rsid w:val="48500C62"/>
    <w:rsid w:val="48736294"/>
    <w:rsid w:val="488A34EE"/>
    <w:rsid w:val="494B0A69"/>
    <w:rsid w:val="49793828"/>
    <w:rsid w:val="497C326E"/>
    <w:rsid w:val="4AA33032"/>
    <w:rsid w:val="4C7402D7"/>
    <w:rsid w:val="4E200716"/>
    <w:rsid w:val="4E99593D"/>
    <w:rsid w:val="50327C8D"/>
    <w:rsid w:val="503E6C32"/>
    <w:rsid w:val="507B2D3D"/>
    <w:rsid w:val="55C01668"/>
    <w:rsid w:val="57EF4CB5"/>
    <w:rsid w:val="58356E82"/>
    <w:rsid w:val="5BA858A7"/>
    <w:rsid w:val="5CB33955"/>
    <w:rsid w:val="5D812854"/>
    <w:rsid w:val="5DF5208E"/>
    <w:rsid w:val="5E4964AB"/>
    <w:rsid w:val="5E587A58"/>
    <w:rsid w:val="5EBE3549"/>
    <w:rsid w:val="5F5B0E83"/>
    <w:rsid w:val="625574E5"/>
    <w:rsid w:val="628E1C9B"/>
    <w:rsid w:val="62E775FD"/>
    <w:rsid w:val="62FA61D5"/>
    <w:rsid w:val="635B58F5"/>
    <w:rsid w:val="63CF256B"/>
    <w:rsid w:val="63EE4B46"/>
    <w:rsid w:val="649E7673"/>
    <w:rsid w:val="69B85106"/>
    <w:rsid w:val="6AD9782B"/>
    <w:rsid w:val="6AF1726A"/>
    <w:rsid w:val="6BC51690"/>
    <w:rsid w:val="6C6E1938"/>
    <w:rsid w:val="6DF80910"/>
    <w:rsid w:val="6E462E93"/>
    <w:rsid w:val="6EF47329"/>
    <w:rsid w:val="6FF349D5"/>
    <w:rsid w:val="704F233D"/>
    <w:rsid w:val="70671D7D"/>
    <w:rsid w:val="70CE575B"/>
    <w:rsid w:val="744D4DE6"/>
    <w:rsid w:val="749E2AA0"/>
    <w:rsid w:val="75E17EDC"/>
    <w:rsid w:val="764C17F9"/>
    <w:rsid w:val="776D5ECB"/>
    <w:rsid w:val="7B4E2BC8"/>
    <w:rsid w:val="7D3E79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FF"/>
      <w:sz w:val="28"/>
    </w:rPr>
  </w:style>
  <w:style w:type="paragraph" w:styleId="3">
    <w:name w:val="table of authorities"/>
    <w:basedOn w:val="1"/>
    <w:next w:val="1"/>
    <w:qFormat/>
    <w:uiPriority w:val="99"/>
    <w:pPr>
      <w:ind w:left="420" w:leftChars="200"/>
    </w:pPr>
  </w:style>
  <w:style w:type="paragraph" w:styleId="4">
    <w:name w:val="annotation text"/>
    <w:basedOn w:val="1"/>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customStyle="1" w:styleId="11">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character" w:customStyle="1" w:styleId="14">
    <w:name w:val="mh-abstract-text"/>
    <w:basedOn w:val="9"/>
    <w:qFormat/>
    <w:uiPriority w:val="0"/>
  </w:style>
  <w:style w:type="paragraph" w:customStyle="1" w:styleId="15">
    <w:name w:val="正文内容"/>
    <w:basedOn w:val="16"/>
    <w:qFormat/>
    <w:uiPriority w:val="0"/>
    <w:pPr>
      <w:widowControl w:val="0"/>
      <w:spacing w:beforeLines="50" w:beforeAutospacing="0" w:afterLines="50" w:afterAutospacing="0" w:line="360" w:lineRule="auto"/>
      <w:ind w:firstLine="480" w:firstLineChars="200"/>
      <w:jc w:val="both"/>
    </w:pPr>
    <w:rPr>
      <w:rFonts w:ascii="Times New Roman" w:hAnsi="Times New Roman" w:cs="Times New Roman"/>
      <w:b w:val="0"/>
      <w:bCs w:val="0"/>
      <w:sz w:val="24"/>
      <w:szCs w:val="20"/>
    </w:rPr>
  </w:style>
  <w:style w:type="paragraph" w:customStyle="1" w:styleId="16">
    <w:name w:val="xl1789"/>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17">
    <w:name w:val="投标正文小四"/>
    <w:basedOn w:val="1"/>
    <w:qFormat/>
    <w:uiPriority w:val="0"/>
    <w:pPr>
      <w:spacing w:line="360" w:lineRule="auto"/>
      <w:ind w:firstLine="200" w:firstLineChars="200"/>
    </w:pPr>
    <w:rPr>
      <w:sz w:val="24"/>
    </w:rPr>
  </w:style>
  <w:style w:type="paragraph" w:customStyle="1" w:styleId="18">
    <w:name w:val="正文1"/>
    <w:qFormat/>
    <w:uiPriority w:val="0"/>
    <w:pPr>
      <w:widowControl w:val="0"/>
      <w:jc w:val="both"/>
    </w:pPr>
    <w:rPr>
      <w:rFonts w:ascii="Calibri" w:hAnsi="Calibri" w:eastAsiaTheme="minorEastAsia" w:cstheme="minorBidi"/>
      <w:sz w:val="21"/>
      <w:szCs w:val="22"/>
      <w:lang w:val="en-US" w:eastAsia="zh-CN" w:bidi="ar-SA"/>
    </w:rPr>
  </w:style>
  <w:style w:type="paragraph" w:customStyle="1" w:styleId="19">
    <w:name w:val="正文1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character" w:customStyle="1" w:styleId="20">
    <w:name w:val="批注框文本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243</Words>
  <Characters>1386</Characters>
  <Lines>11</Lines>
  <Paragraphs>3</Paragraphs>
  <ScaleCrop>false</ScaleCrop>
  <LinksUpToDate>false</LinksUpToDate>
  <CharactersWithSpaces>1626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2025-11-25T02:37:00Z</dcterms:created>
  <dc:creator>黎凤婵</dc:creator>
  <cp:lastModifiedBy>李铜光</cp:lastModifiedBy>
  <cp:lastPrinted>2023-03-06T08:33:00Z</cp:lastPrinted>
  <dcterms:modified xsi:type="dcterms:W3CDTF">2025-12-08T00:50:54Z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4103E1C92116451BA5EC5D604DD297AE_13</vt:lpwstr>
  </property>
  <property fmtid="{D5CDD505-2E9C-101B-9397-08002B2CF9AE}" pid="4" name="KSOTemplateDocerSaveRecord">
    <vt:lpwstr>eyJoZGlkIjoiMjAyNDk0OTM5ZjE2MDUwMDJiMWIwZGQwMjQwZjRmZDAiLCJ1c2VySWQiOiI0NDc4NzM5NzgifQ==</vt:lpwstr>
  </property>
</Properties>
</file>