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BC96">
      <w:pPr>
        <w:widowControl/>
        <w:jc w:val="left"/>
        <w:rPr>
          <w:rFonts w:hint="eastAsia" w:ascii="宋体" w:hAnsi="宋体" w:eastAsia="宋体" w:cs="宋体"/>
          <w:b/>
          <w:bCs/>
          <w:sz w:val="24"/>
          <w:szCs w:val="24"/>
          <w:lang w:val="en-US" w:eastAsia="zh-CN"/>
        </w:rPr>
      </w:pPr>
      <w:r>
        <w:rPr>
          <w:rFonts w:hint="eastAsia" w:cs="宋体"/>
          <w:b/>
          <w:bCs/>
          <w:sz w:val="24"/>
          <w:szCs w:val="24"/>
          <w:lang w:val="en-US" w:eastAsia="zh-CN"/>
        </w:rPr>
        <w:t>附件1：</w:t>
      </w:r>
    </w:p>
    <w:p w14:paraId="2CE0574B">
      <w:pPr>
        <w:widowControl/>
        <w:jc w:val="center"/>
        <w:rPr>
          <w:rFonts w:hint="default"/>
          <w:b/>
          <w:bCs/>
          <w:sz w:val="36"/>
          <w:szCs w:val="36"/>
          <w:lang w:val="en-US"/>
        </w:rPr>
      </w:pPr>
      <w:r>
        <w:rPr>
          <w:rFonts w:hint="eastAsia" w:cs="宋体"/>
          <w:b/>
          <w:bCs/>
          <w:sz w:val="36"/>
          <w:szCs w:val="36"/>
          <w:lang w:val="en-US" w:eastAsia="zh-CN"/>
        </w:rPr>
        <w:t>用户</w:t>
      </w:r>
      <w:r>
        <w:rPr>
          <w:rFonts w:hint="eastAsia" w:ascii="宋体" w:hAnsi="宋体" w:eastAsia="宋体" w:cs="宋体"/>
          <w:b/>
          <w:bCs/>
          <w:sz w:val="36"/>
          <w:szCs w:val="36"/>
          <w:lang w:val="en-US" w:eastAsia="zh-CN"/>
        </w:rPr>
        <w:t>需求书</w:t>
      </w:r>
    </w:p>
    <w:p w14:paraId="78A4F08F">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仿宋_GB2312" w:hAnsi="仿宋_GB2312" w:eastAsia="仿宋_GB2312" w:cs="仿宋_GB2312"/>
          <w:b/>
          <w:sz w:val="32"/>
          <w:szCs w:val="32"/>
        </w:rPr>
      </w:pPr>
    </w:p>
    <w:p w14:paraId="11D9A563">
      <w:pPr>
        <w:pStyle w:val="16"/>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总则</w:t>
      </w:r>
    </w:p>
    <w:p w14:paraId="30491034">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成交供应商必须按国家、行业的标准及采购文件的要求对本项目提供相应的货物及服务。</w:t>
      </w:r>
    </w:p>
    <w:p w14:paraId="7D61867C">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《用户需求书》中凡有“★”标识的内容条款(如有)被视为实质性响应项目、指标；响应供应商必须对此做出回答并完全满足这些要求</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不可以</w:t>
      </w:r>
      <w:bookmarkStart w:id="0" w:name="_GoBack"/>
      <w:bookmarkEnd w:id="0"/>
      <w:r>
        <w:rPr>
          <w:rFonts w:hint="eastAsia"/>
          <w:color w:val="000000" w:themeColor="text1"/>
          <w:sz w:val="21"/>
          <w:szCs w:val="21"/>
          <w14:textFill>
            <w14:solidFill>
              <w14:schemeClr w14:val="tx1"/>
            </w14:solidFill>
          </w14:textFill>
        </w:rPr>
        <w:t>出现任何负偏离，如果出现负偏离将被视为无效响应。凡有“▲”的内容（如有）为重点评审项目，供应商必须对该标识项目按照要求进行真实应答描述。</w:t>
      </w:r>
    </w:p>
    <w:p w14:paraId="7E5CD8AA">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6B8685B9">
      <w:pPr>
        <w:widowControl/>
        <w:tabs>
          <w:tab w:val="left" w:pos="636"/>
        </w:tabs>
        <w:autoSpaceDE w:val="0"/>
        <w:autoSpaceDN w:val="0"/>
        <w:spacing w:line="360" w:lineRule="auto"/>
        <w:ind w:firstLine="420" w:firstLineChars="200"/>
        <w:jc w:val="left"/>
        <w:textAlignment w:val="bottom"/>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本项目不允许提交备选方案，不允许联合体响应、转包或分包。</w:t>
      </w:r>
    </w:p>
    <w:p w14:paraId="0B522067">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sz w:val="24"/>
          <w:szCs w:val="24"/>
        </w:rPr>
      </w:pPr>
      <w:r>
        <w:rPr>
          <w:rFonts w:hint="eastAsia" w:ascii="宋体" w:hAnsi="宋体" w:eastAsia="宋体" w:cs="宋体"/>
          <w:b/>
          <w:sz w:val="24"/>
          <w:szCs w:val="24"/>
        </w:rPr>
        <w:t>一、项目基本情况</w:t>
      </w:r>
    </w:p>
    <w:p w14:paraId="7BCC8B0C">
      <w:pPr>
        <w:keepNext w:val="0"/>
        <w:keepLines w:val="0"/>
        <w:pageBreakBefore w:val="0"/>
        <w:widowControl/>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lang w:val="en-US" w:eastAsia="zh-CN"/>
        </w:rPr>
      </w:pPr>
      <w:r>
        <w:rPr>
          <w:rFonts w:hint="eastAsia" w:cs="宋体"/>
          <w:sz w:val="21"/>
          <w:szCs w:val="21"/>
          <w:lang w:eastAsia="zh-CN"/>
        </w:rPr>
        <w:t>（一）</w:t>
      </w:r>
      <w:r>
        <w:rPr>
          <w:rFonts w:hint="eastAsia" w:ascii="宋体" w:hAnsi="宋体" w:eastAsia="宋体" w:cs="宋体"/>
          <w:sz w:val="21"/>
          <w:szCs w:val="21"/>
        </w:rPr>
        <w:t>项目名称：</w:t>
      </w:r>
      <w:r>
        <w:rPr>
          <w:rFonts w:hint="eastAsia" w:cs="宋体"/>
          <w:sz w:val="21"/>
          <w:szCs w:val="21"/>
          <w:lang w:eastAsia="zh-CN"/>
        </w:rPr>
        <w:t>中山市黄圃人民医院2026年公务用车加油业务服务项目（二次）</w:t>
      </w:r>
      <w:r>
        <w:rPr>
          <w:rFonts w:hint="eastAsia" w:ascii="宋体" w:hAnsi="宋体" w:eastAsia="宋体" w:cs="宋体"/>
          <w:sz w:val="21"/>
          <w:szCs w:val="21"/>
          <w:lang w:eastAsia="zh-CN"/>
        </w:rPr>
        <w:t>。（项目编号：PYCG-</w:t>
      </w:r>
      <w:r>
        <w:rPr>
          <w:rFonts w:hint="eastAsia" w:ascii="宋体" w:hAnsi="宋体" w:eastAsia="宋体" w:cs="宋体"/>
          <w:sz w:val="21"/>
          <w:szCs w:val="21"/>
          <w:lang w:val="en-US" w:eastAsia="zh-CN"/>
        </w:rPr>
        <w:t>YB</w:t>
      </w:r>
      <w:r>
        <w:rPr>
          <w:rFonts w:hint="eastAsia" w:ascii="宋体" w:hAnsi="宋体" w:eastAsia="宋体" w:cs="宋体"/>
          <w:sz w:val="21"/>
          <w:szCs w:val="21"/>
          <w:lang w:eastAsia="zh-CN"/>
        </w:rPr>
        <w:t>-2025</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-0</w:t>
      </w:r>
      <w:r>
        <w:rPr>
          <w:rFonts w:hint="eastAsia" w:cs="宋体"/>
          <w:sz w:val="21"/>
          <w:szCs w:val="21"/>
          <w:lang w:val="en-US" w:eastAsia="zh-CN"/>
        </w:rPr>
        <w:t>1</w:t>
      </w:r>
      <w:r>
        <w:rPr>
          <w:rFonts w:hint="eastAsia" w:ascii="宋体" w:hAnsi="宋体" w:eastAsia="宋体" w:cs="宋体"/>
          <w:sz w:val="21"/>
          <w:szCs w:val="21"/>
          <w:lang w:eastAsia="zh-CN"/>
        </w:rPr>
        <w:t>）</w:t>
      </w:r>
    </w:p>
    <w:p w14:paraId="5D76EE66">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w:t>
      </w:r>
      <w:r>
        <w:rPr>
          <w:rFonts w:hint="eastAsia" w:ascii="宋体" w:hAnsi="宋体" w:eastAsia="宋体" w:cs="宋体"/>
          <w:sz w:val="21"/>
          <w:szCs w:val="21"/>
        </w:rPr>
        <w:t>项目内容：为规范公务用车加油管理，医院拟定向采购公务用车加油业务服务，承接医院11辆公务用车的日常加油业务。</w:t>
      </w:r>
    </w:p>
    <w:p w14:paraId="549EB9D4">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（三）</w:t>
      </w:r>
      <w:r>
        <w:rPr>
          <w:rFonts w:hint="eastAsia" w:ascii="宋体" w:hAnsi="宋体" w:eastAsia="宋体" w:cs="宋体"/>
          <w:sz w:val="21"/>
          <w:szCs w:val="21"/>
        </w:rPr>
        <w:t>项目预算：¥</w:t>
      </w:r>
      <w:r>
        <w:rPr>
          <w:rFonts w:hint="eastAsia" w:ascii="宋体" w:hAnsi="宋体" w:eastAsia="宋体" w:cs="宋体"/>
          <w:sz w:val="21"/>
          <w:szCs w:val="21"/>
          <w:lang w:val="en-US" w:eastAsia="zh-CN"/>
        </w:rPr>
        <w:t xml:space="preserve"> 130000</w:t>
      </w:r>
      <w:r>
        <w:rPr>
          <w:rFonts w:hint="eastAsia" w:ascii="宋体" w:hAnsi="宋体" w:eastAsia="宋体" w:cs="宋体"/>
          <w:sz w:val="21"/>
          <w:szCs w:val="21"/>
        </w:rPr>
        <w:t>元。</w:t>
      </w:r>
    </w:p>
    <w:p w14:paraId="156113FF">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b/>
          <w:sz w:val="21"/>
          <w:szCs w:val="21"/>
        </w:rPr>
      </w:pPr>
      <w:r>
        <w:rPr>
          <w:rFonts w:hint="eastAsia" w:cs="宋体"/>
          <w:sz w:val="21"/>
          <w:szCs w:val="21"/>
          <w:lang w:eastAsia="zh-CN"/>
        </w:rPr>
        <w:t>（四）</w:t>
      </w:r>
      <w:r>
        <w:rPr>
          <w:rFonts w:hint="eastAsia" w:ascii="宋体" w:hAnsi="宋体" w:eastAsia="宋体" w:cs="宋体"/>
          <w:sz w:val="21"/>
          <w:szCs w:val="21"/>
        </w:rPr>
        <w:t>服务期限：</w:t>
      </w:r>
      <w:r>
        <w:rPr>
          <w:rFonts w:hint="eastAsia" w:ascii="宋体" w:hAnsi="宋体" w:eastAsia="宋体" w:cs="宋体"/>
          <w:sz w:val="21"/>
          <w:szCs w:val="21"/>
          <w:lang w:val="en-US" w:eastAsia="zh-CN"/>
        </w:rPr>
        <w:t>一</w:t>
      </w:r>
      <w:r>
        <w:rPr>
          <w:rFonts w:hint="eastAsia" w:ascii="宋体" w:hAnsi="宋体" w:eastAsia="宋体" w:cs="宋体"/>
          <w:sz w:val="21"/>
          <w:szCs w:val="21"/>
        </w:rPr>
        <w:t>年</w:t>
      </w:r>
      <w:r>
        <w:rPr>
          <w:rFonts w:hint="eastAsia" w:ascii="宋体" w:hAnsi="宋体" w:eastAsia="宋体" w:cs="宋体"/>
          <w:sz w:val="21"/>
          <w:szCs w:val="21"/>
          <w:lang w:eastAsia="zh-CN"/>
        </w:rPr>
        <w:t>（具体起止时间以合同约定为准）或结算金额累计达到本项目采购预算金额时合同提前终止，以先到者为准。</w:t>
      </w:r>
    </w:p>
    <w:p w14:paraId="5B105864">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二、项目要求</w:t>
      </w:r>
    </w:p>
    <w:p w14:paraId="07DC8C9D">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（一）成交供应商</w:t>
      </w:r>
      <w:r>
        <w:rPr>
          <w:rFonts w:hint="eastAsia" w:ascii="宋体" w:hAnsi="宋体" w:eastAsia="宋体" w:cs="宋体"/>
          <w:sz w:val="21"/>
          <w:szCs w:val="21"/>
        </w:rPr>
        <w:t>提供的油品质量必须符合国家的有关标准，如油品质量不符合国家的有关标准造成采购人损失的，</w:t>
      </w:r>
      <w:r>
        <w:rPr>
          <w:rFonts w:hint="eastAsia" w:cs="宋体"/>
          <w:sz w:val="21"/>
          <w:szCs w:val="21"/>
          <w:lang w:eastAsia="zh-CN"/>
        </w:rPr>
        <w:t>成交供应商</w:t>
      </w:r>
      <w:r>
        <w:rPr>
          <w:rFonts w:hint="eastAsia" w:ascii="宋体" w:hAnsi="宋体" w:eastAsia="宋体" w:cs="宋体"/>
          <w:sz w:val="21"/>
          <w:szCs w:val="21"/>
        </w:rPr>
        <w:t>应予以赔偿。</w:t>
      </w:r>
    </w:p>
    <w:p w14:paraId="46AA3B99">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b/>
          <w:sz w:val="21"/>
          <w:szCs w:val="21"/>
        </w:rPr>
      </w:pPr>
      <w:r>
        <w:rPr>
          <w:rFonts w:hint="eastAsia" w:cs="宋体"/>
          <w:sz w:val="21"/>
          <w:szCs w:val="21"/>
          <w:lang w:eastAsia="zh-CN"/>
        </w:rPr>
        <w:t>（二）</w:t>
      </w:r>
      <w:r>
        <w:rPr>
          <w:rFonts w:hint="eastAsia" w:ascii="宋体" w:hAnsi="宋体" w:eastAsia="宋体" w:cs="宋体"/>
          <w:sz w:val="21"/>
          <w:szCs w:val="21"/>
        </w:rPr>
        <w:t>为方便加油，</w:t>
      </w:r>
      <w:r>
        <w:rPr>
          <w:rFonts w:hint="eastAsia" w:cs="宋体"/>
          <w:sz w:val="21"/>
          <w:szCs w:val="21"/>
          <w:lang w:eastAsia="zh-CN"/>
        </w:rPr>
        <w:t>成交供应商</w:t>
      </w:r>
      <w:r>
        <w:rPr>
          <w:rFonts w:hint="eastAsia" w:ascii="宋体" w:hAnsi="宋体" w:eastAsia="宋体" w:cs="宋体"/>
          <w:sz w:val="21"/>
          <w:szCs w:val="21"/>
        </w:rPr>
        <w:t>在医院附近应有相应加油站点，省市内其他加油站点尽可能多。</w:t>
      </w:r>
    </w:p>
    <w:p w14:paraId="20E72694">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三、服务要求</w:t>
      </w:r>
    </w:p>
    <w:p w14:paraId="6951F4FD">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（一）成交供应商</w:t>
      </w:r>
      <w:r>
        <w:rPr>
          <w:rFonts w:hint="eastAsia" w:ascii="宋体" w:hAnsi="宋体" w:eastAsia="宋体" w:cs="宋体"/>
          <w:sz w:val="21"/>
          <w:szCs w:val="21"/>
        </w:rPr>
        <w:t>为采购人办理加油主卡(管理卡)，用于充值、分配等功能，主卡登记信息与使用单位信息一致。同时须按照采购人提供的车辆清单，为每台车辆办理副卡。</w:t>
      </w:r>
    </w:p>
    <w:p w14:paraId="68CCB895">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w:t>
      </w:r>
      <w:r>
        <w:rPr>
          <w:rFonts w:hint="eastAsia" w:ascii="宋体" w:hAnsi="宋体" w:eastAsia="宋体" w:cs="宋体"/>
          <w:sz w:val="21"/>
          <w:szCs w:val="21"/>
        </w:rPr>
        <w:t>定点车辆加油严格实行“一车一卡”的加油管理方式，定点加油站工作人员在加油前必须认真核对车牌号，车卡信息不一致的不予加油。</w:t>
      </w:r>
    </w:p>
    <w:p w14:paraId="0AB9F1F7">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（三）成交供应商</w:t>
      </w:r>
      <w:r>
        <w:rPr>
          <w:rFonts w:hint="eastAsia" w:ascii="宋体" w:hAnsi="宋体" w:eastAsia="宋体" w:cs="宋体"/>
          <w:sz w:val="21"/>
          <w:szCs w:val="21"/>
        </w:rPr>
        <w:t>每月向采购人提供对账明细单，加油对账明细单包含以下内容：单位名称、卡号、油品类型、数量、单价、金额、卡上余额等。</w:t>
      </w:r>
    </w:p>
    <w:p w14:paraId="25E5F482">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1304CC5B">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w:t>
      </w:r>
      <w:r>
        <w:rPr>
          <w:rFonts w:hint="eastAsia" w:ascii="宋体" w:hAnsi="宋体" w:eastAsia="宋体" w:cs="宋体"/>
          <w:sz w:val="21"/>
          <w:szCs w:val="21"/>
        </w:rPr>
        <w:t>采购人根据车辆用油情况，通过转账方式向</w:t>
      </w:r>
      <w:r>
        <w:rPr>
          <w:rFonts w:hint="eastAsia" w:cs="宋体"/>
          <w:sz w:val="21"/>
          <w:szCs w:val="21"/>
          <w:lang w:eastAsia="zh-CN"/>
        </w:rPr>
        <w:t>成交供应商</w:t>
      </w:r>
      <w:r>
        <w:rPr>
          <w:rFonts w:hint="eastAsia" w:ascii="宋体" w:hAnsi="宋体" w:eastAsia="宋体" w:cs="宋体"/>
          <w:sz w:val="21"/>
          <w:szCs w:val="21"/>
        </w:rPr>
        <w:t>支付加油卡充值款。</w:t>
      </w:r>
      <w:r>
        <w:rPr>
          <w:rFonts w:hint="eastAsia" w:cs="宋体"/>
          <w:sz w:val="21"/>
          <w:szCs w:val="21"/>
          <w:lang w:eastAsia="zh-CN"/>
        </w:rPr>
        <w:t>成交供应商</w:t>
      </w:r>
      <w:r>
        <w:rPr>
          <w:rFonts w:hint="eastAsia" w:ascii="宋体" w:hAnsi="宋体" w:eastAsia="宋体" w:cs="宋体"/>
          <w:sz w:val="21"/>
          <w:szCs w:val="21"/>
        </w:rPr>
        <w:t>在充值款到账后，及时向</w:t>
      </w:r>
      <w:r>
        <w:rPr>
          <w:rFonts w:hint="eastAsia" w:cs="宋体"/>
          <w:sz w:val="21"/>
          <w:szCs w:val="21"/>
          <w:lang w:eastAsia="zh-CN"/>
        </w:rPr>
        <w:t>采购人</w:t>
      </w:r>
      <w:r>
        <w:rPr>
          <w:rFonts w:hint="eastAsia" w:ascii="宋体" w:hAnsi="宋体" w:eastAsia="宋体" w:cs="宋体"/>
          <w:sz w:val="21"/>
          <w:szCs w:val="21"/>
        </w:rPr>
        <w:t>主卡充值。</w:t>
      </w:r>
    </w:p>
    <w:p w14:paraId="18DC2ACF">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（二）成交供应商</w:t>
      </w:r>
      <w:r>
        <w:rPr>
          <w:rFonts w:hint="eastAsia" w:ascii="宋体" w:hAnsi="宋体" w:eastAsia="宋体" w:cs="宋体"/>
          <w:sz w:val="21"/>
          <w:szCs w:val="21"/>
        </w:rPr>
        <w:t>在</w:t>
      </w:r>
      <w:r>
        <w:rPr>
          <w:rFonts w:hint="eastAsia" w:ascii="宋体" w:hAnsi="宋体" w:eastAsia="宋体" w:cs="宋体"/>
          <w:sz w:val="21"/>
          <w:szCs w:val="21"/>
          <w:lang w:eastAsia="zh-CN"/>
        </w:rPr>
        <w:t>响应</w:t>
      </w:r>
      <w:r>
        <w:rPr>
          <w:rFonts w:hint="eastAsia" w:ascii="宋体" w:hAnsi="宋体" w:eastAsia="宋体" w:cs="宋体"/>
          <w:sz w:val="21"/>
          <w:szCs w:val="21"/>
        </w:rPr>
        <w:t>优惠条件的基础上根据加油情况进行结算，并从卡上扣费。</w:t>
      </w:r>
    </w:p>
    <w:p w14:paraId="08F81041">
      <w:pPr>
        <w:widowControl/>
        <w:numPr>
          <w:ilvl w:val="-1"/>
          <w:numId w:val="0"/>
        </w:numPr>
        <w:spacing w:line="480" w:lineRule="exact"/>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五、报价要求</w:t>
      </w:r>
    </w:p>
    <w:p w14:paraId="716A0F0D">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用每升优惠率报价的方式进行报价，供应商按照优惠率报价，换算方式为，优惠率报价为0.1%，相当于油费优惠0.01元/升，以此类推。例如：某供应商优惠率报价为0.5%，如成交，则签订合同时优惠0.05元/升）。优惠率报价允许范围</w:t>
      </w:r>
      <w:r>
        <w:rPr>
          <w:rFonts w:hint="eastAsia" w:ascii="宋体" w:hAnsi="宋体" w:eastAsia="宋体" w:cs="宋体"/>
          <w:b/>
          <w:bCs/>
          <w:sz w:val="21"/>
          <w:szCs w:val="21"/>
          <w:lang w:val="en-US" w:eastAsia="zh-CN"/>
        </w:rPr>
        <w:t>（0.0%至100%，若报价数值为百分号小数点，只允许为百分号小数点后1位，如报价为百分号小数点后2位及以上则为无效报价）内进行响应报价，且优惠率报价必须为固定数值，不接受区间报价（如“0.1%至0.2%”）</w:t>
      </w:r>
      <w:r>
        <w:rPr>
          <w:rFonts w:hint="eastAsia" w:ascii="宋体" w:hAnsi="宋体" w:eastAsia="宋体" w:cs="宋体"/>
          <w:sz w:val="21"/>
          <w:szCs w:val="21"/>
          <w:lang w:val="en-US" w:eastAsia="zh-CN"/>
        </w:rPr>
        <w:t>。</w:t>
      </w:r>
    </w:p>
    <w:p w14:paraId="0C8BB0DB">
      <w:pPr>
        <w:pStyle w:val="3"/>
        <w:rPr>
          <w:rFonts w:hint="eastAsia" w:ascii="宋体" w:hAnsi="宋体" w:eastAsia="宋体" w:cs="宋体"/>
          <w:sz w:val="21"/>
          <w:szCs w:val="21"/>
        </w:rPr>
      </w:pPr>
    </w:p>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59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9E8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99E8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17"/>
    <w:rsid w:val="00010EA4"/>
    <w:rsid w:val="00027905"/>
    <w:rsid w:val="00027E9D"/>
    <w:rsid w:val="00036241"/>
    <w:rsid w:val="00054269"/>
    <w:rsid w:val="000C0FAE"/>
    <w:rsid w:val="00120D03"/>
    <w:rsid w:val="00142855"/>
    <w:rsid w:val="00174B10"/>
    <w:rsid w:val="002F32A3"/>
    <w:rsid w:val="00330676"/>
    <w:rsid w:val="00336E1A"/>
    <w:rsid w:val="00341753"/>
    <w:rsid w:val="00351C22"/>
    <w:rsid w:val="003B52B9"/>
    <w:rsid w:val="003B6A4B"/>
    <w:rsid w:val="003E7C31"/>
    <w:rsid w:val="003F7456"/>
    <w:rsid w:val="00401DE6"/>
    <w:rsid w:val="004124A9"/>
    <w:rsid w:val="00420052"/>
    <w:rsid w:val="00473802"/>
    <w:rsid w:val="0049489F"/>
    <w:rsid w:val="004A23FC"/>
    <w:rsid w:val="004D546D"/>
    <w:rsid w:val="00600120"/>
    <w:rsid w:val="00631746"/>
    <w:rsid w:val="0064430A"/>
    <w:rsid w:val="00684CAB"/>
    <w:rsid w:val="00694A9A"/>
    <w:rsid w:val="006A39AC"/>
    <w:rsid w:val="006A4C42"/>
    <w:rsid w:val="007055E6"/>
    <w:rsid w:val="00727433"/>
    <w:rsid w:val="00752296"/>
    <w:rsid w:val="007A17A7"/>
    <w:rsid w:val="007A4DDF"/>
    <w:rsid w:val="008024BA"/>
    <w:rsid w:val="008156E4"/>
    <w:rsid w:val="00831BC3"/>
    <w:rsid w:val="00875A2D"/>
    <w:rsid w:val="008919F9"/>
    <w:rsid w:val="008E0617"/>
    <w:rsid w:val="008F0356"/>
    <w:rsid w:val="0091794F"/>
    <w:rsid w:val="00926865"/>
    <w:rsid w:val="00934586"/>
    <w:rsid w:val="0096124D"/>
    <w:rsid w:val="0096414A"/>
    <w:rsid w:val="0099543B"/>
    <w:rsid w:val="00997BA2"/>
    <w:rsid w:val="009B19E5"/>
    <w:rsid w:val="009B2097"/>
    <w:rsid w:val="009B3BF4"/>
    <w:rsid w:val="009C65BE"/>
    <w:rsid w:val="00A36787"/>
    <w:rsid w:val="00B01798"/>
    <w:rsid w:val="00B33054"/>
    <w:rsid w:val="00B56EB7"/>
    <w:rsid w:val="00BA14FF"/>
    <w:rsid w:val="00BD29A3"/>
    <w:rsid w:val="00C1127F"/>
    <w:rsid w:val="00C12026"/>
    <w:rsid w:val="00C4730D"/>
    <w:rsid w:val="00C512F6"/>
    <w:rsid w:val="00D05233"/>
    <w:rsid w:val="00D15345"/>
    <w:rsid w:val="00D203C2"/>
    <w:rsid w:val="00D3390C"/>
    <w:rsid w:val="00D367E0"/>
    <w:rsid w:val="00DB4EC6"/>
    <w:rsid w:val="00DE0317"/>
    <w:rsid w:val="00E60F0F"/>
    <w:rsid w:val="00E825E7"/>
    <w:rsid w:val="00F13CB5"/>
    <w:rsid w:val="00FA1655"/>
    <w:rsid w:val="00FA404B"/>
    <w:rsid w:val="00FC68F2"/>
    <w:rsid w:val="00FE70B7"/>
    <w:rsid w:val="00FF2BB0"/>
    <w:rsid w:val="029C3145"/>
    <w:rsid w:val="09B41337"/>
    <w:rsid w:val="09CD193D"/>
    <w:rsid w:val="0EB126E9"/>
    <w:rsid w:val="1248015E"/>
    <w:rsid w:val="188B68DB"/>
    <w:rsid w:val="1AAC0C1B"/>
    <w:rsid w:val="20412691"/>
    <w:rsid w:val="28724155"/>
    <w:rsid w:val="2E7606FB"/>
    <w:rsid w:val="2EC72202"/>
    <w:rsid w:val="310F765B"/>
    <w:rsid w:val="32D21164"/>
    <w:rsid w:val="33FC015A"/>
    <w:rsid w:val="3A1D7D60"/>
    <w:rsid w:val="3C316FCF"/>
    <w:rsid w:val="40B07FA0"/>
    <w:rsid w:val="42F60205"/>
    <w:rsid w:val="43E80678"/>
    <w:rsid w:val="464A0752"/>
    <w:rsid w:val="481A3B32"/>
    <w:rsid w:val="4B2E17D4"/>
    <w:rsid w:val="4EE651FC"/>
    <w:rsid w:val="594A1125"/>
    <w:rsid w:val="59BD07BA"/>
    <w:rsid w:val="60266CCC"/>
    <w:rsid w:val="614520E2"/>
    <w:rsid w:val="639C2C90"/>
    <w:rsid w:val="6D742A9E"/>
    <w:rsid w:val="6E6B4E37"/>
    <w:rsid w:val="6F930B9D"/>
    <w:rsid w:val="7B3047B5"/>
    <w:rsid w:val="7B9B293A"/>
    <w:rsid w:val="7FB33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lang w:val="en-US" w:eastAsia="zh-CN" w:bidi="ar-SA"/>
    </w:rPr>
  </w:style>
  <w:style w:type="paragraph" w:styleId="3">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1"/>
    <w:next w:val="1"/>
    <w:link w:val="11"/>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5">
    <w:name w:val="Body Text"/>
    <w:basedOn w:val="1"/>
    <w:next w:val="1"/>
    <w:qFormat/>
    <w:uiPriority w:val="0"/>
    <w:rPr>
      <w:sz w:val="24"/>
    </w:rPr>
  </w:style>
  <w:style w:type="paragraph" w:styleId="6">
    <w:name w:val="Date"/>
    <w:basedOn w:val="1"/>
    <w:next w:val="1"/>
    <w:link w:val="13"/>
    <w:semiHidden/>
    <w:unhideWhenUsed/>
    <w:qFormat/>
    <w:uiPriority w:val="99"/>
    <w:pPr>
      <w:ind w:left="100" w:leftChars="25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4 Char"/>
    <w:basedOn w:val="10"/>
    <w:link w:val="4"/>
    <w:qFormat/>
    <w:uiPriority w:val="9"/>
    <w:rPr>
      <w:rFonts w:asciiTheme="majorHAnsi" w:hAnsiTheme="majorHAnsi" w:eastAsiaTheme="majorEastAsia" w:cstheme="majorBidi"/>
      <w:b/>
      <w:bCs/>
      <w:kern w:val="2"/>
      <w:sz w:val="28"/>
      <w:szCs w:val="28"/>
    </w:rPr>
  </w:style>
  <w:style w:type="paragraph" w:styleId="12">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3">
    <w:name w:val="日期 Char"/>
    <w:basedOn w:val="10"/>
    <w:link w:val="6"/>
    <w:semiHidden/>
    <w:qFormat/>
    <w:uiPriority w:val="99"/>
    <w:rPr>
      <w:rFonts w:ascii="宋体" w:hAnsi="宋体" w:cs="宋体"/>
    </w:rPr>
  </w:style>
  <w:style w:type="character" w:customStyle="1" w:styleId="14">
    <w:name w:val="页眉 Char"/>
    <w:basedOn w:val="10"/>
    <w:link w:val="8"/>
    <w:qFormat/>
    <w:uiPriority w:val="99"/>
    <w:rPr>
      <w:rFonts w:ascii="宋体" w:hAnsi="宋体" w:cs="宋体"/>
      <w:sz w:val="18"/>
      <w:szCs w:val="18"/>
    </w:rPr>
  </w:style>
  <w:style w:type="character" w:customStyle="1" w:styleId="15">
    <w:name w:val="页脚 Char"/>
    <w:basedOn w:val="10"/>
    <w:link w:val="7"/>
    <w:qFormat/>
    <w:uiPriority w:val="99"/>
    <w:rPr>
      <w:rFonts w:ascii="宋体" w:hAnsi="宋体" w:cs="宋体"/>
      <w:sz w:val="18"/>
      <w:szCs w:val="18"/>
    </w:rPr>
  </w:style>
  <w:style w:type="paragraph" w:customStyle="1" w:styleId="16">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1133</Words>
  <Characters>1186</Characters>
  <Lines>3</Lines>
  <Paragraphs>1</Paragraphs>
  <TotalTime>2</TotalTime>
  <ScaleCrop>false</ScaleCrop>
  <LinksUpToDate>false</LinksUpToDate>
  <CharactersWithSpaces>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Mitty</cp:lastModifiedBy>
  <dcterms:modified xsi:type="dcterms:W3CDTF">2025-11-13T09:17:42Z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613C0185B1A44482AD520C2721C050B8</vt:lpwstr>
  </property>
  <property fmtid="{D5CDD505-2E9C-101B-9397-08002B2CF9AE}" pid="4" name="KSOTemplateDocerSaveRecord">
    <vt:lpwstr>eyJoZGlkIjoiMjAyNDk0OTM5ZjE2MDUwMDJiMWIwZGQwMjQwZjRmZDAiLCJ1c2VySWQiOiI0NDc4NzM5NzgifQ==</vt:lpwstr>
  </property>
</Properties>
</file>