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r>
        <w:rPr>
          <w:b/>
          <w:color w:val="auto"/>
          <w:sz w:val="36"/>
          <w:szCs w:val="36"/>
        </w:rPr>
        <w:t>用户需求书</w:t>
      </w:r>
    </w:p>
    <w:p>
      <w:pPr>
        <w:pStyle w:val="12"/>
        <w:ind w:firstLine="482"/>
        <w:rPr>
          <w:rFonts w:hint="eastAsia"/>
          <w:b/>
          <w:color w:val="000000"/>
          <w:highlight w:val="none"/>
        </w:rPr>
      </w:pPr>
    </w:p>
    <w:p>
      <w:pPr>
        <w:pStyle w:val="12"/>
        <w:ind w:firstLine="482"/>
        <w:rPr>
          <w:b/>
          <w:color w:val="000000"/>
          <w:highlight w:val="none"/>
        </w:rPr>
      </w:pPr>
      <w:r>
        <w:rPr>
          <w:rFonts w:hint="eastAsia"/>
          <w:b/>
          <w:color w:val="000000"/>
          <w:highlight w:val="none"/>
        </w:rPr>
        <w:t>总则</w:t>
      </w:r>
    </w:p>
    <w:p>
      <w:pPr>
        <w:pStyle w:val="12"/>
        <w:ind w:firstLine="480"/>
        <w:rPr>
          <w:color w:val="000000"/>
          <w:highlight w:val="none"/>
        </w:rPr>
      </w:pPr>
      <w:r>
        <w:rPr>
          <w:rFonts w:hint="eastAsia"/>
          <w:color w:val="000000"/>
          <w:highlight w:val="none"/>
        </w:rPr>
        <w:t>1</w:t>
      </w:r>
      <w:r>
        <w:rPr>
          <w:rFonts w:hint="eastAsia"/>
          <w:color w:val="000000"/>
          <w:highlight w:val="none"/>
          <w:lang w:val="en-US" w:eastAsia="zh-CN"/>
        </w:rPr>
        <w:t>.</w:t>
      </w:r>
      <w:r>
        <w:rPr>
          <w:rFonts w:hint="eastAsia"/>
          <w:color w:val="000000"/>
          <w:highlight w:val="none"/>
        </w:rPr>
        <w:t>成交供应商必须按国家、行业的标准及采购文件的要求对本项目提供相应的货物及服务。</w:t>
      </w:r>
    </w:p>
    <w:p>
      <w:pPr>
        <w:pStyle w:val="12"/>
        <w:ind w:firstLine="480"/>
        <w:rPr>
          <w:color w:val="000000"/>
          <w:highlight w:val="none"/>
        </w:rPr>
      </w:pPr>
      <w:r>
        <w:rPr>
          <w:rFonts w:hint="eastAsia"/>
          <w:color w:val="000000"/>
          <w:highlight w:val="none"/>
        </w:rPr>
        <w:t>2</w:t>
      </w:r>
      <w:r>
        <w:rPr>
          <w:rFonts w:hint="eastAsia"/>
          <w:color w:val="000000"/>
          <w:highlight w:val="none"/>
          <w:lang w:val="en-US" w:eastAsia="zh-CN"/>
        </w:rPr>
        <w:t>.</w:t>
      </w:r>
      <w:r>
        <w:rPr>
          <w:rFonts w:hint="eastAsia"/>
          <w:color w:val="000000"/>
          <w:highlight w:val="none"/>
        </w:rPr>
        <w:t>《用户需求书》中凡有“★”标识的内容条款(如有)被视为实质性响应项目、指标；</w:t>
      </w:r>
      <w:r>
        <w:rPr>
          <w:rFonts w:hint="eastAsia"/>
          <w:color w:val="000000"/>
          <w:highlight w:val="none"/>
          <w:lang w:val="en-US" w:eastAsia="zh-CN"/>
        </w:rPr>
        <w:t>响应供应商</w:t>
      </w:r>
      <w:r>
        <w:rPr>
          <w:rFonts w:hint="eastAsia"/>
          <w:color w:val="000000"/>
          <w:highlight w:val="none"/>
        </w:rPr>
        <w:t>必须对此做出回答并完全满足这些要求不可以出现任何负偏离，如果出现负偏离将被视为无效</w:t>
      </w:r>
      <w:r>
        <w:rPr>
          <w:rFonts w:hint="eastAsia"/>
          <w:color w:val="000000"/>
          <w:highlight w:val="none"/>
          <w:lang w:val="en-US" w:eastAsia="zh-CN"/>
        </w:rPr>
        <w:t>响应</w:t>
      </w:r>
      <w:r>
        <w:rPr>
          <w:rFonts w:hint="eastAsia"/>
          <w:color w:val="000000"/>
          <w:highlight w:val="none"/>
        </w:rPr>
        <w:t>。凡有“▲”的内容（如有）为重点评审项目，供应商必须对该标识项目按照要求进行真实应答描述。</w:t>
      </w:r>
    </w:p>
    <w:p>
      <w:pPr>
        <w:pStyle w:val="12"/>
        <w:ind w:firstLine="480"/>
        <w:rPr>
          <w:color w:val="000000"/>
          <w:highlight w:val="none"/>
        </w:rPr>
      </w:pPr>
      <w:r>
        <w:rPr>
          <w:rFonts w:hint="eastAsia"/>
          <w:color w:val="000000"/>
          <w:highlight w:val="none"/>
          <w:lang w:val="en-US" w:eastAsia="zh-CN"/>
        </w:rPr>
        <w:t>3.</w:t>
      </w:r>
      <w:r>
        <w:rPr>
          <w:rFonts w:hint="eastAsia"/>
          <w:color w:val="000000"/>
          <w:highlight w:val="none"/>
        </w:rPr>
        <w:t>本项目由成交供应商负责采购文件对成交供应商要求的一切事宜及责任。响应报价中不得包含采购文件要求以外的内容，否则，在评</w:t>
      </w:r>
      <w:r>
        <w:rPr>
          <w:rFonts w:hint="eastAsia"/>
          <w:color w:val="000000"/>
          <w:highlight w:val="none"/>
          <w:lang w:val="en-US" w:eastAsia="zh-CN"/>
        </w:rPr>
        <w:t>审</w:t>
      </w:r>
      <w:r>
        <w:rPr>
          <w:rFonts w:hint="eastAsia"/>
          <w:color w:val="000000"/>
          <w:highlight w:val="none"/>
        </w:rPr>
        <w:t>时不予核减；若</w:t>
      </w:r>
      <w:r>
        <w:rPr>
          <w:rFonts w:hint="eastAsia"/>
          <w:color w:val="000000"/>
          <w:highlight w:val="none"/>
          <w:lang w:val="en-US" w:eastAsia="zh-CN"/>
        </w:rPr>
        <w:t>响应</w:t>
      </w:r>
      <w:r>
        <w:rPr>
          <w:rFonts w:hint="eastAsia"/>
          <w:color w:val="000000"/>
          <w:highlight w:val="none"/>
        </w:rPr>
        <w:t>报价有缺漏项的，缺漏项部分的价格视为已包含在</w:t>
      </w:r>
      <w:r>
        <w:rPr>
          <w:rFonts w:hint="eastAsia"/>
          <w:color w:val="000000"/>
          <w:highlight w:val="none"/>
          <w:lang w:val="en-US" w:eastAsia="zh-CN"/>
        </w:rPr>
        <w:t>响应</w:t>
      </w:r>
      <w:r>
        <w:rPr>
          <w:rFonts w:hint="eastAsia"/>
          <w:color w:val="000000"/>
          <w:highlight w:val="none"/>
        </w:rPr>
        <w:t>报价中，成交后不作任何调整，采购人将不再支付任何费用。</w:t>
      </w:r>
    </w:p>
    <w:p>
      <w:pPr>
        <w:widowControl/>
        <w:tabs>
          <w:tab w:val="left" w:pos="636"/>
        </w:tabs>
        <w:autoSpaceDE w:val="0"/>
        <w:autoSpaceDN w:val="0"/>
        <w:spacing w:line="360" w:lineRule="auto"/>
        <w:ind w:firstLine="480" w:firstLineChars="200"/>
        <w:jc w:val="left"/>
        <w:textAlignment w:val="bottom"/>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4</w:t>
      </w:r>
      <w:r>
        <w:rPr>
          <w:rFonts w:hint="eastAsia" w:ascii="Times New Roman" w:hAnsi="Times New Roman" w:cs="Times New Roman"/>
          <w:color w:val="000000"/>
          <w:kern w:val="2"/>
          <w:sz w:val="24"/>
          <w:szCs w:val="24"/>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本项目不允许提交备选方案，不允许联合体响应、转包或分包。</w:t>
      </w:r>
    </w:p>
    <w:p>
      <w:pPr>
        <w:pStyle w:val="12"/>
        <w:ind w:firstLine="480"/>
        <w:rPr>
          <w:rFonts w:hint="eastAsia" w:ascii="宋体" w:hAnsi="宋体" w:eastAsia="宋体" w:cs="宋体"/>
          <w:b/>
          <w:snapToGrid w:val="0"/>
          <w:color w:val="auto"/>
          <w:sz w:val="24"/>
          <w:szCs w:val="24"/>
          <w:highlight w:val="none"/>
          <w:lang w:eastAsia="zh-CN"/>
        </w:rPr>
      </w:pPr>
      <w:r>
        <w:rPr>
          <w:rFonts w:hint="eastAsia" w:ascii="宋体" w:hAnsi="宋体" w:eastAsia="宋体" w:cs="宋体"/>
          <w:b/>
          <w:snapToGrid w:val="0"/>
          <w:color w:val="auto"/>
          <w:sz w:val="24"/>
          <w:szCs w:val="24"/>
          <w:highlight w:val="none"/>
          <w:lang w:eastAsia="zh-CN"/>
        </w:rPr>
        <w:t>一、</w:t>
      </w:r>
      <w:r>
        <w:rPr>
          <w:rFonts w:hint="eastAsia" w:ascii="宋体" w:hAnsi="宋体" w:cs="宋体"/>
          <w:b/>
          <w:snapToGrid w:val="0"/>
          <w:color w:val="000000"/>
          <w:sz w:val="24"/>
          <w:highlight w:val="none"/>
          <w:lang w:eastAsia="zh-CN"/>
        </w:rPr>
        <w:t>项目名称：</w:t>
      </w:r>
      <w:r>
        <w:rPr>
          <w:rFonts w:hint="eastAsia" w:ascii="Calibri" w:hAnsi="Calibri" w:eastAsia="宋体" w:cs="Times New Roman"/>
          <w:color w:val="000000"/>
          <w:sz w:val="24"/>
          <w:szCs w:val="22"/>
          <w:highlight w:val="none"/>
          <w:lang w:val="en-US" w:eastAsia="zh-CN"/>
        </w:rPr>
        <w:t>中山市黄圃人民医院危险废物处置服务项目</w:t>
      </w:r>
    </w:p>
    <w:p>
      <w:pPr>
        <w:numPr>
          <w:ilvl w:val="0"/>
          <w:numId w:val="0"/>
        </w:numPr>
        <w:spacing w:line="240" w:lineRule="auto"/>
        <w:ind w:firstLine="482" w:firstLineChars="200"/>
        <w:rPr>
          <w:rFonts w:hint="eastAsia" w:ascii="宋体" w:hAnsi="宋体" w:eastAsia="宋体" w:cs="宋体"/>
          <w:b/>
          <w:snapToGrid w:val="0"/>
          <w:color w:val="auto"/>
          <w:sz w:val="24"/>
          <w:szCs w:val="24"/>
          <w:highlight w:val="none"/>
          <w:lang w:eastAsia="zh-CN"/>
        </w:rPr>
      </w:pPr>
      <w:r>
        <w:rPr>
          <w:rFonts w:hint="eastAsia" w:ascii="宋体" w:hAnsi="宋体" w:eastAsia="宋体" w:cs="宋体"/>
          <w:b/>
          <w:snapToGrid w:val="0"/>
          <w:color w:val="auto"/>
          <w:kern w:val="2"/>
          <w:sz w:val="24"/>
          <w:szCs w:val="24"/>
          <w:lang w:val="en-US" w:eastAsia="zh-CN" w:bidi="ar-SA"/>
        </w:rPr>
        <w:t>二、</w:t>
      </w:r>
      <w:r>
        <w:rPr>
          <w:rFonts w:hint="eastAsia" w:ascii="宋体" w:hAnsi="宋体" w:eastAsia="宋体" w:cs="宋体"/>
          <w:b/>
          <w:snapToGrid w:val="0"/>
          <w:color w:val="auto"/>
          <w:sz w:val="24"/>
          <w:szCs w:val="24"/>
          <w:highlight w:val="none"/>
          <w:lang w:eastAsia="zh-CN"/>
        </w:rPr>
        <w:t>采购内容</w:t>
      </w:r>
      <w:r>
        <w:rPr>
          <w:rFonts w:hint="eastAsia" w:ascii="宋体" w:hAnsi="宋体" w:cs="宋体"/>
          <w:b/>
          <w:snapToGrid w:val="0"/>
          <w:color w:val="auto"/>
          <w:sz w:val="24"/>
          <w:szCs w:val="24"/>
          <w:highlight w:val="none"/>
          <w:lang w:eastAsia="zh-CN"/>
        </w:rPr>
        <w:t>及</w:t>
      </w:r>
      <w:r>
        <w:rPr>
          <w:rFonts w:hint="eastAsia" w:ascii="宋体" w:hAnsi="宋体" w:eastAsia="宋体" w:cs="宋体"/>
          <w:b/>
          <w:snapToGrid w:val="0"/>
          <w:color w:val="auto"/>
          <w:sz w:val="24"/>
          <w:szCs w:val="24"/>
          <w:highlight w:val="none"/>
          <w:lang w:eastAsia="zh-CN"/>
        </w:rPr>
        <w:t>服务要求</w:t>
      </w:r>
    </w:p>
    <w:tbl>
      <w:tblPr>
        <w:tblStyle w:val="8"/>
        <w:tblpPr w:leftFromText="180" w:rightFromText="180" w:vertAnchor="text" w:horzAnchor="page" w:tblpX="1947" w:tblpY="210"/>
        <w:tblOverlap w:val="never"/>
        <w:tblW w:w="79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4"/>
        <w:gridCol w:w="2286"/>
        <w:gridCol w:w="2160"/>
        <w:gridCol w:w="2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序号</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废物名称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废物代码</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处置量（吨）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5"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Cs/>
                <w:i w:val="0"/>
                <w:color w:val="auto"/>
                <w:sz w:val="24"/>
                <w:szCs w:val="24"/>
                <w:u w:val="none"/>
              </w:rPr>
            </w:pPr>
            <w:r>
              <w:rPr>
                <w:rFonts w:hint="eastAsia" w:ascii="宋体" w:hAnsi="宋体" w:eastAsia="宋体" w:cs="宋体"/>
                <w:bCs/>
                <w:i w:val="0"/>
                <w:color w:val="auto"/>
                <w:kern w:val="0"/>
                <w:sz w:val="24"/>
                <w:szCs w:val="24"/>
                <w:u w:val="none"/>
                <w:lang w:val="en-US" w:eastAsia="zh-CN" w:bidi="ar"/>
              </w:rPr>
              <w:t>1</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Cs/>
                <w:i w:val="0"/>
                <w:color w:val="auto"/>
                <w:sz w:val="24"/>
                <w:szCs w:val="24"/>
                <w:u w:val="none"/>
                <w:lang w:eastAsia="zh-CN"/>
              </w:rPr>
            </w:pPr>
            <w:r>
              <w:rPr>
                <w:rFonts w:hint="eastAsia" w:ascii="宋体" w:hAnsi="宋体" w:eastAsia="宋体" w:cs="宋体"/>
                <w:bCs/>
                <w:i w:val="0"/>
                <w:color w:val="auto"/>
                <w:sz w:val="24"/>
                <w:szCs w:val="24"/>
                <w:u w:val="none"/>
                <w:lang w:eastAsia="zh-CN"/>
              </w:rPr>
              <w:t>实验室废物</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Cs/>
                <w:i w:val="0"/>
                <w:color w:val="auto"/>
                <w:sz w:val="24"/>
                <w:szCs w:val="24"/>
                <w:u w:val="none"/>
                <w:lang w:val="en-US" w:eastAsia="zh-CN"/>
              </w:rPr>
            </w:pPr>
            <w:r>
              <w:rPr>
                <w:rFonts w:hint="eastAsia" w:ascii="宋体" w:hAnsi="宋体" w:eastAsia="宋体" w:cs="宋体"/>
                <w:bCs/>
                <w:i w:val="0"/>
                <w:color w:val="auto"/>
                <w:sz w:val="24"/>
                <w:szCs w:val="24"/>
                <w:u w:val="none"/>
                <w:lang w:val="en-US" w:eastAsia="zh-CN"/>
              </w:rPr>
              <w:t>900-047-49</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Cs/>
                <w:i w:val="0"/>
                <w:color w:val="auto"/>
                <w:sz w:val="24"/>
                <w:szCs w:val="24"/>
                <w:u w:val="none"/>
                <w:lang w:val="en-US" w:eastAsia="zh-CN"/>
              </w:rPr>
            </w:pPr>
            <w:r>
              <w:rPr>
                <w:rFonts w:hint="eastAsia" w:ascii="宋体" w:hAnsi="宋体" w:eastAsia="宋体" w:cs="宋体"/>
                <w:bCs/>
                <w:i w:val="0"/>
                <w:color w:val="auto"/>
                <w:sz w:val="24"/>
                <w:szCs w:val="24"/>
                <w:u w:val="none"/>
                <w:lang w:val="en-US" w:eastAsia="zh-CN"/>
              </w:rPr>
              <w:t>约1吨</w:t>
            </w:r>
          </w:p>
        </w:tc>
      </w:tr>
    </w:tbl>
    <w:p>
      <w:pPr>
        <w:spacing w:line="400" w:lineRule="exact"/>
        <w:ind w:firstLine="420" w:firstLineChars="200"/>
        <w:rPr>
          <w:rFonts w:hint="eastAsia" w:ascii="宋体" w:hAnsi="宋体" w:eastAsia="宋体" w:cs="宋体"/>
          <w:color w:val="auto"/>
          <w:kern w:val="2"/>
          <w:sz w:val="24"/>
          <w:szCs w:val="24"/>
          <w:lang w:val="en-US" w:eastAsia="zh-CN" w:bidi="ar-SA"/>
        </w:rPr>
      </w:pPr>
      <w:r>
        <w:rPr>
          <w:rFonts w:hint="eastAsia"/>
          <w:lang w:eastAsia="zh-CN"/>
        </w:rPr>
        <w:t>（一）</w:t>
      </w:r>
      <w:r>
        <w:rPr>
          <w:rFonts w:hint="eastAsia" w:ascii="宋体" w:hAnsi="宋体" w:eastAsia="宋体" w:cs="宋体"/>
          <w:color w:val="auto"/>
          <w:kern w:val="2"/>
          <w:sz w:val="24"/>
          <w:szCs w:val="24"/>
          <w:lang w:val="en-US" w:eastAsia="zh-CN" w:bidi="ar-SA"/>
        </w:rPr>
        <w:t>实验室废物包含二甲苯、无水酒精、甲醛、DAB、混合试剂废液。处置</w:t>
      </w:r>
      <w:bookmarkStart w:id="0" w:name="_GoBack"/>
      <w:bookmarkEnd w:id="0"/>
      <w:r>
        <w:rPr>
          <w:rFonts w:hint="eastAsia" w:ascii="宋体" w:hAnsi="宋体" w:eastAsia="宋体" w:cs="宋体"/>
          <w:color w:val="auto"/>
          <w:kern w:val="2"/>
          <w:sz w:val="24"/>
          <w:szCs w:val="24"/>
          <w:lang w:val="en-US" w:eastAsia="zh-CN" w:bidi="ar-SA"/>
        </w:rPr>
        <w:t>数量减少或增加10%以内（含10%）处置费金额保持不变。</w:t>
      </w:r>
    </w:p>
    <w:p>
      <w:pPr>
        <w:pStyle w:val="12"/>
        <w:numPr>
          <w:ilvl w:val="-1"/>
          <w:numId w:val="0"/>
        </w:numPr>
        <w:ind w:firstLine="480"/>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4"/>
          <w:szCs w:val="24"/>
          <w:lang w:val="en-US" w:eastAsia="zh-CN" w:bidi="ar-SA"/>
        </w:rPr>
        <w:t>（二）</w:t>
      </w:r>
      <w:r>
        <w:rPr>
          <w:rFonts w:hint="eastAsia" w:ascii="宋体" w:hAnsi="宋体" w:eastAsia="宋体" w:cs="宋体"/>
          <w:color w:val="auto"/>
          <w:kern w:val="2"/>
          <w:sz w:val="24"/>
          <w:szCs w:val="24"/>
          <w:lang w:val="en-US" w:eastAsia="zh-CN" w:bidi="ar-SA"/>
        </w:rPr>
        <w:t>本项目服务期限为一年，一年内集中处理2次。</w:t>
      </w:r>
    </w:p>
    <w:p>
      <w:pPr>
        <w:spacing w:line="400" w:lineRule="exact"/>
        <w:ind w:firstLine="482" w:firstLineChars="200"/>
        <w:rPr>
          <w:rFonts w:hint="eastAsia" w:ascii="宋体" w:hAnsi="宋体" w:eastAsia="宋体" w:cs="宋体"/>
          <w:b/>
          <w:snapToGrid w:val="0"/>
          <w:color w:val="auto"/>
          <w:sz w:val="24"/>
          <w:szCs w:val="24"/>
          <w:highlight w:val="none"/>
          <w:lang w:eastAsia="zh-CN"/>
        </w:rPr>
      </w:pPr>
      <w:r>
        <w:rPr>
          <w:rFonts w:hint="eastAsia" w:ascii="仿宋" w:hAnsi="仿宋" w:eastAsia="仿宋" w:cs="仿宋"/>
          <w:b/>
          <w:bCs/>
          <w:color w:val="auto"/>
          <w:sz w:val="24"/>
          <w:szCs w:val="24"/>
          <w:lang w:eastAsia="zh-CN"/>
        </w:rPr>
        <w:t>三、</w:t>
      </w:r>
      <w:r>
        <w:rPr>
          <w:rFonts w:hint="eastAsia" w:ascii="宋体" w:hAnsi="宋体" w:eastAsia="宋体" w:cs="宋体"/>
          <w:b/>
          <w:snapToGrid w:val="0"/>
          <w:color w:val="auto"/>
          <w:sz w:val="24"/>
          <w:szCs w:val="24"/>
          <w:highlight w:val="none"/>
          <w:lang w:eastAsia="zh-CN"/>
        </w:rPr>
        <w:t>商务要求</w:t>
      </w:r>
    </w:p>
    <w:tbl>
      <w:tblPr>
        <w:tblStyle w:val="8"/>
        <w:tblW w:w="85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0"/>
        <w:gridCol w:w="68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10" w:type="dxa"/>
            <w:vAlign w:val="center"/>
          </w:tcPr>
          <w:p>
            <w:pPr>
              <w:pStyle w:val="11"/>
              <w:pageBreakBefore w:val="0"/>
              <w:kinsoku/>
              <w:overflowPunct/>
              <w:bidi w:val="0"/>
              <w:spacing w:line="360" w:lineRule="auto"/>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rPr>
              <w:t>合同履行期限</w:t>
            </w:r>
          </w:p>
        </w:tc>
        <w:tc>
          <w:tcPr>
            <w:tcW w:w="6805" w:type="dxa"/>
            <w:vAlign w:val="top"/>
          </w:tcPr>
          <w:p>
            <w:pPr>
              <w:pStyle w:val="11"/>
              <w:pageBreakBefore w:val="0"/>
              <w:kinsoku/>
              <w:overflowPunct/>
              <w:bidi w:val="0"/>
              <w:spacing w:line="360" w:lineRule="auto"/>
              <w:jc w:val="left"/>
              <w:rPr>
                <w:rFonts w:hint="eastAsia" w:ascii="宋体" w:hAnsi="宋体" w:eastAsia="宋体" w:cs="宋体"/>
                <w:color w:val="000000"/>
                <w:kern w:val="28"/>
                <w:sz w:val="21"/>
                <w:szCs w:val="21"/>
                <w:highlight w:val="none"/>
                <w:lang w:val="en-US" w:eastAsia="zh-CN" w:bidi="ar-SA"/>
              </w:rPr>
            </w:pPr>
            <w:r>
              <w:rPr>
                <w:rFonts w:hint="eastAsia" w:cs="Tahoma"/>
                <w:color w:val="auto"/>
                <w:kern w:val="28"/>
                <w:sz w:val="21"/>
                <w:szCs w:val="21"/>
                <w:highlight w:val="none"/>
                <w:lang w:val="en-US" w:eastAsia="zh-CN"/>
              </w:rPr>
              <w:t>一年（具体起止时间以合同约订为准）。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10" w:type="dxa"/>
            <w:vAlign w:val="center"/>
          </w:tcPr>
          <w:p>
            <w:pPr>
              <w:pStyle w:val="11"/>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合同履行地点</w:t>
            </w:r>
          </w:p>
        </w:tc>
        <w:tc>
          <w:tcPr>
            <w:tcW w:w="6805" w:type="dxa"/>
            <w:vAlign w:val="top"/>
          </w:tcPr>
          <w:p>
            <w:pPr>
              <w:pStyle w:val="11"/>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ascii="宋体" w:hAnsi="宋体" w:eastAsia="宋体" w:cs="宋体"/>
                <w:color w:val="auto"/>
                <w:kern w:val="28"/>
                <w:sz w:val="21"/>
                <w:szCs w:val="21"/>
                <w:highlight w:val="none"/>
                <w:lang w:eastAsia="zh-CN"/>
              </w:rPr>
            </w:pPr>
            <w:r>
              <w:rPr>
                <w:rFonts w:hint="eastAsia" w:ascii="宋体" w:hAnsi="宋体" w:eastAsia="宋体" w:cs="宋体"/>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10" w:type="dxa"/>
            <w:vAlign w:val="center"/>
          </w:tcPr>
          <w:p>
            <w:pPr>
              <w:pStyle w:val="11"/>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6805" w:type="dxa"/>
            <w:vAlign w:val="top"/>
          </w:tcPr>
          <w:p>
            <w:pPr>
              <w:pStyle w:val="11"/>
              <w:pageBreakBefore w:val="0"/>
              <w:kinsoku/>
              <w:overflowPunct/>
              <w:bidi w:val="0"/>
              <w:spacing w:line="360" w:lineRule="auto"/>
              <w:jc w:val="left"/>
              <w:rPr>
                <w:rFonts w:hint="eastAsia" w:ascii="宋体" w:hAnsi="宋体" w:eastAsia="宋体" w:cs="宋体"/>
                <w:color w:val="auto"/>
                <w:kern w:val="28"/>
                <w:sz w:val="21"/>
                <w:szCs w:val="21"/>
                <w:highlight w:val="none"/>
                <w:lang w:eastAsia="zh-CN"/>
              </w:rPr>
            </w:pPr>
            <w:r>
              <w:rPr>
                <w:rFonts w:hint="eastAsia" w:ascii="宋体" w:hAnsi="宋体" w:eastAsia="宋体" w:cs="宋体"/>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9" w:hRule="atLeast"/>
        </w:trPr>
        <w:tc>
          <w:tcPr>
            <w:tcW w:w="1710" w:type="dxa"/>
            <w:vAlign w:val="center"/>
          </w:tcPr>
          <w:p>
            <w:pPr>
              <w:pStyle w:val="11"/>
              <w:pageBreakBefore w:val="0"/>
              <w:kinsoku/>
              <w:overflowPunct/>
              <w:bidi w:val="0"/>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付款方式</w:t>
            </w:r>
          </w:p>
        </w:tc>
        <w:tc>
          <w:tcPr>
            <w:tcW w:w="6805" w:type="dxa"/>
            <w:vAlign w:val="top"/>
          </w:tcPr>
          <w:p>
            <w:pPr>
              <w:pStyle w:val="12"/>
              <w:pageBreakBefore w:val="0"/>
              <w:kinsoku/>
              <w:overflowPunct/>
              <w:bidi w:val="0"/>
              <w:spacing w:line="360" w:lineRule="auto"/>
              <w:ind w:left="0" w:leftChars="0" w:firstLine="0" w:firstLineChars="0"/>
              <w:rPr>
                <w:rFonts w:hint="eastAsia" w:ascii="宋体" w:hAnsi="宋体" w:eastAsia="宋体" w:cs="宋体"/>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本合同的款项以人民币银行转账方式支付；</w:t>
            </w:r>
          </w:p>
          <w:p>
            <w:pPr>
              <w:pStyle w:val="12"/>
              <w:pageBreakBefore w:val="0"/>
              <w:numPr>
                <w:ilvl w:val="0"/>
                <w:numId w:val="0"/>
              </w:numPr>
              <w:kinsoku/>
              <w:overflowPunct/>
              <w:bidi w:val="0"/>
              <w:spacing w:line="360" w:lineRule="auto"/>
              <w:ind w:left="0" w:leftChars="0" w:firstLine="0" w:firstLineChars="0"/>
              <w:rPr>
                <w:rFonts w:hint="eastAsia" w:ascii="宋体" w:hAnsi="宋体" w:eastAsia="宋体" w:cs="宋体"/>
                <w:color w:val="auto"/>
                <w:kern w:val="28"/>
                <w:sz w:val="21"/>
                <w:szCs w:val="21"/>
                <w:highlight w:val="none"/>
                <w:lang w:val="en-US" w:eastAsia="zh-CN" w:bidi="ar-SA"/>
              </w:rPr>
            </w:pPr>
            <w:r>
              <w:rPr>
                <w:rFonts w:hint="eastAsia" w:ascii="宋体" w:hAnsi="宋体" w:cs="宋体"/>
                <w:color w:val="auto"/>
                <w:kern w:val="28"/>
                <w:sz w:val="21"/>
                <w:szCs w:val="21"/>
                <w:lang w:val="en-US" w:eastAsia="zh-CN" w:bidi="ar-SA"/>
              </w:rPr>
              <w:t>1.</w:t>
            </w:r>
            <w:r>
              <w:rPr>
                <w:rFonts w:hint="eastAsia" w:ascii="宋体" w:hAnsi="宋体" w:cs="宋体"/>
                <w:color w:val="auto"/>
                <w:kern w:val="28"/>
                <w:sz w:val="21"/>
                <w:szCs w:val="21"/>
                <w:highlight w:val="none"/>
                <w:lang w:val="en-US" w:eastAsia="zh-CN" w:bidi="ar-SA"/>
              </w:rPr>
              <w:t>按服务次数结算</w:t>
            </w:r>
            <w:r>
              <w:rPr>
                <w:rFonts w:hint="eastAsia" w:ascii="宋体" w:hAnsi="宋体" w:eastAsia="宋体" w:cs="宋体"/>
                <w:color w:val="auto"/>
                <w:kern w:val="28"/>
                <w:sz w:val="21"/>
                <w:szCs w:val="21"/>
                <w:highlight w:val="none"/>
                <w:lang w:val="en-US" w:eastAsia="zh-CN" w:bidi="ar-SA"/>
              </w:rPr>
              <w:t>，</w:t>
            </w:r>
            <w:r>
              <w:rPr>
                <w:rFonts w:hint="eastAsia" w:ascii="宋体" w:hAnsi="宋体" w:cs="宋体"/>
                <w:color w:val="auto"/>
                <w:kern w:val="28"/>
                <w:sz w:val="21"/>
                <w:szCs w:val="21"/>
                <w:highlight w:val="none"/>
                <w:lang w:val="en-US" w:eastAsia="zh-CN" w:bidi="ar-SA"/>
              </w:rPr>
              <w:t>每次处置服务结束完成后供应商</w:t>
            </w:r>
            <w:r>
              <w:rPr>
                <w:rFonts w:hint="eastAsia" w:ascii="宋体" w:hAnsi="宋体" w:eastAsia="宋体" w:cs="宋体"/>
                <w:color w:val="auto"/>
                <w:kern w:val="28"/>
                <w:sz w:val="21"/>
                <w:szCs w:val="21"/>
                <w:highlight w:val="none"/>
                <w:lang w:val="en-US" w:eastAsia="zh-CN" w:bidi="ar-SA"/>
              </w:rPr>
              <w:t>将</w:t>
            </w:r>
            <w:r>
              <w:rPr>
                <w:rFonts w:hint="eastAsia" w:ascii="宋体" w:hAnsi="宋体" w:cs="宋体"/>
                <w:color w:val="auto"/>
                <w:kern w:val="28"/>
                <w:sz w:val="21"/>
                <w:szCs w:val="21"/>
                <w:highlight w:val="none"/>
                <w:lang w:val="en-US" w:eastAsia="zh-CN" w:bidi="ar-SA"/>
              </w:rPr>
              <w:t>平台危险废物转移联单</w:t>
            </w:r>
            <w:r>
              <w:rPr>
                <w:rFonts w:hint="eastAsia" w:ascii="宋体" w:hAnsi="宋体" w:eastAsia="宋体" w:cs="宋体"/>
                <w:color w:val="auto"/>
                <w:kern w:val="28"/>
                <w:sz w:val="21"/>
                <w:szCs w:val="21"/>
                <w:highlight w:val="none"/>
                <w:lang w:val="en-US" w:eastAsia="zh-CN" w:bidi="ar-SA"/>
              </w:rPr>
              <w:t>交给采购人，经双方核对无误后，</w:t>
            </w:r>
            <w:r>
              <w:rPr>
                <w:rFonts w:hint="eastAsia" w:ascii="宋体" w:hAnsi="宋体" w:cs="宋体"/>
                <w:color w:val="auto"/>
                <w:kern w:val="28"/>
                <w:sz w:val="21"/>
                <w:szCs w:val="21"/>
                <w:highlight w:val="none"/>
                <w:lang w:val="en-US" w:eastAsia="zh-CN" w:bidi="ar-SA"/>
              </w:rPr>
              <w:t>成交供应商</w:t>
            </w:r>
            <w:r>
              <w:rPr>
                <w:rFonts w:hint="eastAsia" w:ascii="宋体" w:hAnsi="宋体" w:eastAsia="宋体" w:cs="宋体"/>
                <w:color w:val="auto"/>
                <w:kern w:val="28"/>
                <w:sz w:val="21"/>
                <w:szCs w:val="21"/>
                <w:highlight w:val="none"/>
                <w:lang w:val="en-US" w:eastAsia="zh-CN" w:bidi="ar-SA"/>
              </w:rPr>
              <w:t>开具相应金额的有效发票给采购人，采购人收到发票</w:t>
            </w:r>
            <w:r>
              <w:rPr>
                <w:rFonts w:hint="eastAsia" w:ascii="宋体" w:hAnsi="宋体" w:cs="宋体"/>
                <w:color w:val="auto"/>
                <w:kern w:val="28"/>
                <w:sz w:val="21"/>
                <w:szCs w:val="21"/>
                <w:highlight w:val="none"/>
                <w:lang w:val="en-US" w:eastAsia="zh-CN" w:bidi="ar-SA"/>
              </w:rPr>
              <w:t>等资料核对无误</w:t>
            </w:r>
            <w:r>
              <w:rPr>
                <w:rFonts w:hint="eastAsia" w:ascii="宋体" w:hAnsi="宋体" w:eastAsia="宋体" w:cs="宋体"/>
                <w:color w:val="auto"/>
                <w:kern w:val="28"/>
                <w:sz w:val="21"/>
                <w:szCs w:val="21"/>
                <w:highlight w:val="none"/>
                <w:lang w:val="en-US" w:eastAsia="zh-CN" w:bidi="ar-SA"/>
              </w:rPr>
              <w:t>后</w:t>
            </w:r>
            <w:r>
              <w:rPr>
                <w:rFonts w:hint="eastAsia" w:ascii="宋体" w:hAnsi="宋体" w:cs="宋体"/>
                <w:color w:val="auto"/>
                <w:kern w:val="28"/>
                <w:sz w:val="21"/>
                <w:szCs w:val="21"/>
                <w:highlight w:val="none"/>
                <w:lang w:val="en-US" w:eastAsia="zh-CN" w:bidi="ar-SA"/>
              </w:rPr>
              <w:t>，</w:t>
            </w:r>
            <w:r>
              <w:rPr>
                <w:rFonts w:hint="eastAsia" w:ascii="宋体" w:hAnsi="宋体" w:eastAsia="宋体" w:cs="宋体"/>
                <w:color w:val="auto"/>
                <w:kern w:val="28"/>
                <w:sz w:val="21"/>
                <w:szCs w:val="21"/>
                <w:highlight w:val="none"/>
                <w:lang w:val="en-US" w:eastAsia="zh-CN" w:bidi="ar-SA"/>
              </w:rPr>
              <w:t>在</w:t>
            </w:r>
            <w:r>
              <w:rPr>
                <w:rFonts w:hint="eastAsia" w:ascii="宋体" w:hAnsi="宋体" w:cs="宋体"/>
                <w:color w:val="auto"/>
                <w:kern w:val="28"/>
                <w:sz w:val="21"/>
                <w:szCs w:val="21"/>
                <w:highlight w:val="none"/>
                <w:lang w:val="en-US" w:eastAsia="zh-CN" w:bidi="ar-SA"/>
              </w:rPr>
              <w:t>60</w:t>
            </w:r>
            <w:r>
              <w:rPr>
                <w:rFonts w:hint="eastAsia" w:ascii="宋体" w:hAnsi="宋体" w:eastAsia="宋体" w:cs="宋体"/>
                <w:color w:val="auto"/>
                <w:kern w:val="28"/>
                <w:sz w:val="21"/>
                <w:szCs w:val="21"/>
                <w:highlight w:val="none"/>
                <w:lang w:val="en-US" w:eastAsia="zh-CN" w:bidi="ar-SA"/>
              </w:rPr>
              <w:t>天内支付该批订单的货款；</w:t>
            </w:r>
          </w:p>
          <w:p>
            <w:pPr>
              <w:pStyle w:val="12"/>
              <w:pageBreakBefore w:val="0"/>
              <w:numPr>
                <w:ilvl w:val="0"/>
                <w:numId w:val="0"/>
              </w:numPr>
              <w:kinsoku/>
              <w:overflowPunct/>
              <w:bidi w:val="0"/>
              <w:spacing w:line="360" w:lineRule="auto"/>
              <w:ind w:leftChars="0"/>
              <w:rPr>
                <w:rFonts w:hint="eastAsia" w:ascii="宋体" w:hAnsi="宋体" w:eastAsia="宋体" w:cs="宋体"/>
                <w:color w:val="auto"/>
                <w:kern w:val="28"/>
                <w:sz w:val="21"/>
                <w:szCs w:val="21"/>
                <w:highlight w:val="none"/>
                <w:lang w:val="en-US" w:eastAsia="zh-CN" w:bidi="ar-SA"/>
              </w:rPr>
            </w:pPr>
            <w:r>
              <w:rPr>
                <w:rFonts w:hint="eastAsia" w:ascii="宋体" w:hAnsi="宋体" w:cs="宋体"/>
                <w:color w:val="auto"/>
                <w:kern w:val="28"/>
                <w:sz w:val="21"/>
                <w:szCs w:val="21"/>
                <w:highlight w:val="none"/>
                <w:lang w:val="en-US" w:eastAsia="zh-CN" w:bidi="ar-SA"/>
              </w:rPr>
              <w:t>2.</w:t>
            </w:r>
            <w:r>
              <w:rPr>
                <w:rFonts w:hint="eastAsia" w:ascii="宋体" w:hAnsi="宋体" w:eastAsia="宋体" w:cs="宋体"/>
                <w:color w:val="auto"/>
                <w:kern w:val="28"/>
                <w:sz w:val="21"/>
                <w:szCs w:val="21"/>
                <w:highlight w:val="none"/>
                <w:lang w:val="en-US" w:eastAsia="zh-CN" w:bidi="ar-SA"/>
              </w:rPr>
              <w:t>因</w:t>
            </w:r>
            <w:r>
              <w:rPr>
                <w:rFonts w:hint="eastAsia" w:ascii="宋体" w:hAnsi="宋体" w:cs="宋体"/>
                <w:color w:val="auto"/>
                <w:kern w:val="28"/>
                <w:sz w:val="21"/>
                <w:szCs w:val="21"/>
                <w:highlight w:val="none"/>
                <w:lang w:val="en-US" w:eastAsia="zh-CN" w:bidi="ar-SA"/>
              </w:rPr>
              <w:t>成交供应商</w:t>
            </w:r>
            <w:r>
              <w:rPr>
                <w:rFonts w:hint="eastAsia" w:ascii="宋体" w:hAnsi="宋体" w:eastAsia="宋体" w:cs="宋体"/>
                <w:color w:val="auto"/>
                <w:kern w:val="28"/>
                <w:sz w:val="21"/>
                <w:szCs w:val="21"/>
                <w:highlight w:val="none"/>
                <w:lang w:val="en-US" w:eastAsia="zh-CN" w:bidi="ar-SA"/>
              </w:rPr>
              <w:t>未及时向</w:t>
            </w:r>
            <w:r>
              <w:rPr>
                <w:rFonts w:hint="eastAsia" w:ascii="宋体" w:hAnsi="宋体" w:cs="宋体"/>
                <w:color w:val="auto"/>
                <w:kern w:val="28"/>
                <w:sz w:val="21"/>
                <w:szCs w:val="21"/>
                <w:highlight w:val="none"/>
                <w:lang w:val="en-US" w:eastAsia="zh-CN" w:bidi="ar-SA"/>
              </w:rPr>
              <w:t>采购人</w:t>
            </w:r>
            <w:r>
              <w:rPr>
                <w:rFonts w:hint="eastAsia" w:ascii="宋体" w:hAnsi="宋体" w:eastAsia="宋体" w:cs="宋体"/>
                <w:color w:val="auto"/>
                <w:kern w:val="28"/>
                <w:sz w:val="21"/>
                <w:szCs w:val="21"/>
                <w:highlight w:val="none"/>
                <w:lang w:val="en-US" w:eastAsia="zh-CN" w:bidi="ar-SA"/>
              </w:rPr>
              <w:t>开具有效发票导致</w:t>
            </w:r>
            <w:r>
              <w:rPr>
                <w:rFonts w:hint="eastAsia" w:ascii="宋体" w:hAnsi="宋体" w:cs="宋体"/>
                <w:color w:val="auto"/>
                <w:kern w:val="28"/>
                <w:sz w:val="21"/>
                <w:szCs w:val="21"/>
                <w:highlight w:val="none"/>
                <w:lang w:val="en-US" w:eastAsia="zh-CN" w:bidi="ar-SA"/>
              </w:rPr>
              <w:t>采购人</w:t>
            </w:r>
            <w:r>
              <w:rPr>
                <w:rFonts w:hint="eastAsia" w:ascii="宋体" w:hAnsi="宋体" w:eastAsia="宋体" w:cs="宋体"/>
                <w:color w:val="auto"/>
                <w:kern w:val="28"/>
                <w:sz w:val="21"/>
                <w:szCs w:val="21"/>
                <w:highlight w:val="none"/>
                <w:lang w:val="en-US" w:eastAsia="zh-CN" w:bidi="ar-SA"/>
              </w:rPr>
              <w:t>未能在约定期限内付款的，不视为</w:t>
            </w:r>
            <w:r>
              <w:rPr>
                <w:rFonts w:hint="eastAsia" w:ascii="宋体" w:hAnsi="宋体" w:cs="宋体"/>
                <w:color w:val="auto"/>
                <w:kern w:val="28"/>
                <w:sz w:val="21"/>
                <w:szCs w:val="21"/>
                <w:highlight w:val="none"/>
                <w:lang w:val="en-US" w:eastAsia="zh-CN" w:bidi="ar-SA"/>
              </w:rPr>
              <w:t>采购人</w:t>
            </w:r>
            <w:r>
              <w:rPr>
                <w:rFonts w:hint="eastAsia" w:ascii="宋体" w:hAnsi="宋体" w:eastAsia="宋体" w:cs="宋体"/>
                <w:color w:val="auto"/>
                <w:kern w:val="28"/>
                <w:sz w:val="21"/>
                <w:szCs w:val="21"/>
                <w:highlight w:val="none"/>
                <w:lang w:val="en-US" w:eastAsia="zh-CN" w:bidi="ar-SA"/>
              </w:rPr>
              <w:t>违约；</w:t>
            </w:r>
          </w:p>
          <w:p>
            <w:pPr>
              <w:pStyle w:val="12"/>
              <w:pageBreakBefore w:val="0"/>
              <w:kinsoku/>
              <w:overflowPunct/>
              <w:bidi w:val="0"/>
              <w:spacing w:line="360" w:lineRule="auto"/>
              <w:ind w:left="0" w:leftChars="0" w:firstLine="0" w:firstLineChars="0"/>
              <w:rPr>
                <w:rFonts w:hint="eastAsia" w:ascii="宋体" w:hAnsi="宋体" w:eastAsia="宋体" w:cs="宋体"/>
                <w:color w:val="auto"/>
                <w:kern w:val="28"/>
                <w:sz w:val="21"/>
                <w:szCs w:val="21"/>
                <w:highlight w:val="none"/>
                <w:lang w:val="en-US" w:eastAsia="zh-CN" w:bidi="ar-SA"/>
              </w:rPr>
            </w:pPr>
            <w:r>
              <w:rPr>
                <w:rFonts w:hint="eastAsia" w:ascii="宋体" w:hAnsi="宋体" w:cs="宋体"/>
                <w:color w:val="auto"/>
                <w:kern w:val="28"/>
                <w:sz w:val="21"/>
                <w:szCs w:val="21"/>
                <w:highlight w:val="none"/>
                <w:lang w:val="en-US" w:eastAsia="zh-CN" w:bidi="ar-SA"/>
              </w:rPr>
              <w:t>3.</w:t>
            </w:r>
            <w:r>
              <w:rPr>
                <w:rFonts w:hint="eastAsia" w:ascii="宋体" w:hAnsi="宋体" w:eastAsia="宋体" w:cs="宋体"/>
                <w:color w:val="auto"/>
                <w:kern w:val="28"/>
                <w:sz w:val="21"/>
                <w:szCs w:val="21"/>
                <w:highlight w:val="none"/>
                <w:lang w:val="en-US" w:eastAsia="zh-CN" w:bidi="ar-SA"/>
              </w:rPr>
              <w:t>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10" w:type="dxa"/>
            <w:vAlign w:val="center"/>
          </w:tcPr>
          <w:p>
            <w:pPr>
              <w:pStyle w:val="11"/>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6805" w:type="dxa"/>
            <w:vAlign w:val="top"/>
          </w:tcPr>
          <w:p>
            <w:pPr>
              <w:pStyle w:val="11"/>
              <w:pageBreakBefore w:val="0"/>
              <w:kinsoku/>
              <w:overflowPunct/>
              <w:bidi w:val="0"/>
              <w:spacing w:line="360" w:lineRule="auto"/>
              <w:jc w:val="left"/>
              <w:rPr>
                <w:rFonts w:hint="eastAsia" w:ascii="宋体" w:hAnsi="宋体" w:eastAsia="宋体" w:cs="宋体"/>
                <w:color w:val="auto"/>
                <w:kern w:val="28"/>
                <w:sz w:val="21"/>
                <w:szCs w:val="21"/>
                <w:highlight w:val="none"/>
                <w:lang w:eastAsia="zh-CN"/>
              </w:rPr>
            </w:pPr>
            <w:r>
              <w:rPr>
                <w:rFonts w:hint="eastAsia" w:ascii="宋体" w:hAnsi="宋体" w:eastAsia="宋体" w:cs="宋体"/>
                <w:color w:val="auto"/>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10"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highlight w:val="none"/>
                <w:lang w:val="en-US" w:eastAsia="zh-CN"/>
              </w:rPr>
              <w:t>报价说明</w:t>
            </w:r>
          </w:p>
        </w:tc>
        <w:tc>
          <w:tcPr>
            <w:tcW w:w="6805" w:type="dxa"/>
            <w:vAlign w:val="top"/>
          </w:tcPr>
          <w:p>
            <w:pPr>
              <w:keepNext w:val="0"/>
              <w:keepLines w:val="0"/>
              <w:pageBreakBefore w:val="0"/>
              <w:kinsoku/>
              <w:wordWrap/>
              <w:overflowPunct/>
              <w:topLinePunct w:val="0"/>
              <w:bidi w:val="0"/>
              <w:adjustRightInd/>
              <w:snapToGrid/>
              <w:spacing w:line="360" w:lineRule="auto"/>
              <w:ind w:left="0" w:leftChars="0" w:right="0" w:rightChars="0"/>
              <w:outlineLvl w:val="9"/>
              <w:rPr>
                <w:rFonts w:hint="eastAsia" w:ascii="宋体" w:hAnsi="宋体" w:eastAsia="宋体" w:cs="宋体"/>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1.供应商所报的响应报价包括但不限于包装、打包费、运输、处置、仓储费、化验分析、保险、税费及合同实施过程中可预见和不可预见的一切费用，采购人不再额外支付任何费用。</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jc w:val="left"/>
              <w:textAlignment w:val="bottom"/>
              <w:outlineLvl w:val="9"/>
              <w:rPr>
                <w:rFonts w:hint="eastAsia" w:ascii="仿宋" w:hAnsi="仿宋" w:eastAsia="仿宋" w:cs="仿宋"/>
                <w:color w:val="auto"/>
                <w:sz w:val="28"/>
                <w:szCs w:val="28"/>
              </w:rPr>
            </w:pPr>
            <w:r>
              <w:rPr>
                <w:rFonts w:hint="eastAsia" w:ascii="宋体" w:hAnsi="宋体" w:eastAsia="宋体" w:cs="宋体"/>
                <w:color w:val="auto"/>
                <w:kern w:val="28"/>
                <w:sz w:val="21"/>
                <w:szCs w:val="21"/>
                <w:highlight w:val="none"/>
                <w:lang w:val="en-US" w:eastAsia="zh-CN" w:bidi="ar-SA"/>
              </w:rPr>
              <w:t>2.报价不得高于项目预算金额，否则视为无效响应。</w:t>
            </w:r>
          </w:p>
          <w:p>
            <w:pPr>
              <w:spacing w:line="400" w:lineRule="exact"/>
              <w:outlineLvl w:val="1"/>
              <w:rPr>
                <w:rFonts w:hint="eastAsia" w:ascii="宋体" w:hAnsi="宋体" w:eastAsia="宋体" w:cs="宋体"/>
                <w:sz w:val="21"/>
                <w:szCs w:val="24"/>
                <w:lang w:val="en-US" w:eastAsia="zh-CN"/>
              </w:rPr>
            </w:pPr>
          </w:p>
        </w:tc>
      </w:tr>
    </w:tbl>
    <w:p>
      <w:pPr>
        <w:widowControl/>
        <w:tabs>
          <w:tab w:val="left" w:pos="636"/>
        </w:tabs>
        <w:autoSpaceDE w:val="0"/>
        <w:autoSpaceDN w:val="0"/>
        <w:spacing w:line="460" w:lineRule="exact"/>
        <w:ind w:firstLine="482" w:firstLineChars="200"/>
        <w:jc w:val="left"/>
        <w:textAlignment w:val="bottom"/>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color w:val="auto"/>
          <w:sz w:val="24"/>
          <w:szCs w:val="24"/>
          <w:highlight w:val="none"/>
          <w:lang w:val="en-US" w:eastAsia="zh-CN"/>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668C"/>
    <w:rsid w:val="015C7D5B"/>
    <w:rsid w:val="055C36E7"/>
    <w:rsid w:val="05B95012"/>
    <w:rsid w:val="07393D5C"/>
    <w:rsid w:val="0AB62F51"/>
    <w:rsid w:val="0E0B4230"/>
    <w:rsid w:val="108961E5"/>
    <w:rsid w:val="11013B88"/>
    <w:rsid w:val="14144E5B"/>
    <w:rsid w:val="17D35B26"/>
    <w:rsid w:val="1EA54B23"/>
    <w:rsid w:val="2198088E"/>
    <w:rsid w:val="21EA62CE"/>
    <w:rsid w:val="278B464C"/>
    <w:rsid w:val="28560CB2"/>
    <w:rsid w:val="2F753266"/>
    <w:rsid w:val="33BB594F"/>
    <w:rsid w:val="37C9343C"/>
    <w:rsid w:val="3CC8605D"/>
    <w:rsid w:val="466F1F67"/>
    <w:rsid w:val="4F156E6E"/>
    <w:rsid w:val="53211A42"/>
    <w:rsid w:val="5AFC7E15"/>
    <w:rsid w:val="5B8638E0"/>
    <w:rsid w:val="5C9B70F6"/>
    <w:rsid w:val="5DF856EE"/>
    <w:rsid w:val="5E645FD2"/>
    <w:rsid w:val="612562B2"/>
    <w:rsid w:val="627D26D4"/>
    <w:rsid w:val="6A1C34A7"/>
    <w:rsid w:val="702D43DF"/>
    <w:rsid w:val="760A7513"/>
    <w:rsid w:val="766B248A"/>
    <w:rsid w:val="785B6800"/>
    <w:rsid w:val="7F575D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styleId="4">
    <w:name w:val="annotation text"/>
    <w:basedOn w:val="1"/>
    <w:qFormat/>
    <w:uiPriority w:val="0"/>
    <w:pPr>
      <w:jc w:val="left"/>
    </w:pPr>
  </w:style>
  <w:style w:type="paragraph" w:styleId="5">
    <w:name w:val="Body Text"/>
    <w:basedOn w:val="1"/>
    <w:qFormat/>
    <w:uiPriority w:val="0"/>
    <w:pPr>
      <w:spacing w:after="120"/>
    </w:pPr>
    <w:rPr>
      <w:kern w:val="0"/>
      <w:sz w:val="20"/>
    </w:rPr>
  </w:style>
  <w:style w:type="paragraph" w:styleId="6">
    <w:name w:val="Plain Text"/>
    <w:basedOn w:val="1"/>
    <w:qFormat/>
    <w:uiPriority w:val="0"/>
    <w:rPr>
      <w:rFonts w:ascii="宋体" w:hAnsi="Courier New"/>
      <w:kern w:val="0"/>
      <w:sz w:val="20"/>
      <w:szCs w:val="20"/>
    </w:rPr>
  </w:style>
  <w:style w:type="paragraph" w:styleId="9">
    <w:name w:val="List Paragraph"/>
    <w:basedOn w:val="1"/>
    <w:qFormat/>
    <w:uiPriority w:val="0"/>
    <w:pPr>
      <w:ind w:firstLine="420" w:firstLineChars="200"/>
    </w:pPr>
    <w:rPr>
      <w:szCs w:val="22"/>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12">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1170</Words>
  <Characters>1199</Characters>
  <Lines>0</Lines>
  <Paragraphs>0</Paragraphs>
  <TotalTime>0</TotalTime>
  <ScaleCrop>false</ScaleCrop>
  <LinksUpToDate>false</LinksUpToDate>
  <CharactersWithSpaces>1215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李铜光</cp:lastModifiedBy>
  <dcterms:modified xsi:type="dcterms:W3CDTF">2025-11-07T01:34:48Z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4591BF9EA52244B59716329C5E0D198F_13</vt:lpwstr>
  </property>
  <property fmtid="{D5CDD505-2E9C-101B-9397-08002B2CF9AE}" pid="4" name="KSOTemplateDocerSaveRecord">
    <vt:lpwstr>eyJoZGlkIjoiMjAyNDk0OTM5ZjE2MDUwMDJiMWIwZGQwMjQwZjRmZDAiLCJ1c2VySWQiOiI0NDc4NzM5NzgifQ==</vt:lpwstr>
  </property>
</Properties>
</file>