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Theme="minorEastAsia" w:hAnsiTheme="minorEastAsia" w:eastAsiaTheme="minorEastAsia" w:cstheme="minorEastAsia"/>
          <w:b/>
          <w:sz w:val="32"/>
          <w:szCs w:val="36"/>
          <w:lang w:val="en-US" w:eastAsia="zh-CN"/>
        </w:rPr>
      </w:pPr>
      <w:r>
        <w:rPr>
          <w:rFonts w:hint="eastAsia" w:asciiTheme="minorEastAsia" w:hAnsiTheme="minorEastAsia" w:eastAsiaTheme="minorEastAsia" w:cstheme="minorEastAsia"/>
          <w:b/>
          <w:sz w:val="32"/>
          <w:szCs w:val="36"/>
          <w:lang w:eastAsia="zh-CN"/>
        </w:rPr>
        <w:t>附件</w:t>
      </w:r>
      <w:r>
        <w:rPr>
          <w:rFonts w:hint="eastAsia" w:asciiTheme="minorEastAsia" w:hAnsiTheme="minorEastAsia" w:eastAsiaTheme="minorEastAsia" w:cstheme="minorEastAsia"/>
          <w:b/>
          <w:sz w:val="32"/>
          <w:szCs w:val="36"/>
          <w:lang w:val="en-US" w:eastAsia="zh-CN"/>
        </w:rPr>
        <w:t>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jc w:val="center"/>
        <w:rPr>
          <w:rFonts w:hint="eastAsia"/>
          <w:b/>
          <w:sz w:val="24"/>
          <w:szCs w:val="44"/>
        </w:rPr>
      </w:pPr>
    </w:p>
    <w:p>
      <w:pPr>
        <w:spacing w:line="480" w:lineRule="auto"/>
        <w:jc w:val="left"/>
        <w:rPr>
          <w:rFonts w:hint="eastAsia" w:eastAsia="宋体"/>
          <w:b w:val="0"/>
          <w:bCs/>
          <w:sz w:val="28"/>
          <w:szCs w:val="28"/>
          <w:lang w:eastAsia="zh-CN"/>
        </w:rPr>
      </w:pPr>
      <w:r>
        <w:rPr>
          <w:rFonts w:hint="eastAsia"/>
          <w:b/>
          <w:sz w:val="28"/>
          <w:szCs w:val="28"/>
          <w:lang w:eastAsia="zh-CN"/>
        </w:rPr>
        <w:t>一、</w:t>
      </w:r>
      <w:r>
        <w:rPr>
          <w:rFonts w:hint="eastAsia"/>
          <w:b/>
          <w:sz w:val="28"/>
          <w:szCs w:val="28"/>
        </w:rPr>
        <w:t>项目名称</w:t>
      </w:r>
      <w:r>
        <w:rPr>
          <w:rFonts w:hint="eastAsia"/>
          <w:b/>
          <w:sz w:val="28"/>
          <w:szCs w:val="28"/>
          <w:lang w:eastAsia="zh-CN"/>
        </w:rPr>
        <w:t>：</w:t>
      </w:r>
      <w:r>
        <w:rPr>
          <w:rFonts w:hint="eastAsia"/>
          <w:b w:val="0"/>
          <w:bCs/>
          <w:sz w:val="28"/>
          <w:szCs w:val="28"/>
          <w:lang w:eastAsia="zh-CN"/>
        </w:rPr>
        <w:t>中山市黄圃人民医院202</w:t>
      </w:r>
      <w:r>
        <w:rPr>
          <w:rFonts w:hint="eastAsia"/>
          <w:b w:val="0"/>
          <w:bCs/>
          <w:sz w:val="28"/>
          <w:szCs w:val="28"/>
          <w:lang w:val="en-US" w:eastAsia="zh-CN"/>
        </w:rPr>
        <w:t>6-2028</w:t>
      </w:r>
      <w:r>
        <w:rPr>
          <w:rFonts w:hint="eastAsia"/>
          <w:b w:val="0"/>
          <w:bCs/>
          <w:sz w:val="28"/>
          <w:szCs w:val="28"/>
          <w:lang w:eastAsia="zh-CN"/>
        </w:rPr>
        <w:t>年度印刷服务项目</w:t>
      </w:r>
    </w:p>
    <w:p>
      <w:pPr>
        <w:spacing w:line="480" w:lineRule="auto"/>
        <w:jc w:val="left"/>
        <w:rPr>
          <w:rFonts w:hint="eastAsia" w:eastAsia="宋体"/>
          <w:b/>
          <w:sz w:val="28"/>
          <w:szCs w:val="28"/>
          <w:lang w:eastAsia="zh-CN"/>
        </w:rPr>
      </w:pPr>
      <w:r>
        <w:rPr>
          <w:rFonts w:hint="eastAsia"/>
          <w:b/>
          <w:sz w:val="28"/>
          <w:szCs w:val="28"/>
          <w:lang w:eastAsia="zh-CN"/>
        </w:rPr>
        <w:t>二、技术要求</w:t>
      </w:r>
    </w:p>
    <w:p>
      <w:pPr>
        <w:spacing w:line="360" w:lineRule="auto"/>
        <w:rPr>
          <w:rFonts w:hint="eastAsia"/>
          <w:b/>
          <w:sz w:val="28"/>
          <w:szCs w:val="28"/>
        </w:rPr>
      </w:pPr>
      <w:bookmarkStart w:id="0" w:name="_Toc37670350"/>
      <w:bookmarkStart w:id="1" w:name="文字29"/>
      <w:bookmarkStart w:id="2" w:name="_Toc49329250"/>
      <w:r>
        <w:rPr>
          <w:rFonts w:hint="eastAsia"/>
          <w:b/>
          <w:sz w:val="28"/>
          <w:szCs w:val="28"/>
          <w:lang w:val="en-US" w:eastAsia="zh-CN"/>
        </w:rPr>
        <w:t>1</w:t>
      </w:r>
      <w:r>
        <w:rPr>
          <w:rFonts w:hint="eastAsia"/>
          <w:b/>
          <w:sz w:val="28"/>
          <w:szCs w:val="28"/>
        </w:rPr>
        <w:t>.采购清单：</w:t>
      </w:r>
    </w:p>
    <w:tbl>
      <w:tblPr>
        <w:tblStyle w:val="17"/>
        <w:tblW w:w="10415"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775"/>
        <w:gridCol w:w="1395"/>
        <w:gridCol w:w="1440"/>
        <w:gridCol w:w="2805"/>
        <w:gridCol w:w="645"/>
        <w:gridCol w:w="10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源文件序号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病历封面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250克双铜纸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按样本（10种颜色）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产科入院健康宣教表单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产科母婴交接表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出院缴费通知书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经阴道分娩器械敷料清点记录单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03-3/改269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母乳喂养支持组织随访登记卡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盆底功能检测报告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03-7改333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身份证、母亲指印、新生儿脚印粘贴单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胎盘处置知情同意书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糖尿病营养膳食指南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63改327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温馨提示（产科血糖监测）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新生儿疾病筛查知情告知书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医疗付款方式征询书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中山市新生儿听力筛查报告单知情同意书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住院病历评分表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入院信息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妇科子宫腔镜检查与手术知情同意书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腹腔镜下子宫手术知情同意书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手术前（操作前）与家属谈话签字单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住院病历（辅助材料8页）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按样本，每份8页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处方笺（附方）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处方笺（麻、精一）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急诊病人记录单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口腔科X线检查会诊单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口腔科正畸组病历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口腔科种植组病历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CHA手术安全核查表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04改310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62改309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 ICU</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出入院病人登记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临床科室领血单（2联）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13.5*15.5cm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按样本，每本50份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医疗废物外包袋警示标识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病理活体组织检查申请单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电子肠镜检查预约单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电子内镜（胃/肠/胶囊/十二指肠/超声内镜等）检查申请单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病假证明书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12.5*14.5cm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多次治疗预约证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疾病诊断证明书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17.5*12.3cm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22.8*3.3*30.5cm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苦柏妇洁洗剂标签（方形）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苦柏妇洁洗剂药盒（冲洗瓶）</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16.5*10*11cm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46/改307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65改331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42.5*32*13cm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按样本，V838A加强美牛； 五层瓦楞；内衬纸加厚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护理安全知情同意书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开具麻醉药品、第一类精神药品处方登记专册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胃管入标识粘贴卡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有创性诊断、治疗操作（包括内、外科）同意书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300克白卡纸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327*245MM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按样本，开窗65*97MM，贴0.05透明PVC,封口位贴双面胶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病理科玻片标签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按样本(小张）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科负责人防火检查记录（周查）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每日消防安全检查情况表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皮测黄疸指数与血清胆红素结果</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103/改268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医疗服务告知通知书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02-7、02-8，77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麻醉药品、第一类精神药品入库、进出专库（柜登记专册）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按样本、每本50张，加封面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妇科流产手术同意书</w:t>
            </w:r>
            <w:r>
              <w:rPr>
                <w:rFonts w:hint="eastAsia" w:ascii="宋体" w:hAnsi="宋体" w:cs="宋体"/>
                <w:i w:val="0"/>
                <w:iCs w:val="0"/>
                <w:color w:val="000000"/>
                <w:kern w:val="0"/>
                <w:sz w:val="22"/>
                <w:szCs w:val="22"/>
                <w:u w:val="none"/>
                <w:lang w:val="en-US" w:eastAsia="zh-CN" w:bidi="ar"/>
              </w:rPr>
              <w:t xml:space="preserve">(取出宫内节育器手术知情同意书)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妇科入院健康宣教书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宫腔镜预约登记本（妇科）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口服米索前列醇告知书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盆底康复注意事项（妇科）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加蒲生化妇康颗粒药盒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呋喃西林溶液标签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按样本，10小张/张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X光、CT、MR、检查申请单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院内会诊单（急诊科）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新生儿床头卡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250克卡纸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消毒供应室承压类设备技术档案记录表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供应室消毒供应室外来器械及植入物灭菌监测记录表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医患双方不收和不送“红包”协议书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II级产前超声检查患者知情同意书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05改265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I级产前超声检查患者知情同意书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06改266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病历复印申请书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按样本，每本31张，加封面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产科婴儿心形挂牌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肠腹宁颗粒药盒</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8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15更改 305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电加热锅炉运行日志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膏方标签（空白）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膏方标签（说明）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大型检查贵重药品高值（自费、植入性）耗材使用知情告知书</w:t>
            </w:r>
            <w:r>
              <w:rPr>
                <w:rFonts w:hint="eastAsia" w:ascii="宋体" w:hAnsi="宋体" w:cs="宋体"/>
                <w:i w:val="0"/>
                <w:iCs w:val="0"/>
                <w:color w:val="000000"/>
                <w:kern w:val="0"/>
                <w:sz w:val="22"/>
                <w:szCs w:val="22"/>
                <w:u w:val="none"/>
                <w:lang w:val="en-US" w:eastAsia="zh-CN" w:bidi="ar"/>
              </w:rPr>
              <w:t>（急性脑梗死治疗高值耗材、贵重药品使用告知同意书）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97/改271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内部管理保安员巡查记录表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按样本，每本40张（双面）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入住重症监护室（ICU）告知书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中山市新生儿疾病免费筛查知情同意书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药品材料出库汇总表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按样本，两联上白下红，50份/本，胶左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暂收单汇总登记表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16.8*5.8*10cm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药械出入库登记卡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250克白板纸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天葵菌毒清颗粒礼品盒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坑纸+卡纸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33*10.6*15.7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制剂物料单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消毒供应中心工作满意度调查表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43*35*20cm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V838A加强美牛； 五层瓦楞；内衬纸加厚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按样本，一折两页，彩刷,包设计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按样本，三折四页，彩刷,包设计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按样本，全书16p，彩印，骑马钉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按样本，每本100张（双面），绿色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分娩镇痛知情同意书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中山市黄圃人民医院收款证明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19.1*10cm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新生儿安全责任书（产科）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产科出院告知书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150/改270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患者健康宣教表单(骨二科）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中心供氧运行记录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神经血液内科入院健康宣教书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医院公务车出车登记表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妇科口服药物流产告知书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妇科人流、药流预约流程（包括取环、上环）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药物流产记录表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妇科药物流产后告知书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妇科人流术后告知书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人流术病历及手术记录表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中山市黄圃人民医院舒适医疗麻醉知情同意书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）镜清洗消毒登记本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70克双胶纸+牛皮纸封面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拔牙术后须知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黄圃人民医院血液透析记录单（改版）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196改339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危险废物转移联单（上半月，下半月）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19*26.7cm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按样板、每份6页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药流病历（妇科）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按样板、每份10页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预约单（口腔科）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无痛药流术登记册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有痛人流术登记册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有痛药流术登记册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胸痛中心时间管理记录表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209/改241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病人申请退费凭（门诊部）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ASPECT评分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mRS评分表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NIHSS评分量表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大型耗材告知同意书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急性脑梗死静脉溶栓治疗同意书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急诊临时医嘱</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拒绝或放弃医学治疗告知书(急诊)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绿色通道化验单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218改302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脑血管介入治疗手术同意书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手术部位标记图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中山市黄圃人民医院卒中中心急性脑梗死血管内治疗时间控制表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中山市黄圃人民医院卒中中心绿色通道时间控制表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223改303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蛛网膜下腔出血的HUNT-HESS分级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盆底功能康复预约单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值班医师交接班记录本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按样本（100页/本） ，加封面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牙周龈下刮治及根面平整术知情同意书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妇科普查表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活血壮骨胶囊标签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养心复脉胶囊标签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参罗胶囊标签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利湿康肝胶囊标签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CRUSADE出血风险评估表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245改323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GRACE评分表-实用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244改321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纯音测听报告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儿童口腔体检表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发热门诊就诊患者留观告知书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黄圃人民医院供应室器械物品回收登记表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黄圃人民医院溶栓筛查表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急性心肌梗死溶栓治疗知情同意书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急性胸痛患者终止治疗知情同意书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介入诊断及治疗知情同意书(双面）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251改322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母乳喂养宣传手册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按样板，三折页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体检报告单及TST检测记录单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消毒供应室超大超重灭菌包检测结果记录表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胸痛时间管理表介入室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原始单据粘贴单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 单面 单色印刷（墨蓝色）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送健康惠群众单张（乳腺宣传）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按样本，A5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手术麻醉科麻醉药品、第一类精神药品专册记录表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《出生医学证明》签发知情告知书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（上午）电子结肠镜检查服药方法及注意事项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（下午）电子结肠镜检查服药方法及注意事项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胃、十二指肠、结肠镜检查知情同意书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中医体质辨识报告量表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慢性创面治疗（宣传文件）</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预防梅毒母婴传播药物服用及采取相关措施知情同意书（保密）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介入冠脉+支架植入手术收费单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介入治疗、造影护理记录单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神经外科介入收费单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急性心梗救治手册（宣传册子）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按样本，12页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PAC人流病历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按样本，每份11页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微生物工作记录表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A5纸大小</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血培养记录表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广东省非免疫规划疫苗知情同意书（人用狂犬疫苗）双面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企业使用易制毒化学品出入库登记表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企业人员进出易制毒化学品仓库情况登记表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企业易制毒化学品使用情况登记表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骨科熏洗液1号标签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骨科熏洗液2号标签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骨科熏洗液3号标签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活络液标签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四黄液标签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苦连肤康方标签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消肿止痛液标签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蛇蚁方标签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医疗废物标签（热敏）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体检报告表信封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100克牛皮纸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按样本，开天窗粘薄膜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有效期标识500*1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引流袋标识500*1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临床科室医院感染管理工作记录本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医技、门诊医院感染管理工作记录本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麻醉药品、第一类精神药品专账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药品类易制毒化学品专账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广东省医疗机构门（急）诊通用病历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通用版24P，单黑印，加封面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影像光盘纸壳套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450克白卡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成品22.5*31.5cm,展开尺寸45.0*44.5cm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按样板，双面彩印，过亚膜，异形啤、粘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影像胶片袋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OPP35/PE85复合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成品尺寸420*509*厚12C</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按样板，三边封，8色印刷，含模具费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中医体质辨识量表 儿童组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按样板，6页,双面打印,左钉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中山市黄圃人民医院收费处医疗业务收入现金缴款单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新入职护士规范化培训手册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按样板，约110页，封面彩色，双面单黑印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出院患者回访记录表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门诊随访登记表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按样本，每份2页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心力衰竭患者档案管理表格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按样本，每份4页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体检科套餐手册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157双铜彩印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全书36P，活页（每页打孔）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抢救车使用登记本(不封车)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抢救车使用登记本(封车)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手术室外麻醉同意书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外来器械及植入物管理记录单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日间麻醉复苏室监护记录单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麻醉舒适化治疗评估单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低温等离子消毒物品接收清单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“120”急救指挥中心院前急救记录单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21*29.5cm</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住院患者一般情况登记表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pPr>
        <w:spacing w:line="360" w:lineRule="auto"/>
        <w:ind w:firstLine="420" w:firstLineChars="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2、数量为年度估用量，按实际送货量结算，分批次下单。</w:t>
      </w:r>
    </w:p>
    <w:p>
      <w:pPr>
        <w:spacing w:line="360" w:lineRule="auto"/>
        <w:ind w:firstLine="420" w:firstLineChars="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3、采购清单内容根据医院需求可能会发生变更。</w:t>
      </w:r>
    </w:p>
    <w:p>
      <w:pPr>
        <w:widowControl/>
        <w:tabs>
          <w:tab w:val="left" w:pos="636"/>
        </w:tabs>
        <w:spacing w:line="460" w:lineRule="exact"/>
        <w:ind w:firstLine="420" w:firstLineChars="200"/>
        <w:jc w:val="left"/>
        <w:rPr>
          <w:rFonts w:hint="eastAsia"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lang w:val="en-US" w:eastAsia="zh-CN"/>
        </w:rPr>
        <w:t>4、成交供应商供货时，不在以上清单内的货物按照相同材料、尺寸及规格的货物报价进行结算。</w:t>
      </w:r>
    </w:p>
    <w:p>
      <w:pPr>
        <w:widowControl/>
        <w:tabs>
          <w:tab w:val="left" w:pos="636"/>
        </w:tabs>
        <w:spacing w:line="460" w:lineRule="exact"/>
        <w:ind w:firstLine="420" w:firstLineChars="200"/>
        <w:jc w:val="left"/>
        <w:rPr>
          <w:rFonts w:hint="default"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lang w:val="en-US" w:eastAsia="zh-CN"/>
        </w:rPr>
        <w:t>5、成交供应商供货时，不在以上清单内的货物且无相同材料、无相同尺寸及无相同规格的货物，由双方协商决定按市场价报价进行结算。</w:t>
      </w:r>
      <w:bookmarkStart w:id="3" w:name="_GoBack"/>
      <w:bookmarkEnd w:id="3"/>
    </w:p>
    <w:bookmarkEnd w:id="0"/>
    <w:bookmarkEnd w:id="1"/>
    <w:bookmarkEnd w:id="2"/>
    <w:p>
      <w:pPr>
        <w:widowControl/>
        <w:autoSpaceDE w:val="0"/>
        <w:autoSpaceDN w:val="0"/>
        <w:spacing w:line="460" w:lineRule="exact"/>
        <w:ind w:firstLine="420" w:firstLineChars="0"/>
        <w:jc w:val="left"/>
        <w:textAlignment w:val="bottom"/>
        <w:rPr>
          <w:rFonts w:hint="eastAsia" w:asciiTheme="minorEastAsia" w:hAnsiTheme="minorEastAsia" w:eastAsiaTheme="minorEastAsia" w:cstheme="minorEastAsia"/>
        </w:rPr>
      </w:pPr>
      <w:r>
        <w:rPr>
          <w:rFonts w:hint="eastAsia" w:ascii="宋体" w:hAnsi="宋体" w:eastAsia="宋体" w:cs="Times New Roman"/>
          <w:b/>
          <w:sz w:val="24"/>
          <w:lang w:val="en-US" w:eastAsia="zh-CN"/>
        </w:rPr>
        <w:t>二、商务要求</w:t>
      </w:r>
    </w:p>
    <w:tbl>
      <w:tblPr>
        <w:tblStyle w:val="17"/>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0"/>
        <w:gridCol w:w="74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3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402" w:type="dxa"/>
            <w:vAlign w:val="top"/>
          </w:tcPr>
          <w:p>
            <w:pPr>
              <w:pStyle w:val="32"/>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32"/>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402" w:type="dxa"/>
            <w:vAlign w:val="top"/>
          </w:tcPr>
          <w:p>
            <w:pPr>
              <w:pStyle w:val="32"/>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32"/>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402" w:type="dxa"/>
            <w:vAlign w:val="top"/>
          </w:tcPr>
          <w:p>
            <w:pPr>
              <w:pStyle w:val="32"/>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两年（具体起止时间以合同约定为准）或结算金额累计达到本项目采购预算金额时合同提前终止，以先到者为准。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860" w:type="dxa"/>
            <w:vAlign w:val="center"/>
          </w:tcPr>
          <w:p>
            <w:pPr>
              <w:pStyle w:val="32"/>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402" w:type="dxa"/>
            <w:vAlign w:val="top"/>
          </w:tcPr>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w:t>
            </w:r>
            <w:r>
              <w:rPr>
                <w:rFonts w:hint="eastAsia" w:ascii="宋体" w:cs="Tahoma"/>
                <w:color w:val="000000"/>
                <w:kern w:val="28"/>
                <w:sz w:val="21"/>
                <w:szCs w:val="21"/>
                <w:highlight w:val="none"/>
                <w:lang w:val="en-US" w:eastAsia="zh-CN" w:bidi="ar-SA"/>
              </w:rPr>
              <w:t>等</w:t>
            </w:r>
            <w:r>
              <w:rPr>
                <w:rFonts w:hint="eastAsia" w:ascii="宋体" w:hAnsi="Times New Roman" w:eastAsia="宋体" w:cs="Tahoma"/>
                <w:color w:val="000000"/>
                <w:kern w:val="28"/>
                <w:sz w:val="21"/>
                <w:szCs w:val="21"/>
                <w:highlight w:val="none"/>
                <w:lang w:val="en-US" w:eastAsia="zh-CN" w:bidi="ar-SA"/>
              </w:rPr>
              <w:t>申请资料且核对无误后，方可进行支付，从收到发票当天算起60日内支付款项。</w:t>
            </w:r>
          </w:p>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860" w:type="dxa"/>
            <w:vAlign w:val="center"/>
          </w:tcPr>
          <w:p>
            <w:pPr>
              <w:pStyle w:val="3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服务要求</w:t>
            </w:r>
          </w:p>
        </w:tc>
        <w:tc>
          <w:tcPr>
            <w:tcW w:w="7402" w:type="dxa"/>
            <w:vAlign w:val="top"/>
          </w:tcPr>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1、如货物出现质量问题成交供应商无偿更换。</w:t>
            </w:r>
          </w:p>
          <w:p>
            <w:pPr>
              <w:pStyle w:val="33"/>
              <w:pageBreakBefore w:val="0"/>
              <w:kinsoku/>
              <w:overflowPunct/>
              <w:bidi w:val="0"/>
              <w:spacing w:line="360" w:lineRule="auto"/>
              <w:ind w:left="0" w:leftChars="0" w:firstLine="0" w:firstLineChars="0"/>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cs="Tahoma"/>
                <w:color w:val="000000"/>
                <w:kern w:val="28"/>
                <w:sz w:val="21"/>
                <w:szCs w:val="21"/>
                <w:highlight w:val="none"/>
                <w:lang w:val="en-US" w:eastAsia="zh-CN" w:bidi="ar-SA"/>
              </w:rPr>
              <w:t>印刷字迹要清晰，套印准确，不能出现重页、缺页、掉页、倒装等问题，对采购人提供的文字和图片资料严格保密，不得外泄，否则需要承担相关法律责任。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860" w:type="dxa"/>
            <w:vAlign w:val="center"/>
          </w:tcPr>
          <w:p>
            <w:pPr>
              <w:pStyle w:val="32"/>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402" w:type="dxa"/>
            <w:vAlign w:val="top"/>
          </w:tcPr>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1、供货期限：自分批次的《广东政府采购智慧云平台电子卖场印刷服务定点采购合同》签订之日起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天内完成供货。</w:t>
            </w:r>
          </w:p>
          <w:p>
            <w:pPr>
              <w:pStyle w:val="3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32"/>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402" w:type="dxa"/>
            <w:vAlign w:val="top"/>
          </w:tcPr>
          <w:p>
            <w:pPr>
              <w:pStyle w:val="32"/>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402" w:type="dxa"/>
            <w:vAlign w:val="top"/>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工作人员工资、食宿、福利、服装、通信工具、社保、医疗、保险、运输、可预料的风险和措施、税费等所有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4、报价均应包含所有的税费。</w:t>
            </w:r>
          </w:p>
          <w:p>
            <w:pPr>
              <w:widowControl/>
              <w:spacing w:line="360" w:lineRule="auto"/>
              <w:jc w:val="left"/>
              <w:rPr>
                <w:rFonts w:hint="eastAsia"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5、报价需按报价表（详见附件2）报价，如名称、材料、尺寸、规格与报价表不一致，则视为无效报价。</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spacing w:line="360" w:lineRule="auto"/>
        <w:ind w:firstLine="420" w:firstLineChars="0"/>
        <w:rPr>
          <w:rFonts w:hint="eastAsia"/>
        </w:rPr>
      </w:pP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4"/>
      </w:rPr>
    </w:pPr>
    <w:r>
      <w:fldChar w:fldCharType="begin"/>
    </w:r>
    <w:r>
      <w:rPr>
        <w:rStyle w:val="14"/>
      </w:rPr>
      <w:instrText xml:space="preserve">PAGE  </w:instrTex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B0C09"/>
    <w:multiLevelType w:val="multilevel"/>
    <w:tmpl w:val="620B0C09"/>
    <w:lvl w:ilvl="0" w:tentative="0">
      <w:start w:val="1"/>
      <w:numFmt w:val="chineseCountingThousand"/>
      <w:pStyle w:val="3"/>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6"/>
      <w:isLgl/>
      <w:suff w:val="space"/>
      <w:lvlText w:val="%4."/>
      <w:lvlJc w:val="left"/>
      <w:pPr>
        <w:ind w:left="0" w:firstLine="680"/>
      </w:pPr>
      <w:rPr>
        <w:rFonts w:hint="eastAsia" w:ascii="宋体" w:eastAsia="宋体"/>
        <w:sz w:val="28"/>
      </w:rPr>
    </w:lvl>
    <w:lvl w:ilvl="4" w:tentative="0">
      <w:start w:val="1"/>
      <w:numFmt w:val="decimal"/>
      <w:pStyle w:val="7"/>
      <w:isLgl/>
      <w:suff w:val="space"/>
      <w:lvlText w:val="&lt;%5&gt;"/>
      <w:lvlJc w:val="left"/>
      <w:pPr>
        <w:ind w:left="0" w:firstLine="567"/>
      </w:pPr>
      <w:rPr>
        <w:rFonts w:hint="eastAsia" w:ascii="宋体" w:eastAsia="宋体"/>
        <w:sz w:val="28"/>
      </w:rPr>
    </w:lvl>
    <w:lvl w:ilvl="5" w:tentative="0">
      <w:start w:val="1"/>
      <w:numFmt w:val="upperLetter"/>
      <w:pStyle w:val="8"/>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3405A86"/>
    <w:rsid w:val="03476309"/>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680A35"/>
    <w:rsid w:val="116D1745"/>
    <w:rsid w:val="11D85B5D"/>
    <w:rsid w:val="125D4B35"/>
    <w:rsid w:val="13E96B19"/>
    <w:rsid w:val="15653CC3"/>
    <w:rsid w:val="164E3096"/>
    <w:rsid w:val="181F6584"/>
    <w:rsid w:val="185537F9"/>
    <w:rsid w:val="18B47123"/>
    <w:rsid w:val="196C266E"/>
    <w:rsid w:val="1A1F326C"/>
    <w:rsid w:val="1A610916"/>
    <w:rsid w:val="1B835872"/>
    <w:rsid w:val="1DBB1D54"/>
    <w:rsid w:val="1DDA7353"/>
    <w:rsid w:val="1E076382"/>
    <w:rsid w:val="1E697D41"/>
    <w:rsid w:val="1E814CE4"/>
    <w:rsid w:val="1EB04595"/>
    <w:rsid w:val="1F9A1D72"/>
    <w:rsid w:val="20351124"/>
    <w:rsid w:val="22F17478"/>
    <w:rsid w:val="22F84FCF"/>
    <w:rsid w:val="23CB0175"/>
    <w:rsid w:val="24B3311D"/>
    <w:rsid w:val="24D112C4"/>
    <w:rsid w:val="251F6380"/>
    <w:rsid w:val="26642547"/>
    <w:rsid w:val="26D1337E"/>
    <w:rsid w:val="2727621C"/>
    <w:rsid w:val="28F864B8"/>
    <w:rsid w:val="2B82491F"/>
    <w:rsid w:val="2BA40B3F"/>
    <w:rsid w:val="2BBA7506"/>
    <w:rsid w:val="2C7A3687"/>
    <w:rsid w:val="2D7D57BB"/>
    <w:rsid w:val="2E565D03"/>
    <w:rsid w:val="30147E13"/>
    <w:rsid w:val="3044137C"/>
    <w:rsid w:val="322F59CA"/>
    <w:rsid w:val="327F30E1"/>
    <w:rsid w:val="32DB50A5"/>
    <w:rsid w:val="32E31764"/>
    <w:rsid w:val="335A168C"/>
    <w:rsid w:val="33C2187C"/>
    <w:rsid w:val="35722C2E"/>
    <w:rsid w:val="36C16458"/>
    <w:rsid w:val="36C70CCB"/>
    <w:rsid w:val="37214136"/>
    <w:rsid w:val="387E5EAE"/>
    <w:rsid w:val="38B15019"/>
    <w:rsid w:val="38D26FCB"/>
    <w:rsid w:val="399E4DA5"/>
    <w:rsid w:val="39B9276C"/>
    <w:rsid w:val="3AE55A32"/>
    <w:rsid w:val="3B927F74"/>
    <w:rsid w:val="3C4A67AB"/>
    <w:rsid w:val="3C4E09B0"/>
    <w:rsid w:val="3DC25DBC"/>
    <w:rsid w:val="3E8071CF"/>
    <w:rsid w:val="3EE625E5"/>
    <w:rsid w:val="3F972F71"/>
    <w:rsid w:val="3FFE219F"/>
    <w:rsid w:val="40502DFC"/>
    <w:rsid w:val="40BC04D5"/>
    <w:rsid w:val="41627272"/>
    <w:rsid w:val="424C0551"/>
    <w:rsid w:val="4503057B"/>
    <w:rsid w:val="47502F51"/>
    <w:rsid w:val="475F51F4"/>
    <w:rsid w:val="4802461E"/>
    <w:rsid w:val="48254C52"/>
    <w:rsid w:val="48724BD7"/>
    <w:rsid w:val="49FC34AE"/>
    <w:rsid w:val="4A0475CB"/>
    <w:rsid w:val="4A6F7C28"/>
    <w:rsid w:val="4A9078A2"/>
    <w:rsid w:val="4AF8171A"/>
    <w:rsid w:val="4C3B36B6"/>
    <w:rsid w:val="4DAB5DC0"/>
    <w:rsid w:val="50075E26"/>
    <w:rsid w:val="50917A95"/>
    <w:rsid w:val="50CD6382"/>
    <w:rsid w:val="5193081F"/>
    <w:rsid w:val="51BA5FA0"/>
    <w:rsid w:val="52921486"/>
    <w:rsid w:val="5315677F"/>
    <w:rsid w:val="537E1BD0"/>
    <w:rsid w:val="55F70F38"/>
    <w:rsid w:val="570A479C"/>
    <w:rsid w:val="57612AE7"/>
    <w:rsid w:val="5772338C"/>
    <w:rsid w:val="585761B6"/>
    <w:rsid w:val="58B96B93"/>
    <w:rsid w:val="58D52413"/>
    <w:rsid w:val="590D02DF"/>
    <w:rsid w:val="596F4FAE"/>
    <w:rsid w:val="59E551A6"/>
    <w:rsid w:val="5AA25250"/>
    <w:rsid w:val="5B870FDA"/>
    <w:rsid w:val="5B903137"/>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9666BE"/>
    <w:rsid w:val="64A72804"/>
    <w:rsid w:val="64C02D78"/>
    <w:rsid w:val="6506581F"/>
    <w:rsid w:val="6567723C"/>
    <w:rsid w:val="657A5707"/>
    <w:rsid w:val="67E550AD"/>
    <w:rsid w:val="6914391C"/>
    <w:rsid w:val="693078E5"/>
    <w:rsid w:val="69EC2FEE"/>
    <w:rsid w:val="6A8F7F00"/>
    <w:rsid w:val="6CE25252"/>
    <w:rsid w:val="6E985C34"/>
    <w:rsid w:val="6EB300D0"/>
    <w:rsid w:val="6EF62DAD"/>
    <w:rsid w:val="70A1695E"/>
    <w:rsid w:val="723824EF"/>
    <w:rsid w:val="72E80413"/>
    <w:rsid w:val="73093820"/>
    <w:rsid w:val="744D435B"/>
    <w:rsid w:val="75EA455F"/>
    <w:rsid w:val="7624284A"/>
    <w:rsid w:val="76752849"/>
    <w:rsid w:val="7840675B"/>
    <w:rsid w:val="78D22C65"/>
    <w:rsid w:val="78FD287C"/>
    <w:rsid w:val="7A3D0439"/>
    <w:rsid w:val="7B79087A"/>
    <w:rsid w:val="7BB55FE6"/>
    <w:rsid w:val="7CF6260D"/>
    <w:rsid w:val="7E8578A0"/>
    <w:rsid w:val="7F853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3"/>
        <w:numId w:val="1"/>
      </w:numPr>
      <w:outlineLvl w:val="3"/>
    </w:pPr>
    <w:rPr>
      <w:rFonts w:ascii="宋体"/>
      <w:color w:val="0000FF"/>
      <w:sz w:val="28"/>
      <w:szCs w:val="20"/>
    </w:rPr>
  </w:style>
  <w:style w:type="paragraph" w:styleId="7">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8">
    <w:name w:val="heading 6"/>
    <w:basedOn w:val="1"/>
    <w:next w:val="1"/>
    <w:qFormat/>
    <w:uiPriority w:val="0"/>
    <w:pPr>
      <w:numPr>
        <w:ilvl w:val="5"/>
        <w:numId w:val="1"/>
      </w:numPr>
      <w:outlineLvl w:val="5"/>
    </w:pPr>
    <w:rPr>
      <w:color w:val="0000FF"/>
      <w:sz w:val="28"/>
      <w:szCs w:val="20"/>
    </w:rPr>
  </w:style>
  <w:style w:type="character" w:default="1" w:styleId="13">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8"/>
    </w:rPr>
  </w:style>
  <w:style w:type="paragraph" w:styleId="9">
    <w:name w:val="annotation text"/>
    <w:basedOn w:val="1"/>
    <w:semiHidden/>
    <w:qFormat/>
    <w:uiPriority w:val="0"/>
    <w:pPr>
      <w:jc w:val="left"/>
    </w:pPr>
    <w:rPr>
      <w:color w:val="0000FF"/>
      <w:sz w:val="24"/>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character" w:customStyle="1" w:styleId="18">
    <w:name w:val="页眉 Char"/>
    <w:link w:val="12"/>
    <w:qFormat/>
    <w:uiPriority w:val="0"/>
    <w:rPr>
      <w:kern w:val="2"/>
      <w:sz w:val="18"/>
      <w:szCs w:val="18"/>
    </w:rPr>
  </w:style>
  <w:style w:type="paragraph" w:customStyle="1" w:styleId="19">
    <w:name w:val="Normal"/>
    <w:qFormat/>
    <w:uiPriority w:val="0"/>
    <w:pPr>
      <w:widowControl w:val="0"/>
      <w:jc w:val="both"/>
    </w:pPr>
    <w:rPr>
      <w:rFonts w:ascii="Calibri" w:hAnsi="Calibri" w:eastAsia="宋体" w:cs="Times New Roman"/>
      <w:lang w:val="en-US" w:eastAsia="zh-CN" w:bidi="ar-SA"/>
    </w:rPr>
  </w:style>
  <w:style w:type="paragraph" w:customStyle="1" w:styleId="2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26">
    <w:name w:val="List Paragraph"/>
    <w:basedOn w:val="1"/>
    <w:qFormat/>
    <w:uiPriority w:val="34"/>
    <w:pPr>
      <w:ind w:firstLine="420" w:firstLineChars="200"/>
    </w:pPr>
  </w:style>
  <w:style w:type="paragraph" w:customStyle="1" w:styleId="2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Char Char"/>
    <w:basedOn w:val="1"/>
    <w:qFormat/>
    <w:uiPriority w:val="0"/>
    <w:rPr>
      <w:rFonts w:ascii="Tahoma" w:hAnsi="Tahoma"/>
      <w:sz w:val="24"/>
      <w:szCs w:val="20"/>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3">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8923</Words>
  <Characters>12819</Characters>
  <Lines>8</Lines>
  <Paragraphs>2</Paragraphs>
  <ScaleCrop>false</ScaleCrop>
  <LinksUpToDate>false</LinksUpToDate>
  <CharactersWithSpaces>14227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李铜光</cp:lastModifiedBy>
  <cp:lastPrinted>2014-12-12T03:16:00Z</cp:lastPrinted>
  <dcterms:modified xsi:type="dcterms:W3CDTF">2025-11-04T02:44:55Z</dcterms:modified>
  <dc:title>用户需求书（参考格式）</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eyJoZGlkIjoiMjAyNDk0OTM5ZjE2MDUwMDJiMWIwZGQwMjQwZjRmZDAiLCJ1c2VySWQiOiI0NDc4NzM5NzgifQ==</vt:lpwstr>
  </property>
</Properties>
</file>