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294D6">
      <w:pPr>
        <w:pStyle w:val="5"/>
        <w:outlineLvl w:val="1"/>
        <w:rPr>
          <w:b/>
          <w:color w:val="000000"/>
          <w:sz w:val="21"/>
        </w:rPr>
      </w:pPr>
      <w:r>
        <w:rPr>
          <w:b/>
          <w:color w:val="000000"/>
          <w:sz w:val="21"/>
        </w:rPr>
        <w:t>附件</w:t>
      </w:r>
      <w:r>
        <w:rPr>
          <w:rFonts w:hint="eastAsia"/>
          <w:b/>
          <w:color w:val="000000"/>
          <w:sz w:val="21"/>
          <w:lang w:val="en-US" w:eastAsia="zh-CN"/>
        </w:rPr>
        <w:t>3</w:t>
      </w:r>
      <w:r>
        <w:rPr>
          <w:b/>
          <w:color w:val="000000"/>
          <w:sz w:val="21"/>
        </w:rPr>
        <w:t>：</w:t>
      </w:r>
      <w:bookmarkStart w:id="0" w:name="_GoBack"/>
      <w:bookmarkEnd w:id="0"/>
    </w:p>
    <w:p w14:paraId="093ED224">
      <w:pPr>
        <w:pStyle w:val="5"/>
        <w:jc w:val="center"/>
        <w:outlineLvl w:val="1"/>
        <w:rPr>
          <w:rFonts w:hint="default"/>
        </w:rPr>
      </w:pPr>
      <w:r>
        <w:rPr>
          <w:b/>
          <w:color w:val="000000"/>
          <w:sz w:val="32"/>
          <w:szCs w:val="32"/>
        </w:rPr>
        <w:t>考核表</w:t>
      </w:r>
    </w:p>
    <w:tbl>
      <w:tblPr>
        <w:tblStyle w:val="3"/>
        <w:tblW w:w="0" w:type="auto"/>
        <w:tblInd w:w="1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6"/>
        <w:gridCol w:w="894"/>
        <w:gridCol w:w="4042"/>
        <w:gridCol w:w="2781"/>
      </w:tblGrid>
      <w:tr w14:paraId="3BD2ED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79D65E0">
            <w:pPr>
              <w:pStyle w:val="5"/>
              <w:jc w:val="center"/>
              <w:rPr>
                <w:rFonts w:hint="default"/>
              </w:rPr>
            </w:pPr>
            <w:r>
              <w:rPr>
                <w:color w:val="000000"/>
                <w:sz w:val="21"/>
              </w:rPr>
              <w:t>序号</w:t>
            </w:r>
          </w:p>
        </w:tc>
        <w:tc>
          <w:tcPr>
            <w:tcW w:w="894"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60DD4B3">
            <w:pPr>
              <w:pStyle w:val="5"/>
              <w:jc w:val="center"/>
              <w:rPr>
                <w:rFonts w:hint="default"/>
              </w:rPr>
            </w:pPr>
            <w:r>
              <w:rPr>
                <w:color w:val="000000"/>
                <w:sz w:val="21"/>
              </w:rPr>
              <w:t>评分维度</w:t>
            </w:r>
          </w:p>
        </w:tc>
        <w:tc>
          <w:tcPr>
            <w:tcW w:w="4042"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1BEE4C0">
            <w:pPr>
              <w:pStyle w:val="5"/>
              <w:jc w:val="center"/>
              <w:rPr>
                <w:rFonts w:hint="default"/>
              </w:rPr>
            </w:pPr>
            <w:r>
              <w:rPr>
                <w:color w:val="000000"/>
                <w:sz w:val="21"/>
              </w:rPr>
              <w:t>考核办法</w:t>
            </w:r>
          </w:p>
        </w:tc>
        <w:tc>
          <w:tcPr>
            <w:tcW w:w="2781" w:type="dxa"/>
            <w:vMerge w:val="restart"/>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9F5F2F3">
            <w:pPr>
              <w:pStyle w:val="5"/>
              <w:jc w:val="center"/>
              <w:rPr>
                <w:rFonts w:hint="default"/>
              </w:rPr>
            </w:pPr>
            <w:r>
              <w:rPr>
                <w:color w:val="000000"/>
                <w:sz w:val="21"/>
              </w:rPr>
              <w:t>评分细则</w:t>
            </w:r>
          </w:p>
        </w:tc>
      </w:tr>
      <w:tr w14:paraId="6D6C28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top w:val="single" w:color="000000" w:sz="4" w:space="0"/>
              <w:left w:val="single" w:color="000000" w:sz="4" w:space="0"/>
              <w:bottom w:val="single" w:color="000000" w:sz="4" w:space="0"/>
              <w:right w:val="single" w:color="000000" w:sz="4" w:space="0"/>
            </w:tcBorders>
            <w:noWrap w:val="0"/>
            <w:vAlign w:val="top"/>
          </w:tcPr>
          <w:p w14:paraId="52514DA1"/>
        </w:tc>
        <w:tc>
          <w:tcPr>
            <w:tcW w:w="894" w:type="dxa"/>
            <w:vMerge w:val="continue"/>
            <w:tcBorders>
              <w:top w:val="single" w:color="000000" w:sz="4" w:space="0"/>
              <w:left w:val="single" w:color="000000" w:sz="4" w:space="0"/>
              <w:bottom w:val="single" w:color="000000" w:sz="4" w:space="0"/>
              <w:right w:val="single" w:color="000000" w:sz="4" w:space="0"/>
            </w:tcBorders>
            <w:noWrap w:val="0"/>
            <w:vAlign w:val="top"/>
          </w:tcPr>
          <w:p w14:paraId="37F8508B"/>
        </w:tc>
        <w:tc>
          <w:tcPr>
            <w:tcW w:w="4042" w:type="dxa"/>
            <w:vMerge w:val="continue"/>
            <w:tcBorders>
              <w:top w:val="single" w:color="000000" w:sz="4" w:space="0"/>
              <w:left w:val="single" w:color="000000" w:sz="4" w:space="0"/>
              <w:bottom w:val="single" w:color="000000" w:sz="4" w:space="0"/>
              <w:right w:val="single" w:color="000000" w:sz="4" w:space="0"/>
            </w:tcBorders>
            <w:noWrap w:val="0"/>
            <w:vAlign w:val="top"/>
          </w:tcPr>
          <w:p w14:paraId="5D062A11"/>
        </w:tc>
        <w:tc>
          <w:tcPr>
            <w:tcW w:w="2781" w:type="dxa"/>
            <w:vMerge w:val="continue"/>
            <w:tcBorders>
              <w:top w:val="single" w:color="000000" w:sz="4" w:space="0"/>
              <w:left w:val="single" w:color="000000" w:sz="4" w:space="0"/>
              <w:bottom w:val="single" w:color="000000" w:sz="4" w:space="0"/>
              <w:right w:val="single" w:color="000000" w:sz="4" w:space="0"/>
            </w:tcBorders>
            <w:noWrap w:val="0"/>
            <w:vAlign w:val="top"/>
          </w:tcPr>
          <w:p w14:paraId="3B1549F0"/>
        </w:tc>
      </w:tr>
      <w:tr w14:paraId="65206B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7481B21">
            <w:pPr>
              <w:pStyle w:val="5"/>
              <w:rPr>
                <w:rFonts w:hint="default"/>
              </w:rPr>
            </w:pPr>
            <w:r>
              <w:rPr>
                <w:color w:val="000000"/>
                <w:sz w:val="21"/>
              </w:rPr>
              <w:t>1</w:t>
            </w:r>
          </w:p>
        </w:tc>
        <w:tc>
          <w:tcPr>
            <w:tcW w:w="894"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9345F2B">
            <w:pPr>
              <w:pStyle w:val="5"/>
              <w:rPr>
                <w:rFonts w:hint="default"/>
              </w:rPr>
            </w:pPr>
            <w:r>
              <w:rPr>
                <w:color w:val="000000"/>
                <w:sz w:val="21"/>
              </w:rPr>
              <w:t>重大故障出现次数</w:t>
            </w:r>
          </w:p>
        </w:tc>
        <w:tc>
          <w:tcPr>
            <w:tcW w:w="4042"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DF92396">
            <w:pPr>
              <w:pStyle w:val="5"/>
              <w:rPr>
                <w:rFonts w:hint="default"/>
              </w:rPr>
            </w:pPr>
            <w:r>
              <w:rPr>
                <w:color w:val="000000"/>
                <w:sz w:val="21"/>
              </w:rPr>
              <w:t>由于中标人故障（非采购人责任）造成的以下重大IT系统事故的：</w:t>
            </w:r>
          </w:p>
          <w:p w14:paraId="5ACA0E2F">
            <w:pPr>
              <w:pStyle w:val="5"/>
              <w:rPr>
                <w:rFonts w:hint="default"/>
              </w:rPr>
            </w:pPr>
            <w:r>
              <w:rPr>
                <w:color w:val="000000"/>
                <w:sz w:val="21"/>
              </w:rPr>
              <w:t>1、核心系统（门诊挂号、缴费、医保等）无法正常运行导致对外业务和服务不能开展，影响营业持续时间超过1小时。</w:t>
            </w:r>
          </w:p>
          <w:p w14:paraId="00F43310">
            <w:pPr>
              <w:pStyle w:val="5"/>
              <w:rPr>
                <w:rFonts w:hint="default"/>
              </w:rPr>
            </w:pPr>
            <w:r>
              <w:rPr>
                <w:color w:val="000000"/>
                <w:sz w:val="21"/>
              </w:rPr>
              <w:t>2、非核心系统无法正常运行导致服务不能开展，影响工作持续时间超过8小时。</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3FED150">
            <w:pPr>
              <w:pStyle w:val="5"/>
              <w:rPr>
                <w:rFonts w:hint="default"/>
              </w:rPr>
            </w:pPr>
            <w:r>
              <w:rPr>
                <w:color w:val="000000"/>
                <w:sz w:val="21"/>
              </w:rPr>
              <w:t>每发生一次，扣30分。</w:t>
            </w:r>
          </w:p>
        </w:tc>
      </w:tr>
      <w:tr w14:paraId="4AE387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vMerge w:val="continue"/>
            <w:tcBorders>
              <w:left w:val="single" w:color="000000" w:sz="4" w:space="0"/>
              <w:bottom w:val="single" w:color="000000" w:sz="4" w:space="0"/>
              <w:right w:val="single" w:color="000000" w:sz="4" w:space="0"/>
            </w:tcBorders>
            <w:noWrap w:val="0"/>
            <w:vAlign w:val="top"/>
          </w:tcPr>
          <w:p w14:paraId="72B9BFB2"/>
        </w:tc>
        <w:tc>
          <w:tcPr>
            <w:tcW w:w="894" w:type="dxa"/>
            <w:vMerge w:val="continue"/>
            <w:tcBorders>
              <w:left w:val="single" w:color="000000" w:sz="4" w:space="0"/>
              <w:bottom w:val="single" w:color="000000" w:sz="4" w:space="0"/>
              <w:right w:val="single" w:color="000000" w:sz="4" w:space="0"/>
            </w:tcBorders>
            <w:noWrap w:val="0"/>
            <w:vAlign w:val="top"/>
          </w:tcPr>
          <w:p w14:paraId="1AF773AF"/>
        </w:tc>
        <w:tc>
          <w:tcPr>
            <w:tcW w:w="4042"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DD023FE">
            <w:pPr>
              <w:pStyle w:val="5"/>
              <w:rPr>
                <w:rFonts w:hint="default"/>
              </w:rPr>
            </w:pPr>
            <w:r>
              <w:rPr>
                <w:color w:val="000000"/>
                <w:sz w:val="21"/>
              </w:rPr>
              <w:t>由于中标人系统问题及运维失误引发安全事故的。</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5D2C752">
            <w:pPr>
              <w:pStyle w:val="5"/>
              <w:rPr>
                <w:rFonts w:hint="default"/>
              </w:rPr>
            </w:pPr>
            <w:r>
              <w:rPr>
                <w:color w:val="000000"/>
                <w:sz w:val="21"/>
              </w:rPr>
              <w:t>每发生一次，扣10分。</w:t>
            </w:r>
          </w:p>
        </w:tc>
      </w:tr>
      <w:tr w14:paraId="3FD507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C2436BB">
            <w:pPr>
              <w:pStyle w:val="5"/>
              <w:jc w:val="center"/>
              <w:rPr>
                <w:rFonts w:hint="default"/>
              </w:rPr>
            </w:pPr>
            <w:r>
              <w:rPr>
                <w:color w:val="000000"/>
                <w:sz w:val="21"/>
              </w:rPr>
              <w:t>2</w:t>
            </w:r>
          </w:p>
        </w:tc>
        <w:tc>
          <w:tcPr>
            <w:tcW w:w="894"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F67D6D7">
            <w:pPr>
              <w:pStyle w:val="5"/>
              <w:rPr>
                <w:rFonts w:hint="default"/>
              </w:rPr>
            </w:pPr>
            <w:r>
              <w:rPr>
                <w:color w:val="000000"/>
                <w:sz w:val="21"/>
              </w:rPr>
              <w:t>重大故障处理情况</w:t>
            </w:r>
          </w:p>
        </w:tc>
        <w:tc>
          <w:tcPr>
            <w:tcW w:w="4042"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FF81FA5">
            <w:pPr>
              <w:pStyle w:val="5"/>
              <w:rPr>
                <w:rFonts w:hint="default"/>
              </w:rPr>
            </w:pPr>
            <w:r>
              <w:rPr>
                <w:color w:val="000000"/>
                <w:sz w:val="21"/>
              </w:rPr>
              <w:t>中标人需与采购人共同定义故障级别、并按以下处理时间要求处理：</w:t>
            </w:r>
          </w:p>
          <w:p w14:paraId="755879AC">
            <w:pPr>
              <w:pStyle w:val="5"/>
              <w:rPr>
                <w:rFonts w:hint="default"/>
              </w:rPr>
            </w:pPr>
            <w:r>
              <w:rPr>
                <w:color w:val="000000"/>
                <w:sz w:val="21"/>
              </w:rPr>
              <w:t>1、重大故障：严重影响正常业务运行，或业务中断，需在1小时内处理完成。</w:t>
            </w:r>
          </w:p>
          <w:p w14:paraId="75FAF113">
            <w:pPr>
              <w:pStyle w:val="5"/>
              <w:rPr>
                <w:rFonts w:hint="default"/>
              </w:rPr>
            </w:pPr>
            <w:r>
              <w:rPr>
                <w:color w:val="000000"/>
                <w:sz w:val="21"/>
              </w:rPr>
              <w:t>2、中等故障：影响正常业务运行，但通过其他方式可折中处理，需在4小时内处理完成。</w:t>
            </w:r>
          </w:p>
          <w:p w14:paraId="31B880C2">
            <w:pPr>
              <w:pStyle w:val="5"/>
              <w:rPr>
                <w:rFonts w:hint="default"/>
              </w:rPr>
            </w:pPr>
            <w:r>
              <w:rPr>
                <w:color w:val="000000"/>
                <w:sz w:val="21"/>
              </w:rPr>
              <w:t>3、轻微故障：对正常业务无影响，但妨碍业务运行及操作，需在24小时内处理完成。</w:t>
            </w:r>
          </w:p>
        </w:tc>
        <w:tc>
          <w:tcPr>
            <w:tcW w:w="2781"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FB56FCD">
            <w:pPr>
              <w:pStyle w:val="5"/>
              <w:rPr>
                <w:rFonts w:hint="default"/>
              </w:rPr>
            </w:pPr>
            <w:r>
              <w:rPr>
                <w:color w:val="000000"/>
                <w:sz w:val="21"/>
              </w:rPr>
              <w:t>针对不同级别故障处理恢复需在约定的时间内，如超出1次，扣10分</w:t>
            </w:r>
          </w:p>
        </w:tc>
      </w:tr>
      <w:tr w14:paraId="0F53AB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08075C30"/>
        </w:tc>
        <w:tc>
          <w:tcPr>
            <w:tcW w:w="894" w:type="dxa"/>
            <w:vMerge w:val="continue"/>
            <w:tcBorders>
              <w:left w:val="single" w:color="000000" w:sz="4" w:space="0"/>
              <w:bottom w:val="single" w:color="000000" w:sz="4" w:space="0"/>
              <w:right w:val="single" w:color="000000" w:sz="4" w:space="0"/>
            </w:tcBorders>
            <w:noWrap w:val="0"/>
            <w:vAlign w:val="top"/>
          </w:tcPr>
          <w:p w14:paraId="5966C6D4"/>
        </w:tc>
        <w:tc>
          <w:tcPr>
            <w:tcW w:w="4042" w:type="dxa"/>
            <w:vMerge w:val="continue"/>
            <w:tcBorders>
              <w:left w:val="single" w:color="000000" w:sz="4" w:space="0"/>
              <w:bottom w:val="single" w:color="000000" w:sz="4" w:space="0"/>
              <w:right w:val="single" w:color="000000" w:sz="4" w:space="0"/>
            </w:tcBorders>
            <w:noWrap w:val="0"/>
            <w:vAlign w:val="top"/>
          </w:tcPr>
          <w:p w14:paraId="1BE0183B"/>
        </w:tc>
        <w:tc>
          <w:tcPr>
            <w:tcW w:w="2781" w:type="dxa"/>
            <w:vMerge w:val="continue"/>
            <w:tcBorders>
              <w:left w:val="single" w:color="000000" w:sz="4" w:space="0"/>
              <w:bottom w:val="single" w:color="000000" w:sz="4" w:space="0"/>
              <w:right w:val="single" w:color="000000" w:sz="4" w:space="0"/>
            </w:tcBorders>
            <w:noWrap w:val="0"/>
            <w:vAlign w:val="top"/>
          </w:tcPr>
          <w:p w14:paraId="089723BE"/>
        </w:tc>
      </w:tr>
      <w:tr w14:paraId="739F2D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70363679"/>
        </w:tc>
        <w:tc>
          <w:tcPr>
            <w:tcW w:w="894" w:type="dxa"/>
            <w:vMerge w:val="continue"/>
            <w:tcBorders>
              <w:left w:val="single" w:color="000000" w:sz="4" w:space="0"/>
              <w:bottom w:val="single" w:color="000000" w:sz="4" w:space="0"/>
              <w:right w:val="single" w:color="000000" w:sz="4" w:space="0"/>
            </w:tcBorders>
            <w:noWrap w:val="0"/>
            <w:vAlign w:val="top"/>
          </w:tcPr>
          <w:p w14:paraId="2F734C48"/>
        </w:tc>
        <w:tc>
          <w:tcPr>
            <w:tcW w:w="4042" w:type="dxa"/>
            <w:vMerge w:val="continue"/>
            <w:tcBorders>
              <w:left w:val="single" w:color="000000" w:sz="4" w:space="0"/>
              <w:bottom w:val="single" w:color="000000" w:sz="4" w:space="0"/>
              <w:right w:val="single" w:color="000000" w:sz="4" w:space="0"/>
            </w:tcBorders>
            <w:noWrap w:val="0"/>
            <w:vAlign w:val="top"/>
          </w:tcPr>
          <w:p w14:paraId="0943BF03"/>
        </w:tc>
        <w:tc>
          <w:tcPr>
            <w:tcW w:w="2781" w:type="dxa"/>
            <w:vMerge w:val="continue"/>
            <w:tcBorders>
              <w:left w:val="single" w:color="000000" w:sz="4" w:space="0"/>
              <w:bottom w:val="single" w:color="000000" w:sz="4" w:space="0"/>
              <w:right w:val="single" w:color="000000" w:sz="4" w:space="0"/>
            </w:tcBorders>
            <w:noWrap w:val="0"/>
            <w:vAlign w:val="top"/>
          </w:tcPr>
          <w:p w14:paraId="47BB0249"/>
        </w:tc>
      </w:tr>
      <w:tr w14:paraId="578D09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193B1B66"/>
        </w:tc>
        <w:tc>
          <w:tcPr>
            <w:tcW w:w="894" w:type="dxa"/>
            <w:vMerge w:val="continue"/>
            <w:tcBorders>
              <w:left w:val="single" w:color="000000" w:sz="4" w:space="0"/>
              <w:bottom w:val="single" w:color="000000" w:sz="4" w:space="0"/>
              <w:right w:val="single" w:color="000000" w:sz="4" w:space="0"/>
            </w:tcBorders>
            <w:noWrap w:val="0"/>
            <w:vAlign w:val="top"/>
          </w:tcPr>
          <w:p w14:paraId="5FD9BC2B"/>
        </w:tc>
        <w:tc>
          <w:tcPr>
            <w:tcW w:w="4042" w:type="dxa"/>
            <w:vMerge w:val="continue"/>
            <w:tcBorders>
              <w:left w:val="single" w:color="000000" w:sz="4" w:space="0"/>
              <w:bottom w:val="single" w:color="000000" w:sz="4" w:space="0"/>
              <w:right w:val="single" w:color="000000" w:sz="4" w:space="0"/>
            </w:tcBorders>
            <w:noWrap w:val="0"/>
            <w:vAlign w:val="top"/>
          </w:tcPr>
          <w:p w14:paraId="3F98D2FE"/>
        </w:tc>
        <w:tc>
          <w:tcPr>
            <w:tcW w:w="2781" w:type="dxa"/>
            <w:vMerge w:val="continue"/>
            <w:tcBorders>
              <w:left w:val="single" w:color="000000" w:sz="4" w:space="0"/>
              <w:bottom w:val="single" w:color="000000" w:sz="4" w:space="0"/>
              <w:right w:val="single" w:color="000000" w:sz="4" w:space="0"/>
            </w:tcBorders>
            <w:noWrap w:val="0"/>
            <w:vAlign w:val="top"/>
          </w:tcPr>
          <w:p w14:paraId="385D61E2"/>
        </w:tc>
      </w:tr>
      <w:tr w14:paraId="3332B2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467DBDA7"/>
        </w:tc>
        <w:tc>
          <w:tcPr>
            <w:tcW w:w="894" w:type="dxa"/>
            <w:vMerge w:val="continue"/>
            <w:tcBorders>
              <w:left w:val="single" w:color="000000" w:sz="4" w:space="0"/>
              <w:bottom w:val="single" w:color="000000" w:sz="4" w:space="0"/>
              <w:right w:val="single" w:color="000000" w:sz="4" w:space="0"/>
            </w:tcBorders>
            <w:noWrap w:val="0"/>
            <w:vAlign w:val="top"/>
          </w:tcPr>
          <w:p w14:paraId="50DC3B29"/>
        </w:tc>
        <w:tc>
          <w:tcPr>
            <w:tcW w:w="4042" w:type="dxa"/>
            <w:vMerge w:val="continue"/>
            <w:tcBorders>
              <w:left w:val="single" w:color="000000" w:sz="4" w:space="0"/>
              <w:bottom w:val="single" w:color="000000" w:sz="4" w:space="0"/>
              <w:right w:val="single" w:color="000000" w:sz="4" w:space="0"/>
            </w:tcBorders>
            <w:noWrap w:val="0"/>
            <w:vAlign w:val="top"/>
          </w:tcPr>
          <w:p w14:paraId="2E48F102"/>
        </w:tc>
        <w:tc>
          <w:tcPr>
            <w:tcW w:w="2781" w:type="dxa"/>
            <w:vMerge w:val="continue"/>
            <w:tcBorders>
              <w:left w:val="single" w:color="000000" w:sz="4" w:space="0"/>
              <w:bottom w:val="single" w:color="000000" w:sz="4" w:space="0"/>
              <w:right w:val="single" w:color="000000" w:sz="4" w:space="0"/>
            </w:tcBorders>
            <w:noWrap w:val="0"/>
            <w:vAlign w:val="top"/>
          </w:tcPr>
          <w:p w14:paraId="05BA39E1"/>
        </w:tc>
      </w:tr>
      <w:tr w14:paraId="210491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6F6708E8"/>
        </w:tc>
        <w:tc>
          <w:tcPr>
            <w:tcW w:w="894" w:type="dxa"/>
            <w:vMerge w:val="continue"/>
            <w:tcBorders>
              <w:left w:val="single" w:color="000000" w:sz="4" w:space="0"/>
              <w:bottom w:val="single" w:color="000000" w:sz="4" w:space="0"/>
              <w:right w:val="single" w:color="000000" w:sz="4" w:space="0"/>
            </w:tcBorders>
            <w:noWrap w:val="0"/>
            <w:vAlign w:val="top"/>
          </w:tcPr>
          <w:p w14:paraId="657F80CB"/>
        </w:tc>
        <w:tc>
          <w:tcPr>
            <w:tcW w:w="4042"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8C9D2F6">
            <w:pPr>
              <w:pStyle w:val="5"/>
              <w:rPr>
                <w:rFonts w:hint="default"/>
              </w:rPr>
            </w:pPr>
            <w:r>
              <w:rPr>
                <w:color w:val="000000"/>
                <w:sz w:val="21"/>
              </w:rPr>
              <w:t>由于采购人原因造成的重点业务及服务故障，中标人主动积极提供解决方案并协助故障处理。</w:t>
            </w:r>
          </w:p>
        </w:tc>
        <w:tc>
          <w:tcPr>
            <w:tcW w:w="2781"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8A2FAD4">
            <w:pPr>
              <w:pStyle w:val="5"/>
              <w:rPr>
                <w:rFonts w:hint="default"/>
              </w:rPr>
            </w:pPr>
            <w:r>
              <w:rPr>
                <w:color w:val="000000"/>
                <w:sz w:val="21"/>
              </w:rPr>
              <w:t>经采购人确认后，每次加5分。</w:t>
            </w:r>
          </w:p>
        </w:tc>
      </w:tr>
      <w:tr w14:paraId="756D95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3992B0C5"/>
        </w:tc>
        <w:tc>
          <w:tcPr>
            <w:tcW w:w="894" w:type="dxa"/>
            <w:vMerge w:val="continue"/>
            <w:tcBorders>
              <w:left w:val="single" w:color="000000" w:sz="4" w:space="0"/>
              <w:bottom w:val="single" w:color="000000" w:sz="4" w:space="0"/>
              <w:right w:val="single" w:color="000000" w:sz="4" w:space="0"/>
            </w:tcBorders>
            <w:noWrap w:val="0"/>
            <w:vAlign w:val="top"/>
          </w:tcPr>
          <w:p w14:paraId="441743D6"/>
        </w:tc>
        <w:tc>
          <w:tcPr>
            <w:tcW w:w="4042" w:type="dxa"/>
            <w:vMerge w:val="continue"/>
            <w:tcBorders>
              <w:left w:val="single" w:color="000000" w:sz="4" w:space="0"/>
              <w:bottom w:val="single" w:color="000000" w:sz="4" w:space="0"/>
              <w:right w:val="single" w:color="000000" w:sz="4" w:space="0"/>
            </w:tcBorders>
            <w:noWrap w:val="0"/>
            <w:vAlign w:val="top"/>
          </w:tcPr>
          <w:p w14:paraId="7DDB0FA2"/>
        </w:tc>
        <w:tc>
          <w:tcPr>
            <w:tcW w:w="2781" w:type="dxa"/>
            <w:vMerge w:val="continue"/>
            <w:tcBorders>
              <w:left w:val="single" w:color="000000" w:sz="4" w:space="0"/>
              <w:bottom w:val="single" w:color="000000" w:sz="4" w:space="0"/>
              <w:right w:val="single" w:color="000000" w:sz="4" w:space="0"/>
            </w:tcBorders>
            <w:noWrap w:val="0"/>
            <w:vAlign w:val="top"/>
          </w:tcPr>
          <w:p w14:paraId="151E43C9"/>
        </w:tc>
      </w:tr>
      <w:tr w14:paraId="746D1D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vMerge w:val="continue"/>
            <w:tcBorders>
              <w:left w:val="single" w:color="000000" w:sz="4" w:space="0"/>
              <w:bottom w:val="single" w:color="000000" w:sz="4" w:space="0"/>
              <w:right w:val="single" w:color="000000" w:sz="4" w:space="0"/>
            </w:tcBorders>
            <w:noWrap w:val="0"/>
            <w:vAlign w:val="top"/>
          </w:tcPr>
          <w:p w14:paraId="51E46B78"/>
        </w:tc>
        <w:tc>
          <w:tcPr>
            <w:tcW w:w="894" w:type="dxa"/>
            <w:vMerge w:val="continue"/>
            <w:tcBorders>
              <w:left w:val="single" w:color="000000" w:sz="4" w:space="0"/>
              <w:bottom w:val="single" w:color="000000" w:sz="4" w:space="0"/>
              <w:right w:val="single" w:color="000000" w:sz="4" w:space="0"/>
            </w:tcBorders>
            <w:noWrap w:val="0"/>
            <w:vAlign w:val="top"/>
          </w:tcPr>
          <w:p w14:paraId="2D3FEC1E"/>
        </w:tc>
        <w:tc>
          <w:tcPr>
            <w:tcW w:w="4042"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DCE38F4">
            <w:pPr>
              <w:pStyle w:val="5"/>
              <w:rPr>
                <w:rFonts w:hint="default"/>
              </w:rPr>
            </w:pPr>
            <w:r>
              <w:rPr>
                <w:color w:val="000000"/>
                <w:sz w:val="21"/>
              </w:rPr>
              <w:t>中标人主动进行的网络设备健康措施检查，对于发现影响重要业务及服务的风险,提出解决措施并最终落地实施。</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A5742EE">
            <w:pPr>
              <w:pStyle w:val="5"/>
              <w:rPr>
                <w:rFonts w:hint="default"/>
              </w:rPr>
            </w:pPr>
            <w:r>
              <w:rPr>
                <w:color w:val="000000"/>
                <w:sz w:val="21"/>
              </w:rPr>
              <w:t>经采购人确认后，每次加5分。</w:t>
            </w:r>
          </w:p>
        </w:tc>
      </w:tr>
      <w:tr w14:paraId="16CF7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6C83454">
            <w:pPr>
              <w:pStyle w:val="5"/>
              <w:rPr>
                <w:rFonts w:hint="default"/>
              </w:rPr>
            </w:pPr>
            <w:r>
              <w:rPr>
                <w:color w:val="000000"/>
                <w:sz w:val="21"/>
              </w:rPr>
              <w:t>3</w:t>
            </w:r>
          </w:p>
        </w:tc>
        <w:tc>
          <w:tcPr>
            <w:tcW w:w="894"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05BB6E5">
            <w:pPr>
              <w:pStyle w:val="5"/>
              <w:rPr>
                <w:rFonts w:hint="default"/>
              </w:rPr>
            </w:pPr>
            <w:r>
              <w:rPr>
                <w:color w:val="000000"/>
                <w:sz w:val="21"/>
              </w:rPr>
              <w:t>同样问题或故障是否重复出现</w:t>
            </w:r>
          </w:p>
        </w:tc>
        <w:tc>
          <w:tcPr>
            <w:tcW w:w="4042"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AD24A2E">
            <w:pPr>
              <w:pStyle w:val="5"/>
              <w:rPr>
                <w:rFonts w:hint="default"/>
              </w:rPr>
            </w:pPr>
            <w:r>
              <w:rPr>
                <w:color w:val="000000"/>
                <w:sz w:val="21"/>
              </w:rPr>
              <w:t>故障反复出现</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55474F6">
            <w:pPr>
              <w:pStyle w:val="5"/>
              <w:rPr>
                <w:rFonts w:hint="default"/>
              </w:rPr>
            </w:pPr>
            <w:r>
              <w:rPr>
                <w:color w:val="000000"/>
                <w:sz w:val="21"/>
              </w:rPr>
              <w:t>每个重复出现的故障，扣15分。</w:t>
            </w:r>
          </w:p>
        </w:tc>
      </w:tr>
      <w:tr w14:paraId="6306C8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6"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4F9995C8">
            <w:pPr>
              <w:pStyle w:val="5"/>
              <w:rPr>
                <w:rFonts w:hint="default"/>
              </w:rPr>
            </w:pPr>
            <w:r>
              <w:rPr>
                <w:color w:val="000000"/>
                <w:sz w:val="21"/>
              </w:rPr>
              <w:t>4</w:t>
            </w:r>
          </w:p>
        </w:tc>
        <w:tc>
          <w:tcPr>
            <w:tcW w:w="894"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BB15E53">
            <w:pPr>
              <w:pStyle w:val="5"/>
              <w:rPr>
                <w:rFonts w:hint="default"/>
              </w:rPr>
            </w:pPr>
            <w:r>
              <w:rPr>
                <w:color w:val="000000"/>
                <w:sz w:val="21"/>
              </w:rPr>
              <w:t>保修人员</w:t>
            </w:r>
          </w:p>
        </w:tc>
        <w:tc>
          <w:tcPr>
            <w:tcW w:w="4042"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39AFE7EC">
            <w:pPr>
              <w:pStyle w:val="5"/>
              <w:rPr>
                <w:rFonts w:hint="default"/>
              </w:rPr>
            </w:pPr>
            <w:r>
              <w:rPr>
                <w:color w:val="000000"/>
                <w:sz w:val="21"/>
              </w:rPr>
              <w:t>中标人提供保修人员需满足采购人工作要求。</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95E1B96">
            <w:pPr>
              <w:pStyle w:val="5"/>
              <w:rPr>
                <w:rFonts w:hint="default"/>
              </w:rPr>
            </w:pPr>
            <w:r>
              <w:rPr>
                <w:color w:val="000000"/>
                <w:sz w:val="21"/>
              </w:rPr>
              <w:t>中标人提供保修人员素质达不到采购人工作要求且采购人提出更换的情况下不能在规定时间内安排更换的，每发生一次扣5分。</w:t>
            </w:r>
          </w:p>
        </w:tc>
      </w:tr>
      <w:tr w14:paraId="65A5C8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2288432">
            <w:pPr>
              <w:pStyle w:val="5"/>
              <w:rPr>
                <w:rFonts w:hint="default"/>
              </w:rPr>
            </w:pPr>
            <w:r>
              <w:rPr>
                <w:color w:val="000000"/>
                <w:sz w:val="21"/>
              </w:rPr>
              <w:t>5</w:t>
            </w:r>
          </w:p>
        </w:tc>
        <w:tc>
          <w:tcPr>
            <w:tcW w:w="894"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E659302">
            <w:pPr>
              <w:pStyle w:val="5"/>
              <w:rPr>
                <w:rFonts w:hint="default"/>
              </w:rPr>
            </w:pPr>
            <w:r>
              <w:rPr>
                <w:color w:val="000000"/>
                <w:sz w:val="21"/>
              </w:rPr>
              <w:t>紧急现场服务响应</w:t>
            </w:r>
          </w:p>
        </w:tc>
        <w:tc>
          <w:tcPr>
            <w:tcW w:w="4042"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03896B23">
            <w:pPr>
              <w:pStyle w:val="5"/>
              <w:rPr>
                <w:rFonts w:hint="default"/>
              </w:rPr>
            </w:pPr>
            <w:r>
              <w:rPr>
                <w:color w:val="000000"/>
                <w:sz w:val="21"/>
              </w:rPr>
              <w:t>中标人在保修期内需积极响应各类问题处理。因网络设备引起故障的，应在2小时内提供修复方案提交采购人审核后安排实施。</w:t>
            </w:r>
          </w:p>
        </w:tc>
        <w:tc>
          <w:tcPr>
            <w:tcW w:w="2781" w:type="dxa"/>
            <w:vMerge w:val="restart"/>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4EFC86F">
            <w:pPr>
              <w:pStyle w:val="5"/>
              <w:rPr>
                <w:rFonts w:hint="default"/>
              </w:rPr>
            </w:pPr>
            <w:r>
              <w:rPr>
                <w:color w:val="000000"/>
                <w:sz w:val="21"/>
              </w:rPr>
              <w:t>不按时修复故障的，每次扣10分。</w:t>
            </w:r>
          </w:p>
        </w:tc>
      </w:tr>
      <w:tr w14:paraId="0279CA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29D06EA2"/>
        </w:tc>
        <w:tc>
          <w:tcPr>
            <w:tcW w:w="894" w:type="dxa"/>
            <w:vMerge w:val="continue"/>
            <w:tcBorders>
              <w:left w:val="single" w:color="000000" w:sz="4" w:space="0"/>
              <w:bottom w:val="single" w:color="000000" w:sz="4" w:space="0"/>
              <w:right w:val="single" w:color="000000" w:sz="4" w:space="0"/>
            </w:tcBorders>
            <w:noWrap w:val="0"/>
            <w:vAlign w:val="top"/>
          </w:tcPr>
          <w:p w14:paraId="6F5DFB87"/>
        </w:tc>
        <w:tc>
          <w:tcPr>
            <w:tcW w:w="4042" w:type="dxa"/>
            <w:vMerge w:val="continue"/>
            <w:tcBorders>
              <w:left w:val="single" w:color="000000" w:sz="4" w:space="0"/>
              <w:bottom w:val="single" w:color="000000" w:sz="4" w:space="0"/>
              <w:right w:val="single" w:color="000000" w:sz="4" w:space="0"/>
            </w:tcBorders>
            <w:noWrap w:val="0"/>
            <w:vAlign w:val="top"/>
          </w:tcPr>
          <w:p w14:paraId="6DC0FC0E"/>
        </w:tc>
        <w:tc>
          <w:tcPr>
            <w:tcW w:w="2781" w:type="dxa"/>
            <w:vMerge w:val="continue"/>
            <w:tcBorders>
              <w:left w:val="single" w:color="000000" w:sz="4" w:space="0"/>
              <w:bottom w:val="single" w:color="000000" w:sz="4" w:space="0"/>
              <w:right w:val="single" w:color="000000" w:sz="4" w:space="0"/>
            </w:tcBorders>
            <w:noWrap w:val="0"/>
            <w:vAlign w:val="top"/>
          </w:tcPr>
          <w:p w14:paraId="59BF8B0F"/>
        </w:tc>
      </w:tr>
      <w:tr w14:paraId="5B76F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7618ACEB"/>
        </w:tc>
        <w:tc>
          <w:tcPr>
            <w:tcW w:w="894" w:type="dxa"/>
            <w:vMerge w:val="continue"/>
            <w:tcBorders>
              <w:left w:val="single" w:color="000000" w:sz="4" w:space="0"/>
              <w:bottom w:val="single" w:color="000000" w:sz="4" w:space="0"/>
              <w:right w:val="single" w:color="000000" w:sz="4" w:space="0"/>
            </w:tcBorders>
            <w:noWrap w:val="0"/>
            <w:vAlign w:val="top"/>
          </w:tcPr>
          <w:p w14:paraId="35735148"/>
        </w:tc>
        <w:tc>
          <w:tcPr>
            <w:tcW w:w="4042" w:type="dxa"/>
            <w:vMerge w:val="continue"/>
            <w:tcBorders>
              <w:left w:val="single" w:color="000000" w:sz="4" w:space="0"/>
              <w:bottom w:val="single" w:color="000000" w:sz="4" w:space="0"/>
              <w:right w:val="single" w:color="000000" w:sz="4" w:space="0"/>
            </w:tcBorders>
            <w:noWrap w:val="0"/>
            <w:vAlign w:val="top"/>
          </w:tcPr>
          <w:p w14:paraId="1426FAB4"/>
        </w:tc>
        <w:tc>
          <w:tcPr>
            <w:tcW w:w="2781" w:type="dxa"/>
            <w:vMerge w:val="continue"/>
            <w:tcBorders>
              <w:left w:val="single" w:color="000000" w:sz="4" w:space="0"/>
              <w:bottom w:val="single" w:color="000000" w:sz="4" w:space="0"/>
              <w:right w:val="single" w:color="000000" w:sz="4" w:space="0"/>
            </w:tcBorders>
            <w:noWrap w:val="0"/>
            <w:vAlign w:val="top"/>
          </w:tcPr>
          <w:p w14:paraId="7C0C1718"/>
        </w:tc>
      </w:tr>
      <w:tr w14:paraId="22CF0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5EFE54DF"/>
        </w:tc>
        <w:tc>
          <w:tcPr>
            <w:tcW w:w="894" w:type="dxa"/>
            <w:vMerge w:val="continue"/>
            <w:tcBorders>
              <w:left w:val="single" w:color="000000" w:sz="4" w:space="0"/>
              <w:bottom w:val="single" w:color="000000" w:sz="4" w:space="0"/>
              <w:right w:val="single" w:color="000000" w:sz="4" w:space="0"/>
            </w:tcBorders>
            <w:noWrap w:val="0"/>
            <w:vAlign w:val="top"/>
          </w:tcPr>
          <w:p w14:paraId="7E2102C8"/>
        </w:tc>
        <w:tc>
          <w:tcPr>
            <w:tcW w:w="4042" w:type="dxa"/>
            <w:vMerge w:val="continue"/>
            <w:tcBorders>
              <w:left w:val="single" w:color="000000" w:sz="4" w:space="0"/>
              <w:bottom w:val="single" w:color="000000" w:sz="4" w:space="0"/>
              <w:right w:val="single" w:color="000000" w:sz="4" w:space="0"/>
            </w:tcBorders>
            <w:noWrap w:val="0"/>
            <w:vAlign w:val="top"/>
          </w:tcPr>
          <w:p w14:paraId="5FABBF8F"/>
        </w:tc>
        <w:tc>
          <w:tcPr>
            <w:tcW w:w="2781" w:type="dxa"/>
            <w:vMerge w:val="continue"/>
            <w:tcBorders>
              <w:left w:val="single" w:color="000000" w:sz="4" w:space="0"/>
              <w:bottom w:val="single" w:color="000000" w:sz="4" w:space="0"/>
              <w:right w:val="single" w:color="000000" w:sz="4" w:space="0"/>
            </w:tcBorders>
            <w:noWrap w:val="0"/>
            <w:vAlign w:val="top"/>
          </w:tcPr>
          <w:p w14:paraId="10FCE420"/>
        </w:tc>
      </w:tr>
      <w:tr w14:paraId="71FF2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86" w:type="dxa"/>
            <w:vMerge w:val="continue"/>
            <w:tcBorders>
              <w:left w:val="single" w:color="000000" w:sz="4" w:space="0"/>
              <w:bottom w:val="single" w:color="000000" w:sz="4" w:space="0"/>
              <w:right w:val="single" w:color="000000" w:sz="4" w:space="0"/>
            </w:tcBorders>
            <w:noWrap w:val="0"/>
            <w:vAlign w:val="top"/>
          </w:tcPr>
          <w:p w14:paraId="6221D1EC"/>
        </w:tc>
        <w:tc>
          <w:tcPr>
            <w:tcW w:w="894" w:type="dxa"/>
            <w:vMerge w:val="continue"/>
            <w:tcBorders>
              <w:left w:val="single" w:color="000000" w:sz="4" w:space="0"/>
              <w:bottom w:val="single" w:color="000000" w:sz="4" w:space="0"/>
              <w:right w:val="single" w:color="000000" w:sz="4" w:space="0"/>
            </w:tcBorders>
            <w:noWrap w:val="0"/>
            <w:vAlign w:val="top"/>
          </w:tcPr>
          <w:p w14:paraId="3E84A7C9"/>
        </w:tc>
        <w:tc>
          <w:tcPr>
            <w:tcW w:w="4042" w:type="dxa"/>
            <w:vMerge w:val="continue"/>
            <w:tcBorders>
              <w:left w:val="single" w:color="000000" w:sz="4" w:space="0"/>
              <w:bottom w:val="single" w:color="000000" w:sz="4" w:space="0"/>
              <w:right w:val="single" w:color="000000" w:sz="4" w:space="0"/>
            </w:tcBorders>
            <w:noWrap w:val="0"/>
            <w:vAlign w:val="top"/>
          </w:tcPr>
          <w:p w14:paraId="1965B0BB"/>
        </w:tc>
        <w:tc>
          <w:tcPr>
            <w:tcW w:w="2781" w:type="dxa"/>
            <w:vMerge w:val="continue"/>
            <w:tcBorders>
              <w:left w:val="single" w:color="000000" w:sz="4" w:space="0"/>
              <w:bottom w:val="single" w:color="000000" w:sz="4" w:space="0"/>
              <w:right w:val="single" w:color="000000" w:sz="4" w:space="0"/>
            </w:tcBorders>
            <w:noWrap w:val="0"/>
            <w:vAlign w:val="top"/>
          </w:tcPr>
          <w:p w14:paraId="19E7834F"/>
        </w:tc>
      </w:tr>
      <w:tr w14:paraId="325917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2" w:type="dxa"/>
            <w:gridSpan w:val="3"/>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47E4AA6">
            <w:pPr>
              <w:pStyle w:val="5"/>
              <w:jc w:val="both"/>
              <w:rPr>
                <w:rFonts w:hint="default"/>
              </w:rPr>
            </w:pPr>
            <w:r>
              <w:rPr>
                <w:color w:val="000000"/>
                <w:sz w:val="21"/>
              </w:rPr>
              <w:t>本考核表满分为100分，考核得分=100分-扣分合计</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8AE733C">
            <w:pPr>
              <w:pStyle w:val="5"/>
              <w:jc w:val="both"/>
              <w:rPr>
                <w:rFonts w:hint="default"/>
              </w:rPr>
            </w:pPr>
            <w:r>
              <w:rPr>
                <w:color w:val="000000"/>
                <w:sz w:val="21"/>
              </w:rPr>
              <w:t>考核得分：</w:t>
            </w:r>
          </w:p>
        </w:tc>
      </w:tr>
      <w:tr w14:paraId="358C5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22" w:type="dxa"/>
            <w:gridSpan w:val="3"/>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873BF85">
            <w:pPr>
              <w:pStyle w:val="5"/>
              <w:jc w:val="both"/>
              <w:rPr>
                <w:rFonts w:hint="default"/>
              </w:rPr>
            </w:pPr>
            <w:r>
              <w:rPr>
                <w:color w:val="000000"/>
                <w:sz w:val="21"/>
              </w:rPr>
              <w:t>考核人员签字：</w:t>
            </w:r>
          </w:p>
          <w:p w14:paraId="5BCECD7A">
            <w:pPr>
              <w:pStyle w:val="5"/>
              <w:ind w:firstLine="420"/>
              <w:jc w:val="both"/>
              <w:rPr>
                <w:rFonts w:hint="default"/>
              </w:rPr>
            </w:pPr>
            <w:r>
              <w:rPr>
                <w:color w:val="000000"/>
                <w:sz w:val="21"/>
              </w:rPr>
              <w:t>日期：</w:t>
            </w:r>
          </w:p>
        </w:tc>
        <w:tc>
          <w:tcPr>
            <w:tcW w:w="2781" w:type="dxa"/>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84B6EE0">
            <w:pPr>
              <w:pStyle w:val="5"/>
              <w:jc w:val="both"/>
              <w:rPr>
                <w:rFonts w:hint="default"/>
              </w:rPr>
            </w:pPr>
            <w:r>
              <w:rPr>
                <w:color w:val="000000"/>
                <w:sz w:val="21"/>
              </w:rPr>
              <w:t>考核人员签字：</w:t>
            </w:r>
          </w:p>
          <w:p w14:paraId="42890334">
            <w:pPr>
              <w:pStyle w:val="5"/>
              <w:ind w:firstLine="420"/>
              <w:jc w:val="both"/>
              <w:rPr>
                <w:rFonts w:hint="default"/>
              </w:rPr>
            </w:pPr>
            <w:r>
              <w:rPr>
                <w:color w:val="000000"/>
                <w:sz w:val="21"/>
              </w:rPr>
              <w:t>日期：</w:t>
            </w:r>
          </w:p>
        </w:tc>
      </w:tr>
      <w:tr w14:paraId="7FC830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3" w:type="dxa"/>
            <w:gridSpan w:val="4"/>
            <w:tcBorders>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2C03492">
            <w:pPr>
              <w:pStyle w:val="5"/>
              <w:jc w:val="both"/>
              <w:rPr>
                <w:rFonts w:hint="default"/>
              </w:rPr>
            </w:pPr>
            <w:r>
              <w:rPr>
                <w:color w:val="000000"/>
                <w:sz w:val="21"/>
              </w:rPr>
              <w:t>说明：采购人对中标人的服务评价进行考核，考核满分为100分。以每项考核标准进行扣分，60分以下为不合格。中标人考核不合格次数达到1次以上的，采购人有权终止合同而无须对中标人进行任何赔偿。根据有关要求和规定，结合实际情况，采购人有权对此考核表指标内容、分值、考核办法作必要调整。</w:t>
            </w:r>
          </w:p>
        </w:tc>
      </w:tr>
    </w:tbl>
    <w:p w14:paraId="28AF01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C28EC"/>
    <w:rsid w:val="1DEC28EC"/>
    <w:rsid w:val="648B0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2025-10-28T08:21:00Z</dcterms:created>
  <dc:creator>Administrator</dc:creator>
  <cp:lastModifiedBy>Administrator</cp:lastModifiedBy>
  <dcterms:modified xsi:type="dcterms:W3CDTF">2025-10-28T08:25:48Z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CB4B56D12381494098F9E2A5971F1286_11</vt:lpwstr>
  </property>
</Properties>
</file>