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rPr>
          <w:rFonts w:ascii="宋体" w:hAnsi="宋体"/>
          <w:bCs/>
          <w:color w:val="auto"/>
          <w:sz w:val="30"/>
          <w:szCs w:val="30"/>
          <w:highlight w:val="none"/>
        </w:rPr>
      </w:pPr>
      <w:r>
        <w:rPr>
          <w:rFonts w:hint="eastAsia" w:ascii="宋体" w:hAnsi="宋体"/>
          <w:bCs/>
          <w:color w:val="auto"/>
          <w:sz w:val="30"/>
          <w:szCs w:val="30"/>
          <w:highlight w:val="none"/>
        </w:rPr>
        <w:t>附件1：</w:t>
      </w:r>
    </w:p>
    <w:p>
      <w:pPr>
        <w:spacing w:line="480" w:lineRule="exact"/>
        <w:jc w:val="center"/>
        <w:outlineLvl w:val="0"/>
        <w:rPr>
          <w:rFonts w:hint="eastAsia" w:ascii="宋体" w:hAnsi="宋体"/>
          <w:b/>
          <w:color w:val="auto"/>
          <w:sz w:val="30"/>
          <w:szCs w:val="30"/>
          <w:highlight w:val="none"/>
        </w:rPr>
      </w:pPr>
      <w:r>
        <w:rPr>
          <w:rFonts w:hint="eastAsia" w:ascii="宋体" w:hAnsi="宋体"/>
          <w:b/>
          <w:color w:val="auto"/>
          <w:sz w:val="30"/>
          <w:szCs w:val="30"/>
          <w:highlight w:val="none"/>
        </w:rPr>
        <w:t>用户需求书</w:t>
      </w:r>
    </w:p>
    <w:p>
      <w:pPr>
        <w:pStyle w:val="6"/>
        <w:rPr>
          <w:rFonts w:hint="eastAsia"/>
          <w:color w:val="auto"/>
          <w:highlight w:val="none"/>
        </w:rPr>
      </w:pPr>
    </w:p>
    <w:p>
      <w:pPr>
        <w:numPr>
          <w:ilvl w:val="0"/>
          <w:numId w:val="2"/>
        </w:numPr>
        <w:spacing w:line="360" w:lineRule="auto"/>
        <w:jc w:val="left"/>
        <w:outlineLvl w:val="0"/>
        <w:rPr>
          <w:rFonts w:hint="eastAsia" w:ascii="宋体" w:hAnsi="宋体" w:cs="宋体"/>
          <w:color w:val="auto"/>
          <w:sz w:val="24"/>
          <w:highlight w:val="none"/>
        </w:rPr>
      </w:pPr>
      <w:r>
        <w:rPr>
          <w:rFonts w:hint="eastAsia" w:ascii="宋体" w:hAnsi="宋体" w:cs="宋体"/>
          <w:b/>
          <w:bCs/>
          <w:color w:val="auto"/>
          <w:sz w:val="24"/>
          <w:szCs w:val="22"/>
          <w:highlight w:val="none"/>
        </w:rPr>
        <w:t>项目</w:t>
      </w:r>
      <w:r>
        <w:rPr>
          <w:rFonts w:hint="eastAsia" w:ascii="宋体" w:hAnsi="宋体" w:cs="宋体"/>
          <w:b/>
          <w:bCs/>
          <w:color w:val="auto"/>
          <w:sz w:val="24"/>
          <w:szCs w:val="22"/>
          <w:highlight w:val="none"/>
          <w:lang w:eastAsia="zh-CN"/>
        </w:rPr>
        <w:t>概况</w:t>
      </w:r>
      <w:r>
        <w:rPr>
          <w:rFonts w:hint="eastAsia" w:ascii="宋体" w:hAnsi="宋体" w:cs="宋体"/>
          <w:b/>
          <w:bCs/>
          <w:color w:val="auto"/>
          <w:sz w:val="24"/>
          <w:szCs w:val="22"/>
          <w:highlight w:val="none"/>
        </w:rPr>
        <w:t>：</w:t>
      </w:r>
    </w:p>
    <w:p>
      <w:pPr>
        <w:numPr>
          <w:ilvl w:val="0"/>
          <w:numId w:val="0"/>
        </w:numPr>
        <w:spacing w:line="360" w:lineRule="auto"/>
        <w:jc w:val="left"/>
        <w:outlineLvl w:val="0"/>
        <w:rPr>
          <w:rFonts w:hint="eastAsia" w:ascii="宋体" w:hAnsi="宋体" w:cs="宋体"/>
          <w:color w:val="auto"/>
          <w:sz w:val="24"/>
          <w:highlight w:val="none"/>
          <w:lang w:eastAsia="zh-CN"/>
        </w:rPr>
      </w:pPr>
      <w:r>
        <w:rPr>
          <w:rFonts w:hint="eastAsia" w:ascii="宋体" w:hAnsi="宋体" w:eastAsia="宋体" w:cs="宋体"/>
          <w:color w:val="auto"/>
          <w:kern w:val="2"/>
          <w:sz w:val="24"/>
          <w:szCs w:val="24"/>
          <w:lang w:val="en-US" w:eastAsia="zh-CN" w:bidi="ar-SA"/>
        </w:rPr>
        <w:t>（一）</w:t>
      </w:r>
      <w:r>
        <w:rPr>
          <w:rFonts w:hint="eastAsia" w:ascii="宋体" w:hAnsi="宋体" w:cs="宋体"/>
          <w:b w:val="0"/>
          <w:bCs w:val="0"/>
          <w:color w:val="auto"/>
          <w:sz w:val="24"/>
          <w:szCs w:val="22"/>
          <w:highlight w:val="none"/>
          <w:lang w:eastAsia="zh-CN"/>
        </w:rPr>
        <w:t>项目名称：</w:t>
      </w:r>
      <w:r>
        <w:rPr>
          <w:rFonts w:hint="eastAsia" w:ascii="宋体" w:hAnsi="宋体" w:cs="宋体"/>
          <w:color w:val="auto"/>
          <w:sz w:val="24"/>
          <w:highlight w:val="none"/>
          <w:lang w:eastAsia="zh-CN"/>
        </w:rPr>
        <w:t>中山市黄圃人民医院2026年信息机房网络及信息安全设备维保服务项目</w:t>
      </w:r>
    </w:p>
    <w:p>
      <w:pPr>
        <w:numPr>
          <w:ilvl w:val="-1"/>
          <w:numId w:val="0"/>
        </w:numPr>
        <w:spacing w:line="360" w:lineRule="auto"/>
        <w:jc w:val="left"/>
        <w:outlineLvl w:val="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二）项目内容：为保障医院各项业务的连续稳定运行，支撑医院全面的数字化转型，现计划对数据中心机房及各弱电间的网络、信息安全及相关设备采购专业的运维服务。旨在建立一套常态化、预防性的运维服务体系，以提升系统整体可靠性，确保医疗业务不受潜在设备故障的影响。本项目维保范围覆盖医院信息化机房及各个弱电间的所有网络设备、安全设备、服务器、存储设备及机房基础环境设备，设备总数约92台（参考信息化设备维保清单，具体以医院所投入使用设备为准）。</w:t>
      </w:r>
    </w:p>
    <w:p>
      <w:pPr>
        <w:spacing w:line="360" w:lineRule="auto"/>
        <w:jc w:val="left"/>
        <w:rPr>
          <w:rFonts w:hint="eastAsia" w:ascii="宋体" w:hAnsi="宋体" w:cs="宋体"/>
          <w:b/>
          <w:bCs/>
          <w:color w:val="auto"/>
          <w:sz w:val="24"/>
          <w:szCs w:val="22"/>
          <w:highlight w:val="none"/>
        </w:rPr>
      </w:pPr>
      <w:r>
        <w:rPr>
          <w:rFonts w:hint="eastAsia" w:ascii="宋体" w:hAnsi="宋体" w:cs="宋体"/>
          <w:b/>
          <w:bCs/>
          <w:color w:val="auto"/>
          <w:sz w:val="24"/>
          <w:szCs w:val="22"/>
          <w:highlight w:val="none"/>
        </w:rPr>
        <w:t>二、</w:t>
      </w:r>
      <w:r>
        <w:rPr>
          <w:rFonts w:hint="eastAsia" w:ascii="宋体" w:hAnsi="宋体" w:cs="宋体"/>
          <w:b/>
          <w:bCs/>
          <w:color w:val="auto"/>
          <w:sz w:val="24"/>
          <w:szCs w:val="22"/>
          <w:highlight w:val="none"/>
          <w:lang w:eastAsia="zh-CN"/>
        </w:rPr>
        <w:t>采购清单</w:t>
      </w:r>
    </w:p>
    <w:p>
      <w:pPr>
        <w:pStyle w:val="6"/>
        <w:rPr>
          <w:rFonts w:hint="eastAsia"/>
          <w:b/>
          <w:bCs/>
          <w:color w:val="auto"/>
          <w:sz w:val="24"/>
          <w:szCs w:val="22"/>
          <w:highlight w:val="none"/>
        </w:rPr>
      </w:pPr>
    </w:p>
    <w:tbl>
      <w:tblPr>
        <w:tblStyle w:val="12"/>
        <w:tblW w:w="8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2886"/>
        <w:gridCol w:w="1862"/>
        <w:gridCol w:w="878"/>
        <w:gridCol w:w="1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779" w:type="dxa"/>
            <w:vAlign w:val="center"/>
          </w:tcPr>
          <w:p>
            <w:pPr>
              <w:pStyle w:val="11"/>
              <w:keepNext w:val="0"/>
              <w:keepLines w:val="0"/>
              <w:suppressLineNumbers w:val="0"/>
              <w:tabs>
                <w:tab w:val="decimal" w:pos="315"/>
                <w:tab w:val="left" w:pos="630"/>
              </w:tabs>
              <w:spacing w:before="0" w:beforeAutospacing="0" w:after="0" w:afterAutospacing="0" w:line="360" w:lineRule="auto"/>
              <w:ind w:left="0" w:right="0"/>
              <w:jc w:val="center"/>
              <w:rPr>
                <w:rFonts w:hint="eastAsia" w:hAnsi="宋体" w:cs="宋体"/>
                <w:color w:val="auto"/>
                <w:sz w:val="21"/>
                <w:szCs w:val="21"/>
                <w:highlight w:val="none"/>
                <w:shd w:val="clear" w:color="auto" w:fill="FFFFFF"/>
              </w:rPr>
            </w:pPr>
            <w:r>
              <w:rPr>
                <w:rFonts w:hint="eastAsia" w:hAnsi="宋体" w:cs="宋体"/>
                <w:color w:val="auto"/>
                <w:sz w:val="21"/>
                <w:szCs w:val="21"/>
                <w:highlight w:val="none"/>
                <w:shd w:val="clear" w:color="auto" w:fill="FFFFFF"/>
              </w:rPr>
              <w:t>序号</w:t>
            </w:r>
          </w:p>
        </w:tc>
        <w:tc>
          <w:tcPr>
            <w:tcW w:w="2886" w:type="dxa"/>
            <w:vAlign w:val="center"/>
          </w:tcPr>
          <w:p>
            <w:pPr>
              <w:pStyle w:val="11"/>
              <w:keepNext w:val="0"/>
              <w:keepLines w:val="0"/>
              <w:suppressLineNumbers w:val="0"/>
              <w:tabs>
                <w:tab w:val="decimal" w:pos="315"/>
                <w:tab w:val="left" w:pos="630"/>
              </w:tabs>
              <w:spacing w:before="0" w:beforeAutospacing="0" w:after="0" w:afterAutospacing="0" w:line="360" w:lineRule="auto"/>
              <w:ind w:left="0" w:right="0"/>
              <w:jc w:val="center"/>
              <w:rPr>
                <w:rFonts w:hint="eastAsia" w:hAnsi="宋体" w:cs="宋体"/>
                <w:color w:val="auto"/>
                <w:sz w:val="21"/>
                <w:szCs w:val="21"/>
                <w:highlight w:val="none"/>
                <w:shd w:val="clear" w:color="auto" w:fill="FFFFFF"/>
              </w:rPr>
            </w:pPr>
            <w:r>
              <w:rPr>
                <w:rFonts w:hint="eastAsia" w:hAnsi="宋体" w:cs="宋体"/>
                <w:color w:val="auto"/>
                <w:sz w:val="21"/>
                <w:szCs w:val="21"/>
                <w:highlight w:val="none"/>
                <w:shd w:val="clear" w:color="auto" w:fill="FFFFFF"/>
              </w:rPr>
              <w:t>采购标的</w:t>
            </w:r>
          </w:p>
        </w:tc>
        <w:tc>
          <w:tcPr>
            <w:tcW w:w="1862" w:type="dxa"/>
            <w:vAlign w:val="center"/>
          </w:tcPr>
          <w:p>
            <w:pPr>
              <w:pStyle w:val="11"/>
              <w:keepNext w:val="0"/>
              <w:keepLines w:val="0"/>
              <w:suppressLineNumbers w:val="0"/>
              <w:tabs>
                <w:tab w:val="decimal" w:pos="315"/>
                <w:tab w:val="left" w:pos="630"/>
              </w:tabs>
              <w:spacing w:before="0" w:beforeAutospacing="0" w:after="0" w:afterAutospacing="0" w:line="360" w:lineRule="auto"/>
              <w:ind w:left="0" w:right="0" w:firstLine="210" w:firstLineChars="100"/>
              <w:jc w:val="center"/>
              <w:rPr>
                <w:rFonts w:hint="eastAsia" w:hAnsi="宋体" w:eastAsia="宋体" w:cs="宋体"/>
                <w:color w:val="auto"/>
                <w:sz w:val="21"/>
                <w:szCs w:val="21"/>
                <w:highlight w:val="none"/>
                <w:shd w:val="clear" w:color="auto" w:fill="FFFFFF"/>
                <w:lang w:eastAsia="zh-CN"/>
              </w:rPr>
            </w:pPr>
            <w:r>
              <w:rPr>
                <w:rFonts w:hint="eastAsia" w:hAnsi="宋体" w:cs="宋体"/>
                <w:color w:val="auto"/>
                <w:sz w:val="21"/>
                <w:szCs w:val="21"/>
                <w:highlight w:val="none"/>
                <w:shd w:val="clear" w:color="auto" w:fill="FFFFFF"/>
              </w:rPr>
              <w:t>项目</w:t>
            </w:r>
            <w:r>
              <w:rPr>
                <w:rFonts w:hint="eastAsia" w:hAnsi="宋体" w:cs="宋体"/>
                <w:color w:val="auto"/>
                <w:sz w:val="21"/>
                <w:szCs w:val="21"/>
                <w:highlight w:val="none"/>
                <w:shd w:val="clear" w:color="auto" w:fill="FFFFFF"/>
                <w:lang w:eastAsia="zh-CN"/>
              </w:rPr>
              <w:t>信息化设备维保清单</w:t>
            </w:r>
          </w:p>
        </w:tc>
        <w:tc>
          <w:tcPr>
            <w:tcW w:w="878" w:type="dxa"/>
            <w:vAlign w:val="center"/>
          </w:tcPr>
          <w:p>
            <w:pPr>
              <w:pStyle w:val="11"/>
              <w:keepNext w:val="0"/>
              <w:keepLines w:val="0"/>
              <w:suppressLineNumbers w:val="0"/>
              <w:tabs>
                <w:tab w:val="decimal" w:pos="315"/>
                <w:tab w:val="left" w:pos="630"/>
              </w:tabs>
              <w:spacing w:before="0" w:beforeAutospacing="0" w:after="0" w:afterAutospacing="0" w:line="360" w:lineRule="auto"/>
              <w:ind w:left="0" w:right="0"/>
              <w:jc w:val="center"/>
              <w:rPr>
                <w:rFonts w:hint="eastAsia" w:hAnsi="宋体" w:cs="宋体"/>
                <w:color w:val="auto"/>
                <w:sz w:val="21"/>
                <w:szCs w:val="21"/>
                <w:highlight w:val="none"/>
                <w:shd w:val="clear" w:color="auto" w:fill="FFFFFF"/>
              </w:rPr>
            </w:pPr>
            <w:r>
              <w:rPr>
                <w:rFonts w:hint="eastAsia" w:hAnsi="宋体" w:cs="宋体"/>
                <w:color w:val="auto"/>
                <w:sz w:val="21"/>
                <w:szCs w:val="21"/>
                <w:highlight w:val="none"/>
                <w:shd w:val="clear" w:color="auto" w:fill="FFFFFF"/>
              </w:rPr>
              <w:t>服务期（年）</w:t>
            </w:r>
          </w:p>
        </w:tc>
        <w:tc>
          <w:tcPr>
            <w:tcW w:w="1636" w:type="dxa"/>
            <w:vAlign w:val="center"/>
          </w:tcPr>
          <w:p>
            <w:pPr>
              <w:pStyle w:val="11"/>
              <w:keepNext w:val="0"/>
              <w:keepLines w:val="0"/>
              <w:suppressLineNumbers w:val="0"/>
              <w:tabs>
                <w:tab w:val="decimal" w:pos="315"/>
                <w:tab w:val="left" w:pos="630"/>
              </w:tabs>
              <w:spacing w:before="0" w:beforeAutospacing="0" w:after="0" w:afterAutospacing="0" w:line="360" w:lineRule="auto"/>
              <w:ind w:left="0" w:right="0"/>
              <w:jc w:val="center"/>
              <w:rPr>
                <w:rFonts w:hint="eastAsia" w:hAnsi="宋体" w:cs="宋体"/>
                <w:color w:val="auto"/>
                <w:sz w:val="21"/>
                <w:szCs w:val="21"/>
                <w:highlight w:val="none"/>
                <w:shd w:val="clear" w:color="auto" w:fill="FFFFFF"/>
              </w:rPr>
            </w:pPr>
            <w:r>
              <w:rPr>
                <w:rFonts w:hint="eastAsia" w:hAnsi="宋体" w:cs="宋体"/>
                <w:color w:val="auto"/>
                <w:sz w:val="21"/>
                <w:szCs w:val="21"/>
                <w:highlight w:val="none"/>
                <w:shd w:val="clear" w:color="auto" w:fill="FFFFFF"/>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79" w:type="dxa"/>
            <w:vAlign w:val="center"/>
          </w:tcPr>
          <w:p>
            <w:pPr>
              <w:keepNext w:val="0"/>
              <w:keepLines w:val="0"/>
              <w:suppressLineNumbers w:val="0"/>
              <w:tabs>
                <w:tab w:val="left" w:pos="424"/>
                <w:tab w:val="left" w:pos="3780"/>
              </w:tabs>
              <w:spacing w:before="0" w:beforeAutospacing="0" w:after="0" w:afterAutospacing="0" w:line="360" w:lineRule="auto"/>
              <w:ind w:left="0" w:right="0"/>
              <w:jc w:val="center"/>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1</w:t>
            </w:r>
          </w:p>
        </w:tc>
        <w:tc>
          <w:tcPr>
            <w:tcW w:w="2886" w:type="dxa"/>
            <w:vAlign w:val="center"/>
          </w:tcPr>
          <w:p>
            <w:pPr>
              <w:keepNext w:val="0"/>
              <w:keepLines w:val="0"/>
              <w:widowControl/>
              <w:suppressLineNumbers w:val="0"/>
              <w:tabs>
                <w:tab w:val="decimal" w:pos="315"/>
                <w:tab w:val="left" w:pos="630"/>
              </w:tabs>
              <w:spacing w:before="0" w:beforeAutospacing="0" w:after="0" w:afterAutospacing="0" w:line="360" w:lineRule="auto"/>
              <w:ind w:left="0" w:right="0"/>
              <w:jc w:val="left"/>
              <w:textAlignment w:val="center"/>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lang w:eastAsia="zh-CN"/>
              </w:rPr>
              <w:t>中山市黄圃人民医院2026年信息机房网络及信息安全设备维保服务项目</w:t>
            </w:r>
          </w:p>
        </w:tc>
        <w:tc>
          <w:tcPr>
            <w:tcW w:w="1862" w:type="dxa"/>
            <w:vAlign w:val="center"/>
          </w:tcPr>
          <w:p>
            <w:pPr>
              <w:keepNext w:val="0"/>
              <w:keepLines w:val="0"/>
              <w:widowControl/>
              <w:suppressLineNumbers w:val="0"/>
              <w:tabs>
                <w:tab w:val="decimal" w:pos="315"/>
                <w:tab w:val="left" w:pos="630"/>
              </w:tabs>
              <w:spacing w:before="0" w:beforeAutospacing="0" w:after="0" w:afterAutospacing="0" w:line="360" w:lineRule="auto"/>
              <w:ind w:left="0" w:right="0"/>
              <w:jc w:val="center"/>
              <w:textAlignment w:val="center"/>
              <w:rPr>
                <w:rFonts w:hint="default" w:ascii="宋体" w:hAnsi="宋体" w:cs="宋体" w:eastAsiaTheme="minorEastAsia"/>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rPr>
              <w:t>详见</w:t>
            </w:r>
            <w:r>
              <w:rPr>
                <w:rFonts w:hint="eastAsia" w:ascii="宋体" w:hAnsi="宋体" w:cs="宋体"/>
                <w:color w:val="auto"/>
                <w:szCs w:val="21"/>
                <w:highlight w:val="none"/>
                <w:shd w:val="clear" w:color="auto" w:fill="FFFFFF"/>
                <w:lang w:val="en-US" w:eastAsia="zh-CN"/>
              </w:rPr>
              <w:t>附件2</w:t>
            </w:r>
          </w:p>
        </w:tc>
        <w:tc>
          <w:tcPr>
            <w:tcW w:w="878" w:type="dxa"/>
            <w:vAlign w:val="center"/>
          </w:tcPr>
          <w:p>
            <w:pPr>
              <w:keepNext w:val="0"/>
              <w:keepLines w:val="0"/>
              <w:widowControl/>
              <w:suppressLineNumbers w:val="0"/>
              <w:tabs>
                <w:tab w:val="decimal" w:pos="315"/>
                <w:tab w:val="left" w:pos="630"/>
              </w:tabs>
              <w:spacing w:before="0" w:beforeAutospacing="0" w:after="0" w:afterAutospacing="0" w:line="360" w:lineRule="auto"/>
              <w:ind w:left="0" w:right="0"/>
              <w:jc w:val="center"/>
              <w:textAlignment w:val="center"/>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1</w:t>
            </w:r>
          </w:p>
        </w:tc>
        <w:tc>
          <w:tcPr>
            <w:tcW w:w="1636"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shd w:val="clear" w:color="auto" w:fill="FFFFFF"/>
              </w:rPr>
            </w:pPr>
            <w:r>
              <w:rPr>
                <w:rFonts w:hint="eastAsia" w:ascii="宋体" w:hAnsi="宋体" w:cs="宋体"/>
                <w:color w:val="auto"/>
                <w:szCs w:val="21"/>
                <w:highlight w:val="none"/>
                <w:lang w:val="en-US" w:eastAsia="zh-CN"/>
              </w:rPr>
              <w:t>40</w:t>
            </w:r>
            <w:r>
              <w:rPr>
                <w:rFonts w:hint="eastAsia" w:ascii="宋体" w:hAnsi="宋体" w:cs="宋体"/>
                <w:color w:val="auto"/>
                <w:szCs w:val="21"/>
                <w:highlight w:val="none"/>
              </w:rPr>
              <w:t>万</w:t>
            </w:r>
          </w:p>
        </w:tc>
      </w:tr>
    </w:tbl>
    <w:p>
      <w:pPr>
        <w:spacing w:line="360" w:lineRule="auto"/>
        <w:jc w:val="left"/>
        <w:rPr>
          <w:rFonts w:hint="eastAsia" w:ascii="宋体" w:hAnsi="宋体" w:cs="宋体"/>
          <w:b/>
          <w:bCs/>
          <w:color w:val="auto"/>
          <w:sz w:val="24"/>
          <w:szCs w:val="22"/>
          <w:highlight w:val="none"/>
        </w:rPr>
      </w:pPr>
    </w:p>
    <w:p>
      <w:pPr>
        <w:spacing w:line="360" w:lineRule="auto"/>
        <w:jc w:val="left"/>
        <w:rPr>
          <w:rFonts w:hint="eastAsia" w:ascii="宋体" w:hAnsi="宋体" w:cs="宋体"/>
          <w:b/>
          <w:bCs/>
          <w:color w:val="auto"/>
          <w:sz w:val="24"/>
          <w:szCs w:val="22"/>
          <w:highlight w:val="none"/>
        </w:rPr>
      </w:pPr>
      <w:r>
        <w:rPr>
          <w:rFonts w:hint="eastAsia" w:ascii="宋体" w:hAnsi="宋体" w:cs="宋体"/>
          <w:b/>
          <w:bCs/>
          <w:color w:val="auto"/>
          <w:sz w:val="24"/>
          <w:szCs w:val="22"/>
          <w:highlight w:val="none"/>
        </w:rPr>
        <w:t>三、项目内容</w:t>
      </w:r>
    </w:p>
    <w:p>
      <w:pPr>
        <w:spacing w:line="480" w:lineRule="auto"/>
        <w:ind w:firstLine="480" w:firstLineChars="200"/>
        <w:jc w:val="left"/>
        <w:rPr>
          <w:rFonts w:hint="eastAsia" w:ascii="宋体" w:hAnsi="宋体" w:cs="宋体"/>
          <w:color w:val="auto"/>
          <w:sz w:val="24"/>
          <w:highlight w:val="none"/>
        </w:rPr>
      </w:pPr>
      <w:r>
        <w:rPr>
          <w:rFonts w:hint="eastAsia" w:ascii="宋体" w:hAnsi="宋体" w:cs="宋体"/>
          <w:b w:val="0"/>
          <w:bCs w:val="0"/>
          <w:color w:val="auto"/>
          <w:sz w:val="24"/>
          <w:highlight w:val="none"/>
          <w:lang w:eastAsia="zh-CN"/>
        </w:rPr>
        <w:t>（</w:t>
      </w:r>
      <w:r>
        <w:rPr>
          <w:rFonts w:hint="eastAsia" w:ascii="宋体" w:hAnsi="宋体" w:cs="宋体"/>
          <w:b w:val="0"/>
          <w:bCs w:val="0"/>
          <w:color w:val="auto"/>
          <w:sz w:val="24"/>
          <w:highlight w:val="none"/>
          <w:lang w:val="en-US" w:eastAsia="zh-CN"/>
        </w:rPr>
        <w:t>一</w:t>
      </w:r>
      <w:r>
        <w:rPr>
          <w:rFonts w:hint="eastAsia" w:ascii="宋体" w:hAnsi="宋体" w:cs="宋体"/>
          <w:b w:val="0"/>
          <w:bCs w:val="0"/>
          <w:color w:val="auto"/>
          <w:sz w:val="24"/>
          <w:highlight w:val="none"/>
          <w:lang w:eastAsia="zh-CN"/>
        </w:rPr>
        <w:t>）</w:t>
      </w:r>
      <w:r>
        <w:rPr>
          <w:rFonts w:hint="eastAsia" w:ascii="宋体" w:hAnsi="宋体" w:cs="宋体"/>
          <w:b/>
          <w:bCs/>
          <w:color w:val="auto"/>
          <w:sz w:val="24"/>
          <w:highlight w:val="none"/>
        </w:rPr>
        <w:t xml:space="preserve"> 基础设施运维</w:t>
      </w:r>
      <w:r>
        <w:rPr>
          <w:rFonts w:hint="eastAsia" w:ascii="宋体" w:hAnsi="宋体" w:cs="宋体"/>
          <w:b/>
          <w:bCs/>
          <w:color w:val="auto"/>
          <w:sz w:val="24"/>
          <w:highlight w:val="none"/>
          <w:lang w:eastAsia="zh-CN"/>
        </w:rPr>
        <w:t>。</w:t>
      </w:r>
      <w:r>
        <w:rPr>
          <w:rFonts w:hint="eastAsia" w:ascii="宋体" w:hAnsi="宋体" w:cs="宋体"/>
          <w:color w:val="auto"/>
          <w:sz w:val="24"/>
          <w:highlight w:val="none"/>
          <w:lang w:eastAsia="zh-CN"/>
        </w:rPr>
        <w:t>包括</w:t>
      </w:r>
      <w:r>
        <w:rPr>
          <w:rFonts w:hint="eastAsia" w:ascii="宋体" w:hAnsi="宋体" w:cs="宋体"/>
          <w:color w:val="auto"/>
          <w:sz w:val="24"/>
          <w:highlight w:val="none"/>
        </w:rPr>
        <w:t>网络与通信设施维护</w:t>
      </w:r>
      <w:r>
        <w:rPr>
          <w:rFonts w:hint="eastAsia" w:ascii="宋体" w:hAnsi="宋体" w:cs="宋体"/>
          <w:color w:val="auto"/>
          <w:sz w:val="24"/>
          <w:highlight w:val="none"/>
          <w:lang w:eastAsia="zh-CN"/>
        </w:rPr>
        <w:t>，</w:t>
      </w:r>
      <w:r>
        <w:rPr>
          <w:rFonts w:hint="eastAsia" w:ascii="宋体" w:hAnsi="宋体" w:cs="宋体"/>
          <w:color w:val="auto"/>
          <w:sz w:val="24"/>
          <w:highlight w:val="none"/>
        </w:rPr>
        <w:t>覆盖医院所有区域的网络设备，包括信息中心机房、门诊住院综合大楼、医技楼、各号楼</w:t>
      </w:r>
      <w:r>
        <w:rPr>
          <w:rFonts w:hint="eastAsia" w:ascii="宋体" w:hAnsi="宋体" w:cs="宋体"/>
          <w:color w:val="auto"/>
          <w:sz w:val="24"/>
          <w:highlight w:val="none"/>
          <w:lang w:eastAsia="zh-CN"/>
        </w:rPr>
        <w:t>、</w:t>
      </w:r>
      <w:r>
        <w:rPr>
          <w:rFonts w:hint="eastAsia" w:ascii="宋体" w:hAnsi="宋体" w:cs="宋体"/>
          <w:color w:val="auto"/>
          <w:sz w:val="24"/>
          <w:highlight w:val="none"/>
        </w:rPr>
        <w:t>第二办公区</w:t>
      </w:r>
      <w:r>
        <w:rPr>
          <w:rFonts w:hint="eastAsia" w:ascii="宋体" w:hAnsi="宋体" w:cs="宋体"/>
          <w:color w:val="auto"/>
          <w:sz w:val="24"/>
          <w:highlight w:val="none"/>
          <w:lang w:eastAsia="zh-CN"/>
        </w:rPr>
        <w:t>及新糖门诊、大岑门诊</w:t>
      </w:r>
      <w:r>
        <w:rPr>
          <w:rFonts w:hint="eastAsia" w:ascii="宋体" w:hAnsi="宋体" w:cs="宋体"/>
          <w:color w:val="auto"/>
          <w:sz w:val="24"/>
          <w:highlight w:val="none"/>
        </w:rPr>
        <w:t>等的网络设备及综合布线系统进行维护。确保网络连通性与性能，定期检查设备运行状态、端口利用率，进行VLAN划分与策略优化，并对信息中心机房</w:t>
      </w:r>
      <w:r>
        <w:rPr>
          <w:rFonts w:hint="eastAsia" w:ascii="宋体" w:hAnsi="宋体" w:cs="宋体"/>
          <w:color w:val="auto"/>
          <w:sz w:val="24"/>
          <w:highlight w:val="none"/>
          <w:lang w:val="en-US" w:eastAsia="zh-CN"/>
        </w:rPr>
        <w:t>及全院22个</w:t>
      </w:r>
      <w:r>
        <w:rPr>
          <w:rFonts w:hint="eastAsia" w:ascii="宋体" w:hAnsi="宋体" w:cs="宋体"/>
          <w:color w:val="auto"/>
          <w:sz w:val="24"/>
          <w:highlight w:val="none"/>
          <w:lang w:eastAsia="zh-CN"/>
        </w:rPr>
        <w:t>弱电间的</w:t>
      </w:r>
      <w:r>
        <w:rPr>
          <w:rFonts w:hint="eastAsia" w:ascii="宋体" w:hAnsi="宋体" w:cs="宋体"/>
          <w:color w:val="auto"/>
          <w:sz w:val="24"/>
          <w:highlight w:val="none"/>
        </w:rPr>
        <w:t>线缆进行梳理、标签规范化管理及故障信息点维修。</w:t>
      </w:r>
    </w:p>
    <w:p>
      <w:pPr>
        <w:spacing w:line="480" w:lineRule="auto"/>
        <w:ind w:firstLine="480" w:firstLineChars="200"/>
        <w:jc w:val="left"/>
        <w:rPr>
          <w:rFonts w:hint="eastAsia" w:ascii="宋体" w:hAnsi="宋体" w:cs="宋体"/>
          <w:color w:val="auto"/>
          <w:sz w:val="24"/>
          <w:highlight w:val="none"/>
        </w:rPr>
      </w:pPr>
      <w:r>
        <w:rPr>
          <w:rFonts w:hint="eastAsia" w:ascii="宋体" w:hAnsi="宋体" w:cs="宋体"/>
          <w:b w:val="0"/>
          <w:bCs w:val="0"/>
          <w:color w:val="auto"/>
          <w:sz w:val="24"/>
          <w:highlight w:val="none"/>
          <w:lang w:eastAsia="zh-CN"/>
        </w:rPr>
        <w:t>（</w:t>
      </w:r>
      <w:r>
        <w:rPr>
          <w:rFonts w:hint="eastAsia" w:ascii="宋体" w:hAnsi="宋体" w:cs="宋体"/>
          <w:b w:val="0"/>
          <w:bCs w:val="0"/>
          <w:color w:val="auto"/>
          <w:sz w:val="24"/>
          <w:highlight w:val="none"/>
          <w:lang w:val="en-US" w:eastAsia="zh-CN"/>
        </w:rPr>
        <w:t>二</w:t>
      </w:r>
      <w:r>
        <w:rPr>
          <w:rFonts w:hint="eastAsia" w:ascii="宋体" w:hAnsi="宋体" w:cs="宋体"/>
          <w:b w:val="0"/>
          <w:bCs w:val="0"/>
          <w:color w:val="auto"/>
          <w:sz w:val="24"/>
          <w:highlight w:val="none"/>
          <w:lang w:eastAsia="zh-CN"/>
        </w:rPr>
        <w:t>）</w:t>
      </w:r>
      <w:r>
        <w:rPr>
          <w:rFonts w:hint="eastAsia" w:ascii="宋体" w:hAnsi="宋体" w:cs="宋体"/>
          <w:b/>
          <w:bCs/>
          <w:color w:val="auto"/>
          <w:sz w:val="24"/>
          <w:highlight w:val="none"/>
        </w:rPr>
        <w:t xml:space="preserve"> </w:t>
      </w:r>
      <w:r>
        <w:rPr>
          <w:rFonts w:hint="eastAsia" w:ascii="宋体" w:hAnsi="宋体" w:cs="宋体"/>
          <w:b/>
          <w:bCs/>
          <w:color w:val="auto"/>
          <w:sz w:val="24"/>
          <w:highlight w:val="none"/>
          <w:lang w:val="en-US" w:eastAsia="zh-CN"/>
        </w:rPr>
        <w:t>服务器</w:t>
      </w:r>
      <w:r>
        <w:rPr>
          <w:rFonts w:hint="eastAsia" w:ascii="宋体" w:hAnsi="宋体" w:cs="宋体"/>
          <w:b/>
          <w:bCs/>
          <w:color w:val="auto"/>
          <w:sz w:val="24"/>
          <w:highlight w:val="none"/>
        </w:rPr>
        <w:t>与存储设备维护</w:t>
      </w:r>
      <w:r>
        <w:rPr>
          <w:rFonts w:hint="eastAsia" w:ascii="宋体" w:hAnsi="宋体" w:cs="宋体"/>
          <w:b/>
          <w:bCs/>
          <w:color w:val="auto"/>
          <w:sz w:val="24"/>
          <w:highlight w:val="none"/>
          <w:lang w:eastAsia="zh-CN"/>
        </w:rPr>
        <w:t>。</w:t>
      </w:r>
      <w:r>
        <w:rPr>
          <w:rFonts w:hint="eastAsia" w:ascii="宋体" w:hAnsi="宋体" w:cs="宋体"/>
          <w:color w:val="auto"/>
          <w:sz w:val="24"/>
          <w:highlight w:val="none"/>
          <w:lang w:eastAsia="zh-CN"/>
        </w:rPr>
        <w:t>包括</w:t>
      </w:r>
      <w:r>
        <w:rPr>
          <w:rFonts w:hint="eastAsia" w:ascii="宋体" w:hAnsi="宋体" w:cs="宋体"/>
          <w:color w:val="auto"/>
          <w:sz w:val="24"/>
          <w:highlight w:val="none"/>
        </w:rPr>
        <w:t>对机房内的服务器、存储设备、容灾备份系统及超融合平台进行维护。定期巡检设备硬件状态，监控性能指标，按计划进行数据备份并验证其可恢复性，同时对虚拟化平台、操作系统、集群软件及数据库提供技术支持与故障排查。</w:t>
      </w:r>
    </w:p>
    <w:p>
      <w:pPr>
        <w:spacing w:line="480" w:lineRule="auto"/>
        <w:ind w:firstLine="480" w:firstLineChars="200"/>
        <w:jc w:val="left"/>
        <w:rPr>
          <w:rFonts w:hint="eastAsia" w:ascii="宋体" w:hAnsi="宋体" w:cs="宋体"/>
          <w:color w:val="auto"/>
          <w:sz w:val="24"/>
          <w:highlight w:val="none"/>
        </w:rPr>
      </w:pPr>
      <w:r>
        <w:rPr>
          <w:rFonts w:hint="eastAsia" w:ascii="宋体" w:hAnsi="宋体" w:cs="宋体"/>
          <w:b w:val="0"/>
          <w:bCs w:val="0"/>
          <w:color w:val="auto"/>
          <w:sz w:val="24"/>
          <w:highlight w:val="none"/>
          <w:lang w:eastAsia="zh-CN"/>
        </w:rPr>
        <w:t>（</w:t>
      </w:r>
      <w:r>
        <w:rPr>
          <w:rFonts w:hint="eastAsia" w:ascii="宋体" w:hAnsi="宋体" w:cs="宋体"/>
          <w:b w:val="0"/>
          <w:bCs w:val="0"/>
          <w:color w:val="auto"/>
          <w:sz w:val="24"/>
          <w:highlight w:val="none"/>
          <w:lang w:val="en-US" w:eastAsia="zh-CN"/>
        </w:rPr>
        <w:t>三</w:t>
      </w:r>
      <w:r>
        <w:rPr>
          <w:rFonts w:hint="eastAsia" w:ascii="宋体" w:hAnsi="宋体" w:cs="宋体"/>
          <w:b w:val="0"/>
          <w:bCs w:val="0"/>
          <w:color w:val="auto"/>
          <w:sz w:val="24"/>
          <w:highlight w:val="none"/>
          <w:lang w:eastAsia="zh-CN"/>
        </w:rPr>
        <w:t>）</w:t>
      </w:r>
      <w:r>
        <w:rPr>
          <w:rFonts w:hint="eastAsia" w:ascii="宋体" w:hAnsi="宋体" w:cs="宋体"/>
          <w:b/>
          <w:bCs/>
          <w:color w:val="auto"/>
          <w:sz w:val="24"/>
          <w:highlight w:val="none"/>
        </w:rPr>
        <w:t>信息安全设备运维</w:t>
      </w:r>
      <w:r>
        <w:rPr>
          <w:rFonts w:hint="eastAsia" w:ascii="宋体" w:hAnsi="宋体" w:cs="宋体"/>
          <w:b/>
          <w:bCs/>
          <w:color w:val="auto"/>
          <w:sz w:val="24"/>
          <w:highlight w:val="none"/>
          <w:lang w:eastAsia="zh-CN"/>
        </w:rPr>
        <w:t>。</w:t>
      </w:r>
      <w:r>
        <w:rPr>
          <w:rFonts w:hint="eastAsia" w:ascii="宋体" w:hAnsi="宋体" w:cs="宋体"/>
          <w:color w:val="auto"/>
          <w:sz w:val="24"/>
          <w:highlight w:val="none"/>
          <w:lang w:eastAsia="zh-CN"/>
        </w:rPr>
        <w:t>包括</w:t>
      </w:r>
      <w:r>
        <w:rPr>
          <w:rFonts w:hint="eastAsia" w:ascii="宋体" w:hAnsi="宋体" w:cs="宋体"/>
          <w:color w:val="auto"/>
          <w:sz w:val="24"/>
          <w:highlight w:val="none"/>
        </w:rPr>
        <w:t>对防火墙、上网行为管理、堡垒机、流量探针、安全感知平台、统一端点安全管理系统等安全设备进行日常监控、策略优化、日志分析和安全加固。</w:t>
      </w:r>
    </w:p>
    <w:p>
      <w:pPr>
        <w:spacing w:line="480" w:lineRule="auto"/>
        <w:ind w:firstLine="480" w:firstLineChars="200"/>
        <w:jc w:val="left"/>
        <w:rPr>
          <w:rFonts w:hint="eastAsia" w:ascii="宋体" w:hAnsi="宋体" w:cs="宋体"/>
          <w:b/>
          <w:bCs/>
          <w:color w:val="auto"/>
          <w:sz w:val="24"/>
          <w:highlight w:val="none"/>
          <w:lang w:eastAsia="zh-CN"/>
        </w:rPr>
      </w:pPr>
      <w:r>
        <w:rPr>
          <w:rFonts w:hint="eastAsia" w:ascii="宋体" w:hAnsi="宋体" w:cs="宋体"/>
          <w:b w:val="0"/>
          <w:bCs w:val="0"/>
          <w:color w:val="auto"/>
          <w:sz w:val="24"/>
          <w:highlight w:val="none"/>
          <w:lang w:eastAsia="zh-CN"/>
        </w:rPr>
        <w:t>（</w:t>
      </w:r>
      <w:r>
        <w:rPr>
          <w:rFonts w:hint="eastAsia" w:ascii="宋体" w:hAnsi="宋体" w:cs="宋体"/>
          <w:b w:val="0"/>
          <w:bCs w:val="0"/>
          <w:color w:val="auto"/>
          <w:sz w:val="24"/>
          <w:highlight w:val="none"/>
          <w:lang w:val="en-US" w:eastAsia="zh-CN"/>
        </w:rPr>
        <w:t>四</w:t>
      </w:r>
      <w:r>
        <w:rPr>
          <w:rFonts w:hint="eastAsia" w:ascii="宋体" w:hAnsi="宋体" w:cs="宋体"/>
          <w:b w:val="0"/>
          <w:bCs w:val="0"/>
          <w:color w:val="auto"/>
          <w:sz w:val="24"/>
          <w:highlight w:val="none"/>
          <w:lang w:eastAsia="zh-CN"/>
        </w:rPr>
        <w:t>）</w:t>
      </w:r>
      <w:r>
        <w:rPr>
          <w:rFonts w:hint="eastAsia" w:ascii="宋体" w:hAnsi="宋体" w:cs="宋体"/>
          <w:b/>
          <w:bCs/>
          <w:color w:val="auto"/>
          <w:sz w:val="24"/>
          <w:highlight w:val="none"/>
        </w:rPr>
        <w:t>机房环境设施维护</w:t>
      </w:r>
      <w:r>
        <w:rPr>
          <w:rFonts w:hint="eastAsia" w:ascii="宋体" w:hAnsi="宋体" w:cs="宋体"/>
          <w:b/>
          <w:bCs/>
          <w:color w:val="auto"/>
          <w:sz w:val="24"/>
          <w:highlight w:val="none"/>
          <w:lang w:eastAsia="zh-CN"/>
        </w:rPr>
        <w:t>。</w:t>
      </w:r>
    </w:p>
    <w:p>
      <w:pPr>
        <w:spacing w:line="48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对</w:t>
      </w:r>
      <w:r>
        <w:rPr>
          <w:rFonts w:hint="eastAsia" w:ascii="宋体" w:hAnsi="宋体" w:cs="宋体"/>
          <w:color w:val="auto"/>
          <w:sz w:val="24"/>
          <w:highlight w:val="none"/>
        </w:rPr>
        <w:t>电气系统</w:t>
      </w:r>
      <w:r>
        <w:rPr>
          <w:rFonts w:hint="eastAsia" w:ascii="宋体" w:hAnsi="宋体" w:cs="宋体"/>
          <w:color w:val="auto"/>
          <w:sz w:val="24"/>
          <w:highlight w:val="none"/>
          <w:lang w:eastAsia="zh-CN"/>
        </w:rPr>
        <w:t>、</w:t>
      </w:r>
      <w:r>
        <w:rPr>
          <w:rFonts w:hint="eastAsia" w:ascii="宋体" w:hAnsi="宋体" w:cs="宋体"/>
          <w:color w:val="auto"/>
          <w:sz w:val="24"/>
          <w:highlight w:val="none"/>
        </w:rPr>
        <w:t>空调系统</w:t>
      </w:r>
      <w:r>
        <w:rPr>
          <w:rFonts w:hint="eastAsia" w:ascii="宋体" w:hAnsi="宋体" w:cs="宋体"/>
          <w:color w:val="auto"/>
          <w:sz w:val="24"/>
          <w:highlight w:val="none"/>
          <w:lang w:eastAsia="zh-CN"/>
        </w:rPr>
        <w:t>、</w:t>
      </w:r>
      <w:r>
        <w:rPr>
          <w:rFonts w:hint="eastAsia" w:ascii="宋体" w:hAnsi="宋体" w:cs="宋体"/>
          <w:color w:val="auto"/>
          <w:sz w:val="24"/>
          <w:highlight w:val="none"/>
        </w:rPr>
        <w:t>动环监控系统</w:t>
      </w:r>
      <w:r>
        <w:rPr>
          <w:rFonts w:hint="eastAsia" w:ascii="宋体" w:hAnsi="宋体" w:cs="宋体"/>
          <w:color w:val="auto"/>
          <w:sz w:val="24"/>
          <w:highlight w:val="none"/>
          <w:lang w:eastAsia="zh-CN"/>
        </w:rPr>
        <w:t>、</w:t>
      </w:r>
      <w:r>
        <w:rPr>
          <w:rFonts w:hint="eastAsia" w:ascii="宋体" w:hAnsi="宋体" w:cs="宋体"/>
          <w:color w:val="auto"/>
          <w:sz w:val="24"/>
          <w:highlight w:val="none"/>
        </w:rPr>
        <w:t>监控动力、环境的系统进行维护，确保其准确报警和有效记录。</w:t>
      </w:r>
    </w:p>
    <w:p>
      <w:pPr>
        <w:spacing w:line="48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提供信息机柜供电的12个20位PDU（16A插头输入，20位10A插座输出），同时供电插座更换为12个耦合器连接器及实现物理网线有序排布，消除交叉缠绕，所有线缆走向统一美观。</w:t>
      </w:r>
    </w:p>
    <w:p>
      <w:pPr>
        <w:spacing w:line="48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服务器区交换机升级替换服务，现有服务器区交换机接入端口为千兆网口，部分设备已支持万兆接入，并且服务器区交换机已无多余的光口。供应商提供服务器区2台14个万兆光口+8个千兆电口的交换机，进行融合改造并做堆叠使用，满足未来业务新增使用。</w:t>
      </w:r>
    </w:p>
    <w:p>
      <w:pPr>
        <w:spacing w:line="48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lang w:val="en-US"/>
        </w:rPr>
        <w:t>核心交换机业务板卡扩容服务</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现有主核心交换机万兆端口不足，供应商提供核心交换机24个万兆光口业务板卡,并配套10个光模块与10米条线，并提供板卡扩容服务。</w:t>
      </w:r>
    </w:p>
    <w:p>
      <w:pPr>
        <w:spacing w:line="480" w:lineRule="auto"/>
        <w:ind w:firstLine="480" w:firstLineChars="200"/>
        <w:jc w:val="left"/>
        <w:rPr>
          <w:rFonts w:hint="eastAsia" w:ascii="宋体" w:hAnsi="宋体" w:cs="宋体"/>
          <w:color w:val="auto"/>
          <w:sz w:val="24"/>
          <w:highlight w:val="none"/>
        </w:rPr>
      </w:pPr>
    </w:p>
    <w:p>
      <w:pPr>
        <w:spacing w:line="480" w:lineRule="auto"/>
        <w:ind w:firstLine="480" w:firstLineChars="200"/>
        <w:jc w:val="left"/>
        <w:rPr>
          <w:rFonts w:hint="eastAsia" w:ascii="宋体" w:hAnsi="宋体" w:cs="宋体"/>
          <w:color w:val="auto"/>
          <w:sz w:val="24"/>
          <w:highlight w:val="none"/>
        </w:rPr>
      </w:pPr>
    </w:p>
    <w:p>
      <w:pPr>
        <w:spacing w:line="480" w:lineRule="auto"/>
        <w:ind w:firstLine="480" w:firstLineChars="200"/>
        <w:jc w:val="left"/>
        <w:rPr>
          <w:rFonts w:hint="eastAsia" w:ascii="宋体" w:hAnsi="宋体" w:cs="宋体"/>
          <w:color w:val="auto"/>
          <w:sz w:val="24"/>
          <w:highlight w:val="none"/>
        </w:rPr>
      </w:pPr>
      <w:r>
        <w:rPr>
          <w:rFonts w:hint="eastAsia" w:ascii="宋体" w:hAnsi="宋体" w:cs="宋体"/>
          <w:b w:val="0"/>
          <w:bCs w:val="0"/>
          <w:color w:val="auto"/>
          <w:sz w:val="24"/>
          <w:highlight w:val="none"/>
          <w:lang w:eastAsia="zh-CN"/>
        </w:rPr>
        <w:t>（</w:t>
      </w:r>
      <w:r>
        <w:rPr>
          <w:rFonts w:hint="eastAsia" w:ascii="宋体" w:hAnsi="宋体" w:cs="宋体"/>
          <w:b w:val="0"/>
          <w:bCs w:val="0"/>
          <w:color w:val="auto"/>
          <w:sz w:val="24"/>
          <w:highlight w:val="none"/>
          <w:lang w:val="en-US" w:eastAsia="zh-CN"/>
        </w:rPr>
        <w:t>五</w:t>
      </w:r>
      <w:r>
        <w:rPr>
          <w:rFonts w:hint="eastAsia" w:ascii="宋体" w:hAnsi="宋体" w:cs="宋体"/>
          <w:b w:val="0"/>
          <w:bCs w:val="0"/>
          <w:color w:val="auto"/>
          <w:sz w:val="24"/>
          <w:highlight w:val="none"/>
          <w:lang w:eastAsia="zh-CN"/>
        </w:rPr>
        <w:t>）</w:t>
      </w:r>
      <w:r>
        <w:rPr>
          <w:rFonts w:hint="eastAsia" w:ascii="宋体" w:hAnsi="宋体" w:cs="宋体"/>
          <w:b/>
          <w:bCs/>
          <w:color w:val="auto"/>
          <w:sz w:val="24"/>
          <w:highlight w:val="none"/>
        </w:rPr>
        <w:t>安全服务与升级</w:t>
      </w:r>
      <w:r>
        <w:rPr>
          <w:rFonts w:hint="eastAsia" w:ascii="宋体" w:hAnsi="宋体" w:cs="宋体"/>
          <w:b/>
          <w:bCs/>
          <w:color w:val="auto"/>
          <w:sz w:val="24"/>
          <w:highlight w:val="none"/>
          <w:lang w:eastAsia="zh-CN"/>
        </w:rPr>
        <w:t>。</w:t>
      </w:r>
      <w:r>
        <w:rPr>
          <w:rFonts w:hint="eastAsia" w:ascii="宋体" w:hAnsi="宋体" w:cs="宋体"/>
          <w:color w:val="auto"/>
          <w:sz w:val="24"/>
          <w:highlight w:val="none"/>
          <w:lang w:eastAsia="zh-CN"/>
        </w:rPr>
        <w:t>包括</w:t>
      </w:r>
      <w:r>
        <w:rPr>
          <w:rFonts w:hint="eastAsia" w:ascii="宋体" w:hAnsi="宋体" w:cs="宋体"/>
          <w:color w:val="auto"/>
          <w:sz w:val="24"/>
          <w:highlight w:val="none"/>
        </w:rPr>
        <w:t>防火墙、上网行为管理</w:t>
      </w:r>
      <w:r>
        <w:rPr>
          <w:rFonts w:hint="eastAsia" w:ascii="宋体" w:hAnsi="宋体" w:cs="宋体"/>
          <w:color w:val="auto"/>
          <w:sz w:val="24"/>
          <w:highlight w:val="none"/>
          <w:lang w:val="en-US" w:eastAsia="zh-CN"/>
        </w:rPr>
        <w:t>等设备</w:t>
      </w:r>
      <w:r>
        <w:rPr>
          <w:rFonts w:hint="eastAsia" w:ascii="宋体" w:hAnsi="宋体" w:cs="宋体"/>
          <w:color w:val="auto"/>
          <w:sz w:val="24"/>
          <w:highlight w:val="none"/>
        </w:rPr>
        <w:t>安全更新与订阅并及时更新病毒库、漏洞特征库、入侵防御特征库等，以应对最新安全威胁。</w:t>
      </w:r>
    </w:p>
    <w:p>
      <w:pPr>
        <w:spacing w:line="480" w:lineRule="auto"/>
        <w:ind w:firstLine="480" w:firstLineChars="200"/>
        <w:jc w:val="left"/>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对超融合等平台进行固件或系统升级前，需完成配置及数据备份，并制定回滚预案</w:t>
      </w:r>
      <w:r>
        <w:rPr>
          <w:rFonts w:hint="eastAsia" w:ascii="宋体" w:hAnsi="宋体" w:cs="宋体"/>
          <w:color w:val="auto"/>
          <w:sz w:val="24"/>
          <w:highlight w:val="none"/>
          <w:lang w:eastAsia="zh-CN"/>
        </w:rPr>
        <w:t>。</w:t>
      </w:r>
    </w:p>
    <w:p>
      <w:pPr>
        <w:spacing w:line="48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2.对年度新上线业务系统上线前做</w:t>
      </w:r>
      <w:r>
        <w:rPr>
          <w:rFonts w:hint="eastAsia" w:ascii="宋体" w:hAnsi="宋体" w:cs="宋体"/>
          <w:color w:val="auto"/>
          <w:sz w:val="24"/>
          <w:highlight w:val="none"/>
        </w:rPr>
        <w:t>漏洞扫描</w:t>
      </w:r>
      <w:r>
        <w:rPr>
          <w:rFonts w:hint="eastAsia" w:ascii="宋体" w:hAnsi="宋体" w:cs="宋体"/>
          <w:color w:val="auto"/>
          <w:sz w:val="24"/>
          <w:highlight w:val="none"/>
          <w:lang w:val="en-US" w:eastAsia="zh-CN"/>
        </w:rPr>
        <w:t>及</w:t>
      </w:r>
      <w:r>
        <w:rPr>
          <w:rFonts w:hint="eastAsia" w:ascii="宋体" w:hAnsi="宋体" w:cs="宋体"/>
          <w:color w:val="auto"/>
          <w:sz w:val="24"/>
          <w:highlight w:val="none"/>
        </w:rPr>
        <w:t>渗透测试，每季度进行漏洞扫描</w:t>
      </w:r>
      <w:r>
        <w:rPr>
          <w:rFonts w:hint="eastAsia" w:ascii="宋体" w:hAnsi="宋体" w:cs="宋体"/>
          <w:color w:val="auto"/>
          <w:sz w:val="24"/>
          <w:highlight w:val="none"/>
          <w:lang w:val="en-US" w:eastAsia="zh-CN"/>
        </w:rPr>
        <w:t>及</w:t>
      </w:r>
      <w:r>
        <w:rPr>
          <w:rFonts w:hint="eastAsia" w:ascii="宋体" w:hAnsi="宋体" w:cs="宋体"/>
          <w:color w:val="auto"/>
          <w:sz w:val="24"/>
          <w:highlight w:val="none"/>
        </w:rPr>
        <w:t>渗透测试</w:t>
      </w:r>
      <w:r>
        <w:rPr>
          <w:rFonts w:hint="eastAsia" w:ascii="宋体" w:hAnsi="宋体" w:cs="宋体"/>
          <w:color w:val="auto"/>
          <w:sz w:val="24"/>
          <w:highlight w:val="none"/>
          <w:lang w:eastAsia="zh-CN"/>
        </w:rPr>
        <w:t>，</w:t>
      </w:r>
      <w:r>
        <w:rPr>
          <w:rFonts w:hint="eastAsia" w:ascii="宋体" w:hAnsi="宋体" w:cs="宋体"/>
          <w:color w:val="auto"/>
          <w:sz w:val="24"/>
          <w:highlight w:val="none"/>
        </w:rPr>
        <w:t>发现系统安全隐患，协助修复并提交报告</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其中渗透测试报告需第三方具有相关资质的机构出具报告</w:t>
      </w:r>
      <w:r>
        <w:rPr>
          <w:rFonts w:hint="eastAsia" w:ascii="宋体" w:hAnsi="宋体" w:cs="宋体"/>
          <w:color w:val="auto"/>
          <w:sz w:val="24"/>
          <w:highlight w:val="none"/>
        </w:rPr>
        <w:t>。</w:t>
      </w:r>
    </w:p>
    <w:p>
      <w:pPr>
        <w:spacing w:line="480" w:lineRule="auto"/>
        <w:ind w:firstLine="480" w:firstLineChars="200"/>
        <w:jc w:val="left"/>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3.每年至少提供4次</w:t>
      </w:r>
      <w:r>
        <w:rPr>
          <w:rFonts w:hint="eastAsia" w:ascii="宋体" w:hAnsi="宋体" w:cs="宋体"/>
          <w:color w:val="auto"/>
          <w:sz w:val="24"/>
          <w:highlight w:val="none"/>
        </w:rPr>
        <w:t>对网络结构、安全策略进行评估优化</w:t>
      </w:r>
      <w:r>
        <w:rPr>
          <w:rFonts w:hint="eastAsia" w:ascii="宋体" w:hAnsi="宋体" w:cs="宋体"/>
          <w:color w:val="auto"/>
          <w:sz w:val="24"/>
          <w:highlight w:val="none"/>
          <w:lang w:val="en-US" w:eastAsia="zh-CN"/>
        </w:rPr>
        <w:t>服务</w:t>
      </w:r>
      <w:r>
        <w:rPr>
          <w:rFonts w:hint="eastAsia" w:ascii="宋体" w:hAnsi="宋体" w:cs="宋体"/>
          <w:color w:val="auto"/>
          <w:sz w:val="24"/>
          <w:highlight w:val="none"/>
        </w:rPr>
        <w:t>，协助进行安全自查整改</w:t>
      </w:r>
      <w:r>
        <w:rPr>
          <w:rFonts w:hint="eastAsia" w:ascii="宋体" w:hAnsi="宋体" w:cs="宋体"/>
          <w:color w:val="auto"/>
          <w:sz w:val="24"/>
          <w:highlight w:val="none"/>
          <w:lang w:eastAsia="zh-CN"/>
        </w:rPr>
        <w:t>。</w:t>
      </w:r>
    </w:p>
    <w:p>
      <w:pPr>
        <w:spacing w:line="48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制定应急演练预案，在</w:t>
      </w:r>
      <w:r>
        <w:rPr>
          <w:rFonts w:hint="eastAsia" w:ascii="宋体" w:hAnsi="宋体" w:cs="宋体"/>
          <w:color w:val="auto"/>
          <w:sz w:val="24"/>
          <w:highlight w:val="none"/>
          <w:lang w:val="en-US" w:eastAsia="zh-CN"/>
        </w:rPr>
        <w:t>每年</w:t>
      </w:r>
      <w:r>
        <w:rPr>
          <w:rFonts w:hint="eastAsia" w:ascii="宋体" w:hAnsi="宋体" w:cs="宋体"/>
          <w:color w:val="auto"/>
          <w:sz w:val="24"/>
          <w:highlight w:val="none"/>
        </w:rPr>
        <w:t>协助单位开展</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次应急演练</w:t>
      </w:r>
      <w:r>
        <w:rPr>
          <w:rFonts w:hint="eastAsia" w:ascii="宋体" w:hAnsi="宋体" w:cs="宋体"/>
          <w:color w:val="auto"/>
          <w:sz w:val="24"/>
          <w:highlight w:val="none"/>
          <w:lang w:val="en-US" w:eastAsia="zh-CN"/>
        </w:rPr>
        <w:t>服务，并出具应急演练报告。发生</w:t>
      </w:r>
      <w:r>
        <w:rPr>
          <w:rFonts w:hint="eastAsia" w:ascii="宋体" w:hAnsi="宋体" w:cs="宋体"/>
          <w:color w:val="auto"/>
          <w:sz w:val="24"/>
          <w:highlight w:val="none"/>
        </w:rPr>
        <w:t>重大活动期间</w:t>
      </w:r>
      <w:r>
        <w:rPr>
          <w:rFonts w:hint="eastAsia" w:ascii="宋体" w:hAnsi="宋体" w:cs="宋体"/>
          <w:color w:val="auto"/>
          <w:sz w:val="24"/>
          <w:highlight w:val="none"/>
          <w:lang w:val="en-US" w:eastAsia="zh-CN"/>
        </w:rPr>
        <w:t>或</w:t>
      </w:r>
      <w:r>
        <w:rPr>
          <w:rFonts w:hint="eastAsia" w:ascii="宋体" w:hAnsi="宋体" w:cs="宋体"/>
          <w:color w:val="auto"/>
          <w:sz w:val="24"/>
          <w:highlight w:val="none"/>
        </w:rPr>
        <w:t>网络安全攻防演练，提供重点时段的安全保障和现场值守服务。</w:t>
      </w:r>
    </w:p>
    <w:p>
      <w:pPr>
        <w:pStyle w:val="6"/>
        <w:spacing w:line="480" w:lineRule="auto"/>
        <w:ind w:firstLine="420" w:firstLineChars="0"/>
        <w:rPr>
          <w:rFonts w:hint="eastAsia" w:ascii="宋体" w:hAnsi="宋体" w:cs="宋体" w:eastAsiaTheme="minorEastAsia"/>
          <w:color w:val="auto"/>
          <w:kern w:val="2"/>
          <w:sz w:val="24"/>
          <w:szCs w:val="24"/>
          <w:highlight w:val="none"/>
          <w:lang w:val="en-US" w:eastAsia="zh-CN" w:bidi="ar-SA"/>
        </w:rPr>
      </w:pPr>
      <w:r>
        <w:rPr>
          <w:rFonts w:hint="eastAsia" w:cs="宋体" w:eastAsiaTheme="minorEastAsia"/>
          <w:color w:val="auto"/>
          <w:kern w:val="2"/>
          <w:sz w:val="24"/>
          <w:szCs w:val="24"/>
          <w:highlight w:val="none"/>
          <w:lang w:val="en-US" w:eastAsia="zh-CN" w:bidi="ar-SA"/>
        </w:rPr>
        <w:t>5.</w:t>
      </w:r>
      <w:r>
        <w:rPr>
          <w:rFonts w:hint="eastAsia" w:ascii="宋体" w:hAnsi="宋体" w:cs="宋体" w:eastAsiaTheme="minorEastAsia"/>
          <w:color w:val="auto"/>
          <w:kern w:val="2"/>
          <w:sz w:val="24"/>
          <w:szCs w:val="24"/>
          <w:highlight w:val="none"/>
          <w:lang w:val="en-US" w:eastAsia="zh-CN" w:bidi="ar-SA"/>
        </w:rPr>
        <w:t>每年对我HIS、LIS、PACS三个业务系统进行系统风险评估1次，提供</w:t>
      </w:r>
      <w:r>
        <w:rPr>
          <w:rFonts w:hint="eastAsia" w:ascii="宋体" w:hAnsi="宋体" w:cs="宋体"/>
          <w:color w:val="auto"/>
          <w:sz w:val="24"/>
          <w:highlight w:val="none"/>
          <w:lang w:val="en-US" w:eastAsia="zh-CN"/>
        </w:rPr>
        <w:t>第三方具有相关资质，并</w:t>
      </w:r>
      <w:r>
        <w:rPr>
          <w:rFonts w:hint="eastAsia" w:ascii="宋体" w:hAnsi="宋体" w:cs="宋体" w:eastAsiaTheme="minorEastAsia"/>
          <w:color w:val="auto"/>
          <w:kern w:val="2"/>
          <w:sz w:val="24"/>
          <w:szCs w:val="24"/>
          <w:highlight w:val="none"/>
          <w:lang w:val="en-US" w:eastAsia="zh-CN" w:bidi="ar-SA"/>
        </w:rPr>
        <w:t>符合国家标准的风险评估报告</w:t>
      </w:r>
      <w:r>
        <w:rPr>
          <w:rFonts w:hint="eastAsia" w:cs="宋体" w:eastAsiaTheme="minorEastAsia"/>
          <w:color w:val="auto"/>
          <w:kern w:val="2"/>
          <w:sz w:val="24"/>
          <w:szCs w:val="24"/>
          <w:highlight w:val="none"/>
          <w:lang w:val="en-US" w:eastAsia="zh-CN" w:bidi="ar-SA"/>
        </w:rPr>
        <w:t>。</w:t>
      </w:r>
    </w:p>
    <w:p>
      <w:pPr>
        <w:spacing w:line="480" w:lineRule="auto"/>
        <w:ind w:firstLine="480" w:firstLineChars="200"/>
        <w:jc w:val="left"/>
        <w:rPr>
          <w:rFonts w:hint="eastAsia" w:ascii="宋体" w:hAnsi="宋体" w:cs="宋体" w:eastAsiaTheme="minorEastAsia"/>
          <w:color w:val="auto"/>
          <w:kern w:val="2"/>
          <w:sz w:val="24"/>
          <w:szCs w:val="24"/>
          <w:highlight w:val="none"/>
          <w:lang w:val="en-US" w:eastAsia="zh-CN" w:bidi="ar-SA"/>
        </w:rPr>
      </w:pPr>
      <w:r>
        <w:rPr>
          <w:rFonts w:hint="eastAsia" w:ascii="宋体" w:hAnsi="宋体" w:cs="宋体" w:eastAsiaTheme="minorEastAsia"/>
          <w:color w:val="auto"/>
          <w:kern w:val="2"/>
          <w:sz w:val="24"/>
          <w:szCs w:val="24"/>
          <w:highlight w:val="none"/>
          <w:lang w:val="en-US" w:eastAsia="zh-CN" w:bidi="ar-SA"/>
        </w:rPr>
        <w:t>6.按照中山市医疗卫生机构网络数据安全绩效考核指标要求，协助完善相关指标及材料的整理工作。</w:t>
      </w:r>
    </w:p>
    <w:p>
      <w:pPr>
        <w:spacing w:line="480" w:lineRule="auto"/>
        <w:ind w:firstLine="480" w:firstLineChars="200"/>
        <w:jc w:val="left"/>
        <w:rPr>
          <w:rFonts w:hint="eastAsia" w:ascii="宋体" w:hAnsi="宋体" w:cs="宋体"/>
          <w:b/>
          <w:bCs/>
          <w:color w:val="auto"/>
          <w:sz w:val="24"/>
          <w:highlight w:val="none"/>
        </w:rPr>
      </w:pPr>
      <w:r>
        <w:rPr>
          <w:rFonts w:hint="eastAsia" w:ascii="宋体" w:hAnsi="宋体" w:cs="宋体"/>
          <w:b w:val="0"/>
          <w:bCs w:val="0"/>
          <w:color w:val="auto"/>
          <w:sz w:val="24"/>
          <w:highlight w:val="none"/>
          <w:lang w:eastAsia="zh-CN"/>
        </w:rPr>
        <w:t>（</w:t>
      </w:r>
      <w:r>
        <w:rPr>
          <w:rFonts w:hint="eastAsia" w:ascii="宋体" w:hAnsi="宋体" w:cs="宋体"/>
          <w:b w:val="0"/>
          <w:bCs w:val="0"/>
          <w:color w:val="auto"/>
          <w:sz w:val="24"/>
          <w:highlight w:val="none"/>
          <w:lang w:val="en-US" w:eastAsia="zh-CN"/>
        </w:rPr>
        <w:t>六</w:t>
      </w:r>
      <w:r>
        <w:rPr>
          <w:rFonts w:hint="eastAsia" w:ascii="宋体" w:hAnsi="宋体" w:cs="宋体"/>
          <w:b w:val="0"/>
          <w:bCs w:val="0"/>
          <w:color w:val="auto"/>
          <w:sz w:val="24"/>
          <w:highlight w:val="none"/>
          <w:lang w:eastAsia="zh-CN"/>
        </w:rPr>
        <w:t>）</w:t>
      </w:r>
      <w:r>
        <w:rPr>
          <w:rFonts w:hint="eastAsia" w:ascii="宋体" w:hAnsi="宋体" w:cs="宋体"/>
          <w:b/>
          <w:bCs/>
          <w:color w:val="auto"/>
          <w:sz w:val="24"/>
          <w:highlight w:val="none"/>
        </w:rPr>
        <w:t>医保专网、120专网、新糖口腔科专网：</w:t>
      </w:r>
    </w:p>
    <w:p>
      <w:pPr>
        <w:spacing w:line="48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提供中山市黄圃人民医院（地址：中山市黄圃镇龙安街32号）至中山市医疗保障局(地址：中山市中山三路26号市府第二办公区）1条100M、中山市急救中心（地址：中山市孙文东路2号）一条10M和新糖口腔科(地址：中山市黄圃镇新明中路7号）一条100M，合计3条VPN专用网络通道服务。</w:t>
      </w:r>
    </w:p>
    <w:p>
      <w:pPr>
        <w:spacing w:line="480" w:lineRule="auto"/>
        <w:ind w:firstLine="480" w:firstLineChars="200"/>
        <w:jc w:val="left"/>
        <w:rPr>
          <w:rFonts w:hint="eastAsia" w:ascii="宋体" w:hAnsi="宋体" w:cs="宋体"/>
          <w:b/>
          <w:bCs/>
          <w:color w:val="auto"/>
          <w:sz w:val="24"/>
          <w:highlight w:val="none"/>
          <w:lang w:val="en-US" w:eastAsia="zh-CN"/>
        </w:rPr>
      </w:pPr>
      <w:r>
        <w:rPr>
          <w:rFonts w:hint="eastAsia" w:ascii="宋体" w:hAnsi="宋体" w:cs="宋体"/>
          <w:b w:val="0"/>
          <w:bCs w:val="0"/>
          <w:color w:val="auto"/>
          <w:sz w:val="24"/>
          <w:highlight w:val="none"/>
          <w:lang w:val="en-US" w:eastAsia="zh-CN"/>
        </w:rPr>
        <w:t>（七）</w:t>
      </w:r>
      <w:r>
        <w:rPr>
          <w:rFonts w:hint="eastAsia" w:ascii="宋体" w:hAnsi="宋体" w:cs="宋体"/>
          <w:b/>
          <w:bCs/>
          <w:color w:val="auto"/>
          <w:sz w:val="24"/>
          <w:highlight w:val="none"/>
          <w:lang w:val="en-US" w:eastAsia="zh-CN"/>
        </w:rPr>
        <w:t>网络安全等级保护复测服务（HIS\LIS\PACS）</w:t>
      </w:r>
    </w:p>
    <w:p>
      <w:pPr>
        <w:spacing w:line="48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差距测评：根据网络安全等级保护定级情况，制定信息系统安全等级保护测评方案，对信息系统涉及的机房、网络/安全设备、主机设备、应用系统、安全管理体系等进行等级保护差距测评，并提交不符合项表和整改建议（现场测评）。对被测信息系统服务器、应用系统进行漏洞扫描，列出被测信息系统中存在的主要问题以及可能造成的后果，并提出整改建议（现场扫描+远程扫描）。根据扫描结果进行漏洞分析及说明，对系统开展渗透测试，进行弱口令测试及其他手工测试，并提交修复建议（互联网渗透+现场渗透）。</w:t>
      </w:r>
    </w:p>
    <w:p>
      <w:pPr>
        <w:spacing w:line="48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整改与验收测评：完成网络安全整改与加固工作，</w:t>
      </w:r>
      <w:r>
        <w:rPr>
          <w:rFonts w:hint="eastAsia" w:ascii="宋体" w:hAnsi="宋体" w:cs="宋体"/>
          <w:color w:val="auto"/>
          <w:sz w:val="24"/>
          <w:highlight w:val="none"/>
          <w:lang w:val="en-US" w:eastAsia="zh-CN"/>
        </w:rPr>
        <w:t>我院</w:t>
      </w:r>
      <w:r>
        <w:rPr>
          <w:rFonts w:hint="eastAsia" w:ascii="宋体" w:hAnsi="宋体" w:cs="宋体"/>
          <w:color w:val="000000" w:themeColor="text1"/>
          <w:sz w:val="24"/>
          <w:highlight w:val="none"/>
          <w:lang w:eastAsia="zh-CN"/>
          <w14:textFill>
            <w14:solidFill>
              <w14:schemeClr w14:val="tx1"/>
            </w14:solidFill>
          </w14:textFill>
        </w:rPr>
        <w:t>根</w:t>
      </w:r>
      <w:r>
        <w:rPr>
          <w:rFonts w:hint="eastAsia" w:ascii="宋体" w:hAnsi="宋体" w:cs="宋体"/>
          <w:color w:val="auto"/>
          <w:sz w:val="24"/>
          <w:highlight w:val="none"/>
        </w:rPr>
        <w:t>据《GBT28448-2019信息安全技术网络安全等级保护测评要求》及相关等保2.0标准和要求，对信息系统进行验收性测评，并</w:t>
      </w:r>
      <w:r>
        <w:rPr>
          <w:rFonts w:hint="eastAsia" w:ascii="宋体" w:hAnsi="宋体" w:cs="宋体"/>
          <w:color w:val="auto"/>
          <w:sz w:val="24"/>
          <w:highlight w:val="none"/>
          <w:lang w:eastAsia="zh-CN"/>
        </w:rPr>
        <w:t>出具</w:t>
      </w:r>
      <w:r>
        <w:rPr>
          <w:rFonts w:hint="eastAsia" w:ascii="宋体" w:hAnsi="宋体" w:cs="宋体"/>
          <w:color w:val="auto"/>
          <w:sz w:val="24"/>
          <w:highlight w:val="none"/>
        </w:rPr>
        <w:t>测评报告（现场测评）。</w:t>
      </w:r>
    </w:p>
    <w:p>
      <w:pPr>
        <w:spacing w:line="480" w:lineRule="auto"/>
        <w:ind w:firstLine="480" w:firstLineChars="200"/>
        <w:jc w:val="left"/>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交付物：《xxx系统网络安全等级保护测评报告》</w:t>
      </w:r>
      <w:r>
        <w:rPr>
          <w:rFonts w:hint="eastAsia" w:ascii="宋体" w:hAnsi="宋体" w:cs="宋体"/>
          <w:color w:val="auto"/>
          <w:sz w:val="24"/>
          <w:highlight w:val="none"/>
          <w:lang w:eastAsia="zh-CN"/>
        </w:rPr>
        <w:t>。</w:t>
      </w:r>
    </w:p>
    <w:p>
      <w:pPr>
        <w:pStyle w:val="14"/>
        <w:rPr>
          <w:rFonts w:hint="eastAsia"/>
          <w:color w:val="auto"/>
          <w:highlight w:val="none"/>
        </w:rPr>
      </w:pPr>
    </w:p>
    <w:p>
      <w:pPr>
        <w:spacing w:line="360" w:lineRule="auto"/>
        <w:jc w:val="left"/>
        <w:rPr>
          <w:rFonts w:hint="eastAsia" w:ascii="宋体" w:hAnsi="宋体" w:eastAsia="宋体" w:cs="宋体"/>
          <w:b/>
          <w:bCs/>
          <w:color w:val="auto"/>
          <w:sz w:val="24"/>
          <w:szCs w:val="22"/>
          <w:highlight w:val="none"/>
          <w:lang w:eastAsia="zh-CN"/>
        </w:rPr>
      </w:pPr>
      <w:r>
        <w:rPr>
          <w:rFonts w:hint="eastAsia" w:ascii="宋体" w:hAnsi="宋体" w:eastAsia="宋体" w:cs="宋体"/>
          <w:b/>
          <w:bCs/>
          <w:color w:val="auto"/>
          <w:sz w:val="24"/>
          <w:szCs w:val="22"/>
          <w:highlight w:val="none"/>
          <w:lang w:val="en-US" w:eastAsia="zh-CN"/>
        </w:rPr>
        <w:t>四</w:t>
      </w:r>
      <w:r>
        <w:rPr>
          <w:rFonts w:hint="eastAsia" w:ascii="宋体" w:hAnsi="宋体" w:eastAsia="宋体" w:cs="宋体"/>
          <w:b/>
          <w:bCs/>
          <w:color w:val="auto"/>
          <w:sz w:val="24"/>
          <w:szCs w:val="22"/>
          <w:highlight w:val="none"/>
        </w:rPr>
        <w:t>、</w:t>
      </w:r>
      <w:r>
        <w:rPr>
          <w:rFonts w:hint="eastAsia" w:ascii="宋体" w:hAnsi="宋体" w:cs="宋体"/>
          <w:b/>
          <w:bCs/>
          <w:color w:val="auto"/>
          <w:sz w:val="24"/>
          <w:szCs w:val="22"/>
          <w:highlight w:val="none"/>
          <w:lang w:eastAsia="zh-CN"/>
        </w:rPr>
        <w:t>技术要求</w:t>
      </w:r>
    </w:p>
    <w:p>
      <w:pPr>
        <w:spacing w:line="480" w:lineRule="auto"/>
        <w:ind w:firstLine="480" w:firstLineChars="200"/>
        <w:jc w:val="left"/>
        <w:rPr>
          <w:rFonts w:hint="eastAsia" w:ascii="宋体" w:hAnsi="宋体" w:eastAsia="宋体" w:cs="宋体"/>
          <w:b/>
          <w:bCs/>
          <w:color w:val="auto"/>
          <w:sz w:val="24"/>
          <w:highlight w:val="none"/>
          <w:lang w:val="en-US" w:eastAsia="zh-CN"/>
        </w:rPr>
      </w:pPr>
      <w:r>
        <w:rPr>
          <w:rFonts w:hint="eastAsia" w:ascii="宋体" w:hAnsi="宋体" w:cs="宋体"/>
          <w:b w:val="0"/>
          <w:bCs w:val="0"/>
          <w:color w:val="auto"/>
          <w:sz w:val="24"/>
          <w:highlight w:val="none"/>
          <w:lang w:val="en-US" w:eastAsia="zh-CN"/>
        </w:rPr>
        <w:t>（一）</w:t>
      </w:r>
      <w:r>
        <w:rPr>
          <w:rFonts w:hint="eastAsia" w:ascii="宋体" w:hAnsi="宋体" w:eastAsia="宋体" w:cs="宋体"/>
          <w:b/>
          <w:bCs/>
          <w:color w:val="auto"/>
          <w:sz w:val="24"/>
          <w:highlight w:val="none"/>
          <w:lang w:val="en-US" w:eastAsia="zh-CN"/>
        </w:rPr>
        <w:t>信息类设备明细表</w:t>
      </w:r>
    </w:p>
    <w:p>
      <w:pPr>
        <w:spacing w:line="480" w:lineRule="auto"/>
        <w:ind w:firstLine="480" w:firstLineChars="200"/>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lang w:val="en-US" w:eastAsia="zh-CN"/>
        </w:rPr>
        <w:t>见</w:t>
      </w:r>
      <w:r>
        <w:rPr>
          <w:rFonts w:hint="eastAsia" w:ascii="宋体" w:hAnsi="宋体" w:eastAsia="宋体" w:cs="宋体"/>
          <w:color w:val="auto"/>
          <w:sz w:val="24"/>
          <w:highlight w:val="none"/>
        </w:rPr>
        <w:t>附件2:信息化设备维保清单</w:t>
      </w:r>
    </w:p>
    <w:p>
      <w:pPr>
        <w:spacing w:line="480" w:lineRule="auto"/>
        <w:ind w:firstLine="480" w:firstLineChars="200"/>
        <w:jc w:val="left"/>
        <w:rPr>
          <w:rFonts w:hint="eastAsia" w:ascii="宋体" w:hAnsi="宋体" w:eastAsia="宋体" w:cs="宋体"/>
          <w:b/>
          <w:bCs/>
          <w:color w:val="auto"/>
          <w:sz w:val="24"/>
          <w:highlight w:val="none"/>
          <w:lang w:val="en-US" w:eastAsia="zh-CN"/>
        </w:rPr>
      </w:pPr>
      <w:r>
        <w:rPr>
          <w:rFonts w:hint="eastAsia" w:ascii="宋体" w:hAnsi="宋体" w:cs="宋体"/>
          <w:b w:val="0"/>
          <w:bCs w:val="0"/>
          <w:color w:val="auto"/>
          <w:sz w:val="24"/>
          <w:highlight w:val="none"/>
          <w:lang w:val="en-US" w:eastAsia="zh-CN"/>
        </w:rPr>
        <w:t>（二）</w:t>
      </w:r>
      <w:r>
        <w:rPr>
          <w:rFonts w:hint="eastAsia" w:ascii="宋体" w:hAnsi="宋体" w:eastAsia="宋体" w:cs="宋体"/>
          <w:b/>
          <w:bCs/>
          <w:color w:val="auto"/>
          <w:sz w:val="24"/>
          <w:highlight w:val="none"/>
          <w:lang w:val="en-US" w:eastAsia="zh-CN"/>
        </w:rPr>
        <w:t>维护服务要求</w:t>
      </w:r>
    </w:p>
    <w:p>
      <w:pPr>
        <w:spacing w:line="480" w:lineRule="auto"/>
        <w:ind w:firstLine="480" w:firstLineChars="200"/>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提供1名或以上精通相关设备的维保技术人员或团队根据院方要求进行全年的不定期驻场服务，并提供7*24小时的远程技术支持，维护供应商及团队提供对应的资质证明。</w:t>
      </w:r>
    </w:p>
    <w:p>
      <w:pPr>
        <w:spacing w:line="480" w:lineRule="auto"/>
        <w:ind w:firstLine="480" w:firstLineChars="200"/>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工程师需对机房所涉及的设备、操作系统进行充分熟悉学习并熟练掌握安装配置维护技术，当设备出现问题时，能及时发现并协助相关技术人员解决故障。</w:t>
      </w:r>
    </w:p>
    <w:p>
      <w:pPr>
        <w:spacing w:line="480" w:lineRule="auto"/>
        <w:ind w:firstLine="480" w:firstLineChars="200"/>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维护人员接到采购人报障后先初步排除故障，能现场解决的现场处理，需要更换配件的及时和采购人相关人员沟通。</w:t>
      </w:r>
    </w:p>
    <w:p>
      <w:pPr>
        <w:spacing w:line="480" w:lineRule="auto"/>
        <w:ind w:firstLine="480" w:firstLineChars="200"/>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保障措施</w:t>
      </w:r>
    </w:p>
    <w:p>
      <w:pPr>
        <w:spacing w:line="480" w:lineRule="auto"/>
        <w:ind w:firstLine="480" w:firstLineChars="200"/>
        <w:jc w:val="lef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硬件设备</w:t>
      </w:r>
      <w:r>
        <w:rPr>
          <w:rFonts w:hint="eastAsia" w:ascii="宋体" w:hAnsi="宋体" w:eastAsia="宋体" w:cs="宋体"/>
          <w:color w:val="auto"/>
          <w:sz w:val="24"/>
          <w:highlight w:val="none"/>
        </w:rPr>
        <w:t>故障</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供应商需承诺在规定时间内无偿提供不低于故障设备规格型号档次的备品备件，直至故障设备修复完成:供应商需具备售后服务能力，包括不限于拥有相应的设备和人员，可随时上门进行维修及检测</w:t>
      </w:r>
      <w:r>
        <w:rPr>
          <w:rFonts w:hint="eastAsia" w:ascii="宋体" w:hAnsi="宋体" w:eastAsia="宋体" w:cs="宋体"/>
          <w:color w:val="auto"/>
          <w:sz w:val="24"/>
          <w:highlight w:val="none"/>
          <w:lang w:val="en-US" w:eastAsia="zh-CN"/>
        </w:rPr>
        <w:t>。维护期间各系统设备因故障需要更换备件的，由维护公司提供设备的备件报价。备件报价不得高于市场销售价格</w:t>
      </w:r>
      <w:r>
        <w:rPr>
          <w:rFonts w:hint="eastAsia" w:ascii="宋体" w:hAnsi="宋体" w:cs="宋体"/>
          <w:color w:val="auto"/>
          <w:sz w:val="24"/>
          <w:highlight w:val="none"/>
          <w:lang w:val="en-US" w:eastAsia="zh-CN"/>
        </w:rPr>
        <w:t>。</w:t>
      </w:r>
    </w:p>
    <w:p>
      <w:pPr>
        <w:spacing w:line="480" w:lineRule="auto"/>
        <w:ind w:firstLine="480" w:firstLineChars="200"/>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远程技术支持服务</w:t>
      </w:r>
    </w:p>
    <w:p>
      <w:pPr>
        <w:spacing w:line="48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要求设有客户服务热线，提供全天候无间断的产品技术咨询、故障申报、硬件维修、培训需求受理、以及服务政策咨询等服务内容。除此之外，应为采购人建立详尽的服务档案，帮助采购人进行服务历史情况回顾和总结。可提供服务内容：</w:t>
      </w:r>
    </w:p>
    <w:p>
      <w:pPr>
        <w:spacing w:line="480" w:lineRule="auto"/>
        <w:ind w:firstLine="480" w:firstLineChars="200"/>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5.1</w:t>
      </w:r>
      <w:r>
        <w:rPr>
          <w:rFonts w:hint="eastAsia" w:ascii="宋体" w:hAnsi="宋体" w:eastAsia="宋体" w:cs="宋体"/>
          <w:color w:val="auto"/>
          <w:sz w:val="24"/>
          <w:highlight w:val="none"/>
        </w:rPr>
        <w:t>售后技术咨询、故障申报、远程故障受理；</w:t>
      </w:r>
    </w:p>
    <w:p>
      <w:pPr>
        <w:spacing w:line="480" w:lineRule="auto"/>
        <w:ind w:firstLine="480" w:firstLineChars="200"/>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5.2</w:t>
      </w:r>
      <w:r>
        <w:rPr>
          <w:rFonts w:hint="eastAsia" w:ascii="宋体" w:hAnsi="宋体" w:eastAsia="宋体" w:cs="宋体"/>
          <w:color w:val="auto"/>
          <w:sz w:val="24"/>
          <w:highlight w:val="none"/>
        </w:rPr>
        <w:t>产品技术咨询、设备硬件更换/维修、培训请求；</w:t>
      </w:r>
    </w:p>
    <w:p>
      <w:pPr>
        <w:spacing w:line="480" w:lineRule="auto"/>
        <w:ind w:firstLine="480" w:firstLineChars="200"/>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5.3</w:t>
      </w:r>
      <w:r>
        <w:rPr>
          <w:rFonts w:hint="eastAsia" w:ascii="宋体" w:hAnsi="宋体" w:eastAsia="宋体" w:cs="宋体"/>
          <w:color w:val="auto"/>
          <w:sz w:val="24"/>
          <w:highlight w:val="none"/>
        </w:rPr>
        <w:t>服务产品咨询以及服务投诉与建议；</w:t>
      </w:r>
    </w:p>
    <w:p>
      <w:pPr>
        <w:spacing w:line="480" w:lineRule="auto"/>
        <w:ind w:firstLine="480" w:firstLineChars="200"/>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5.4</w:t>
      </w:r>
      <w:r>
        <w:rPr>
          <w:rFonts w:hint="eastAsia" w:ascii="宋体" w:hAnsi="宋体" w:eastAsia="宋体" w:cs="宋体"/>
          <w:color w:val="auto"/>
          <w:sz w:val="24"/>
          <w:highlight w:val="none"/>
        </w:rPr>
        <w:t>最新版本获取、产品配套的用户配置手册；</w:t>
      </w:r>
    </w:p>
    <w:p>
      <w:pPr>
        <w:spacing w:line="480" w:lineRule="auto"/>
        <w:ind w:firstLine="480" w:firstLineChars="200"/>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5.5</w:t>
      </w:r>
      <w:r>
        <w:rPr>
          <w:rFonts w:hint="eastAsia" w:ascii="宋体" w:hAnsi="宋体" w:eastAsia="宋体" w:cs="宋体"/>
          <w:color w:val="auto"/>
          <w:sz w:val="24"/>
          <w:highlight w:val="none"/>
        </w:rPr>
        <w:t>在线技术支持、在线咨询答疑。</w:t>
      </w:r>
    </w:p>
    <w:p>
      <w:pPr>
        <w:spacing w:line="480" w:lineRule="auto"/>
        <w:ind w:firstLine="480" w:firstLineChars="200"/>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服务响应时间</w:t>
      </w:r>
    </w:p>
    <w:p>
      <w:pPr>
        <w:spacing w:line="480" w:lineRule="auto"/>
        <w:ind w:firstLine="480" w:firstLineChars="200"/>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 xml:space="preserve">6.1 </w:t>
      </w:r>
      <w:r>
        <w:rPr>
          <w:rFonts w:hint="eastAsia" w:ascii="宋体" w:hAnsi="宋体" w:eastAsia="宋体" w:cs="宋体"/>
          <w:color w:val="auto"/>
          <w:sz w:val="24"/>
          <w:highlight w:val="none"/>
        </w:rPr>
        <w:t>30分钟响应方式：在接到维护服务信息后，30分钟内安排驻场技术人员到达故障现场，处理系统故障。</w:t>
      </w:r>
    </w:p>
    <w:p>
      <w:pPr>
        <w:spacing w:line="480" w:lineRule="auto"/>
        <w:ind w:firstLine="480" w:firstLineChars="200"/>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 xml:space="preserve">6.2 </w:t>
      </w:r>
      <w:r>
        <w:rPr>
          <w:rFonts w:hint="eastAsia" w:ascii="宋体" w:hAnsi="宋体" w:eastAsia="宋体" w:cs="宋体"/>
          <w:color w:val="auto"/>
          <w:sz w:val="24"/>
          <w:highlight w:val="none"/>
        </w:rPr>
        <w:t>2小时响应方式：经技术人员检修，如预计设备故障在2小时内无法排除的情况，将在设备故障时间起计2小时内提供不低于故障设备档次及性能的备用设备供采购人使用，直至故障设备修复。</w:t>
      </w:r>
    </w:p>
    <w:p>
      <w:pPr>
        <w:spacing w:line="480" w:lineRule="auto"/>
        <w:ind w:firstLine="480" w:firstLineChars="200"/>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 xml:space="preserve">6.3 </w:t>
      </w:r>
      <w:r>
        <w:rPr>
          <w:rFonts w:hint="eastAsia" w:ascii="宋体" w:hAnsi="宋体" w:eastAsia="宋体" w:cs="宋体"/>
          <w:color w:val="auto"/>
          <w:sz w:val="24"/>
          <w:highlight w:val="none"/>
        </w:rPr>
        <w:t>24小时响应方式：提供24小时响应服务，全天24小时服务热线电话，2小时内提供备件更换服务等。</w:t>
      </w:r>
    </w:p>
    <w:p>
      <w:pPr>
        <w:spacing w:line="480" w:lineRule="auto"/>
        <w:ind w:firstLine="480" w:firstLineChars="200"/>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现场技术支持服务</w:t>
      </w:r>
      <w:r>
        <w:rPr>
          <w:rFonts w:hint="eastAsia" w:ascii="宋体" w:hAnsi="宋体" w:eastAsia="宋体" w:cs="宋体"/>
          <w:color w:val="auto"/>
          <w:sz w:val="24"/>
          <w:highlight w:val="none"/>
          <w:lang w:val="en-US" w:eastAsia="zh-CN"/>
        </w:rPr>
        <w:t>要求</w:t>
      </w:r>
    </w:p>
    <w:p>
      <w:pPr>
        <w:spacing w:line="480" w:lineRule="auto"/>
        <w:ind w:firstLine="480" w:firstLineChars="200"/>
        <w:jc w:val="lef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7.1</w:t>
      </w:r>
      <w:r>
        <w:rPr>
          <w:rFonts w:hint="eastAsia" w:ascii="宋体" w:hAnsi="宋体" w:eastAsia="宋体" w:cs="宋体"/>
          <w:color w:val="auto"/>
          <w:sz w:val="24"/>
          <w:highlight w:val="none"/>
        </w:rPr>
        <w:t>在服务期内，当故障不能使用有效的远程支持方式进行解决时，成交人需派遣工程师赶往采购人现场，协助进行现场故障诊断及现场故障排除。</w:t>
      </w:r>
    </w:p>
    <w:p>
      <w:pPr>
        <w:spacing w:line="480" w:lineRule="auto"/>
        <w:ind w:firstLine="480" w:firstLineChars="200"/>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7.2</w:t>
      </w:r>
      <w:r>
        <w:rPr>
          <w:rFonts w:hint="eastAsia" w:ascii="宋体" w:hAnsi="宋体" w:eastAsia="宋体" w:cs="宋体"/>
          <w:color w:val="auto"/>
          <w:sz w:val="24"/>
          <w:highlight w:val="none"/>
        </w:rPr>
        <w:t>采购人重要会议期间，成交人需派遣工程师驻点，协助采购人解决突发设备使用问题。</w:t>
      </w:r>
    </w:p>
    <w:p>
      <w:pPr>
        <w:spacing w:line="480" w:lineRule="auto"/>
        <w:ind w:firstLine="480" w:firstLineChars="200"/>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7.3</w:t>
      </w:r>
      <w:r>
        <w:rPr>
          <w:rFonts w:hint="eastAsia" w:ascii="宋体" w:hAnsi="宋体" w:eastAsia="宋体" w:cs="宋体"/>
          <w:color w:val="auto"/>
          <w:sz w:val="24"/>
          <w:highlight w:val="none"/>
        </w:rPr>
        <w:t>一旦确定需要前往现场处理，无论故障级别，工程师须赶往现场，排除故障。</w:t>
      </w:r>
    </w:p>
    <w:p>
      <w:pPr>
        <w:spacing w:line="480" w:lineRule="auto"/>
        <w:ind w:firstLine="480" w:firstLineChars="200"/>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rPr>
        <w:t>技术团队要求</w:t>
      </w:r>
    </w:p>
    <w:p>
      <w:pPr>
        <w:spacing w:line="480" w:lineRule="auto"/>
        <w:ind w:firstLine="480" w:firstLineChars="200"/>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8.1</w:t>
      </w:r>
      <w:r>
        <w:rPr>
          <w:rFonts w:hint="eastAsia" w:ascii="宋体" w:hAnsi="宋体" w:eastAsia="宋体" w:cs="宋体"/>
          <w:color w:val="auto"/>
          <w:sz w:val="24"/>
          <w:highlight w:val="none"/>
        </w:rPr>
        <w:t>为保证项目进度与质量，需配合采购人时间部署和工作要求。</w:t>
      </w:r>
    </w:p>
    <w:p>
      <w:pPr>
        <w:spacing w:line="480" w:lineRule="auto"/>
        <w:ind w:firstLine="480" w:firstLineChars="200"/>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8.2</w:t>
      </w:r>
      <w:r>
        <w:rPr>
          <w:rFonts w:hint="eastAsia" w:ascii="宋体" w:hAnsi="宋体" w:eastAsia="宋体" w:cs="宋体"/>
          <w:color w:val="auto"/>
          <w:sz w:val="24"/>
          <w:highlight w:val="none"/>
        </w:rPr>
        <w:t>项目经理（项目负责人）需对本项目的整体工作负责，随时与采购人沟通，指导和监督团队其他人员每天的工作计划，跟踪项目进度，及时处理项目中碰到的问题。项目入场时提供项目经理、技术团队的相关资质</w:t>
      </w:r>
      <w:r>
        <w:rPr>
          <w:rFonts w:hint="eastAsia" w:ascii="宋体" w:hAnsi="宋体" w:eastAsia="宋体" w:cs="宋体"/>
          <w:color w:val="auto"/>
          <w:sz w:val="24"/>
          <w:highlight w:val="none"/>
          <w:lang w:val="en-US" w:eastAsia="zh-CN"/>
        </w:rPr>
        <w:t>及社保证明</w:t>
      </w:r>
      <w:r>
        <w:rPr>
          <w:rFonts w:hint="eastAsia" w:ascii="宋体" w:hAnsi="宋体" w:eastAsia="宋体" w:cs="宋体"/>
          <w:color w:val="auto"/>
          <w:sz w:val="24"/>
          <w:highlight w:val="none"/>
        </w:rPr>
        <w:t>（如项目管理专业人员、网络工程师、安全及云计算资深工程师、CISP注册信息安全专业、安全渗透测试工程师等）。</w:t>
      </w:r>
    </w:p>
    <w:p>
      <w:pPr>
        <w:spacing w:line="480" w:lineRule="auto"/>
        <w:ind w:firstLine="480" w:firstLineChars="200"/>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8.3</w:t>
      </w:r>
      <w:r>
        <w:rPr>
          <w:rFonts w:hint="eastAsia" w:ascii="宋体" w:hAnsi="宋体" w:eastAsia="宋体" w:cs="宋体"/>
          <w:color w:val="auto"/>
          <w:sz w:val="24"/>
          <w:highlight w:val="none"/>
        </w:rPr>
        <w:t>严格按照进度要求监督项目进度。对可能影响进度的情况，提前做好准备工作。</w:t>
      </w:r>
    </w:p>
    <w:p>
      <w:pPr>
        <w:spacing w:line="480" w:lineRule="auto"/>
        <w:ind w:firstLine="480" w:firstLineChars="200"/>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8.4</w:t>
      </w:r>
      <w:r>
        <w:rPr>
          <w:rFonts w:hint="eastAsia" w:ascii="宋体" w:hAnsi="宋体" w:eastAsia="宋体" w:cs="宋体"/>
          <w:color w:val="auto"/>
          <w:sz w:val="24"/>
          <w:highlight w:val="none"/>
        </w:rPr>
        <w:t>保证有充足的后备与应急人员，以应付突发的大量临时性指定任务，确保项目进度。</w:t>
      </w:r>
    </w:p>
    <w:p>
      <w:pPr>
        <w:spacing w:line="480" w:lineRule="auto"/>
        <w:ind w:firstLine="480" w:firstLineChars="200"/>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8.5</w:t>
      </w:r>
      <w:r>
        <w:rPr>
          <w:rFonts w:hint="eastAsia" w:ascii="宋体" w:hAnsi="宋体" w:eastAsia="宋体" w:cs="宋体"/>
          <w:color w:val="auto"/>
          <w:sz w:val="24"/>
          <w:highlight w:val="none"/>
        </w:rPr>
        <w:t>成交供应商需配备多名后备工程师作为本项目现场及远程技术支持，协助解决疑难技术问题。</w:t>
      </w:r>
    </w:p>
    <w:p>
      <w:pPr>
        <w:spacing w:line="480" w:lineRule="auto"/>
        <w:ind w:firstLine="480" w:firstLineChars="200"/>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8.6</w:t>
      </w:r>
      <w:r>
        <w:rPr>
          <w:rFonts w:hint="eastAsia" w:ascii="宋体" w:hAnsi="宋体" w:eastAsia="宋体" w:cs="宋体"/>
          <w:color w:val="auto"/>
          <w:sz w:val="24"/>
          <w:highlight w:val="none"/>
        </w:rPr>
        <w:t>项目团队成员需具有与项目相匹配的专业技术能力。</w:t>
      </w:r>
    </w:p>
    <w:p>
      <w:pPr>
        <w:spacing w:line="480" w:lineRule="auto"/>
        <w:ind w:firstLine="480" w:firstLineChars="200"/>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rPr>
        <w:t>应急服务</w:t>
      </w:r>
    </w:p>
    <w:p>
      <w:pPr>
        <w:spacing w:line="480" w:lineRule="auto"/>
        <w:ind w:firstLine="480" w:firstLineChars="200"/>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9.1</w:t>
      </w:r>
      <w:r>
        <w:rPr>
          <w:rFonts w:hint="eastAsia" w:ascii="宋体" w:hAnsi="宋体" w:eastAsia="宋体" w:cs="宋体"/>
          <w:color w:val="auto"/>
          <w:sz w:val="24"/>
          <w:highlight w:val="none"/>
        </w:rPr>
        <w:t>应急情况一般是指：系统宕机且未能确定故障原因、因突发事件并发而造成不能提供有效备件、第一次现场服务故障未排除、因自然灾害等不可抗力造成设备损坏等情况。</w:t>
      </w:r>
    </w:p>
    <w:p>
      <w:pPr>
        <w:spacing w:line="480" w:lineRule="auto"/>
        <w:ind w:firstLine="480" w:firstLineChars="200"/>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9.2</w:t>
      </w:r>
      <w:r>
        <w:rPr>
          <w:rFonts w:hint="eastAsia" w:ascii="宋体" w:hAnsi="宋体" w:eastAsia="宋体" w:cs="宋体"/>
          <w:color w:val="auto"/>
          <w:sz w:val="24"/>
          <w:highlight w:val="none"/>
        </w:rPr>
        <w:t>以下情况虽然不属于成交供应商责任范围，但成交供应商要尽全力予以配合：因地震、雷击、战争等不可抗拒力造成设备损坏；因供电系统、火灾等造成设备损坏。</w:t>
      </w:r>
    </w:p>
    <w:p>
      <w:pPr>
        <w:spacing w:line="480" w:lineRule="auto"/>
        <w:ind w:firstLine="480" w:firstLineChars="200"/>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9.3</w:t>
      </w:r>
      <w:r>
        <w:rPr>
          <w:rFonts w:hint="eastAsia" w:ascii="宋体" w:hAnsi="宋体" w:eastAsia="宋体" w:cs="宋体"/>
          <w:color w:val="auto"/>
          <w:sz w:val="24"/>
          <w:highlight w:val="none"/>
        </w:rPr>
        <w:t>应急响应时间：法定节假日期间，如发生重大故障，成交供应商应在5分钟内响应，在半小时内由驻点人员赶赴现场。同时以最快速度与采购人共同讨论，在20分钟内成立应急事件处理小组，组织后备专业技术团队，制定应急预案，与驻点技术人员一同以最快速度进行故障处理，直至问题解决。</w:t>
      </w:r>
    </w:p>
    <w:p>
      <w:pPr>
        <w:spacing w:line="480" w:lineRule="auto"/>
        <w:ind w:firstLine="480" w:firstLineChars="200"/>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9.4</w:t>
      </w:r>
      <w:r>
        <w:rPr>
          <w:rFonts w:hint="eastAsia" w:ascii="宋体" w:hAnsi="宋体" w:eastAsia="宋体" w:cs="宋体"/>
          <w:color w:val="auto"/>
          <w:sz w:val="24"/>
          <w:highlight w:val="none"/>
        </w:rPr>
        <w:t>应急措施：在突发应急情况时，将迅速派出高层管理人员赶赴现场，会同采购人领导共同协商，调度指挥各方面有效资源完成抢修工作。针对不同情况，将单独或同时采取以下几种应急措施：</w:t>
      </w:r>
    </w:p>
    <w:p>
      <w:pPr>
        <w:spacing w:line="480" w:lineRule="auto"/>
        <w:ind w:firstLine="480" w:firstLineChars="200"/>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9.5</w:t>
      </w:r>
      <w:r>
        <w:rPr>
          <w:rFonts w:hint="eastAsia" w:ascii="宋体" w:hAnsi="宋体" w:eastAsia="宋体" w:cs="宋体"/>
          <w:color w:val="auto"/>
          <w:sz w:val="24"/>
          <w:highlight w:val="none"/>
        </w:rPr>
        <w:t>紧急备机替换：当服务器设备出现故障且无法快速恢复时，成交供应商需提供备用机给采购人，以保障采购人业务系统在最短的时间内恢复运行。</w:t>
      </w:r>
    </w:p>
    <w:p>
      <w:pPr>
        <w:spacing w:line="480" w:lineRule="auto"/>
        <w:ind w:firstLine="480" w:firstLineChars="200"/>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9.6</w:t>
      </w:r>
      <w:r>
        <w:rPr>
          <w:rFonts w:hint="eastAsia" w:ascii="宋体" w:hAnsi="宋体" w:eastAsia="宋体" w:cs="宋体"/>
          <w:color w:val="auto"/>
          <w:sz w:val="24"/>
          <w:highlight w:val="none"/>
        </w:rPr>
        <w:t>紧急调用第三方资源：与现有设备厂家建立良好合作关系，可以获得各厂商优先的技术支持和备件服务。在十分紧急情况下，可借助第三方后备厂商资源，包括备件、技术资源、技术工程师等。</w:t>
      </w:r>
    </w:p>
    <w:p>
      <w:pPr>
        <w:spacing w:line="480" w:lineRule="auto"/>
        <w:ind w:firstLine="480" w:firstLineChars="200"/>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9.7</w:t>
      </w:r>
      <w:r>
        <w:rPr>
          <w:rFonts w:hint="eastAsia" w:ascii="宋体" w:hAnsi="宋体" w:eastAsia="宋体" w:cs="宋体"/>
          <w:color w:val="auto"/>
          <w:sz w:val="24"/>
          <w:highlight w:val="none"/>
        </w:rPr>
        <w:t>重大故障书面报告：在重大设备故障解决之后，成交供应商应对重大故障事件形成书面报告给医院，将事故发生原因、处理方式以及如何避免再次发生的方法等内容进行详细记录，并归入设备档案库中，在项目服务期结束后统一交还医院，以便作为日后借鉴依据。</w:t>
      </w:r>
    </w:p>
    <w:p>
      <w:pPr>
        <w:spacing w:line="480" w:lineRule="auto"/>
        <w:ind w:firstLine="480" w:firstLineChars="200"/>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10.</w:t>
      </w:r>
      <w:r>
        <w:rPr>
          <w:rFonts w:hint="eastAsia" w:ascii="宋体" w:hAnsi="宋体" w:eastAsia="宋体" w:cs="宋体"/>
          <w:color w:val="auto"/>
          <w:sz w:val="24"/>
          <w:highlight w:val="none"/>
        </w:rPr>
        <w:t>定期设备检查</w:t>
      </w:r>
    </w:p>
    <w:p>
      <w:pPr>
        <w:spacing w:line="480" w:lineRule="auto"/>
        <w:ind w:firstLine="480" w:firstLineChars="200"/>
        <w:jc w:val="left"/>
        <w:rPr>
          <w:rFonts w:hint="eastAsia" w:ascii="宋体" w:hAnsi="宋体" w:eastAsia="宋体" w:cs="宋体"/>
          <w:color w:val="auto"/>
          <w:sz w:val="24"/>
          <w:highlight w:val="none"/>
          <w:cs/>
        </w:rPr>
      </w:pPr>
      <w:r>
        <w:rPr>
          <w:rFonts w:hint="eastAsia" w:ascii="宋体" w:hAnsi="宋体" w:eastAsia="宋体" w:cs="宋体"/>
          <w:color w:val="auto"/>
          <w:sz w:val="24"/>
          <w:highlight w:val="none"/>
          <w:cs/>
        </w:rPr>
        <w:t>基于对服务双方终极目标是</w:t>
      </w:r>
      <w:r>
        <w:rPr>
          <w:rFonts w:hint="eastAsia" w:ascii="宋体" w:hAnsi="宋体" w:eastAsia="宋体" w:cs="宋体"/>
          <w:color w:val="auto"/>
          <w:sz w:val="24"/>
          <w:highlight w:val="none"/>
        </w:rPr>
        <w:t>“</w:t>
      </w:r>
      <w:r>
        <w:rPr>
          <w:rFonts w:hint="eastAsia" w:ascii="宋体" w:hAnsi="宋体" w:eastAsia="宋体" w:cs="宋体"/>
          <w:color w:val="auto"/>
          <w:sz w:val="24"/>
          <w:highlight w:val="none"/>
          <w:cs/>
        </w:rPr>
        <w:t>最大限度避免故障发生</w:t>
      </w:r>
      <w:r>
        <w:rPr>
          <w:rFonts w:hint="eastAsia" w:ascii="宋体" w:hAnsi="宋体" w:eastAsia="宋体" w:cs="宋体"/>
          <w:color w:val="auto"/>
          <w:sz w:val="24"/>
          <w:highlight w:val="none"/>
        </w:rPr>
        <w:t>”</w:t>
      </w:r>
      <w:r>
        <w:rPr>
          <w:rFonts w:hint="eastAsia" w:ascii="宋体" w:hAnsi="宋体" w:eastAsia="宋体" w:cs="宋体"/>
          <w:color w:val="auto"/>
          <w:sz w:val="24"/>
          <w:highlight w:val="none"/>
          <w:cs/>
        </w:rPr>
        <w:t>的理解，根据</w:t>
      </w:r>
      <w:r>
        <w:rPr>
          <w:rFonts w:hint="eastAsia" w:ascii="宋体" w:hAnsi="宋体" w:cs="宋体"/>
          <w:color w:val="auto"/>
          <w:sz w:val="24"/>
          <w:highlight w:val="none"/>
          <w:lang w:eastAsia="zh-CN"/>
        </w:rPr>
        <w:t>采购人</w:t>
      </w:r>
      <w:r>
        <w:rPr>
          <w:rFonts w:hint="eastAsia" w:ascii="宋体" w:hAnsi="宋体" w:eastAsia="宋体" w:cs="宋体"/>
          <w:color w:val="auto"/>
          <w:sz w:val="24"/>
          <w:highlight w:val="none"/>
          <w:cs/>
        </w:rPr>
        <w:t>的需求，</w:t>
      </w:r>
      <w:r>
        <w:rPr>
          <w:rFonts w:hint="eastAsia" w:ascii="宋体" w:hAnsi="宋体" w:eastAsia="宋体" w:cs="宋体"/>
          <w:color w:val="auto"/>
          <w:sz w:val="24"/>
          <w:highlight w:val="none"/>
        </w:rPr>
        <w:t>每季度对</w:t>
      </w:r>
      <w:r>
        <w:rPr>
          <w:rFonts w:hint="eastAsia" w:ascii="宋体" w:hAnsi="宋体" w:cs="宋体"/>
          <w:color w:val="auto"/>
          <w:sz w:val="24"/>
          <w:highlight w:val="none"/>
          <w:lang w:eastAsia="zh-CN"/>
        </w:rPr>
        <w:t>采购人</w:t>
      </w:r>
      <w:r>
        <w:rPr>
          <w:rFonts w:hint="eastAsia" w:ascii="宋体" w:hAnsi="宋体" w:eastAsia="宋体" w:cs="宋体"/>
          <w:color w:val="auto"/>
          <w:sz w:val="24"/>
          <w:highlight w:val="none"/>
        </w:rPr>
        <w:t>的保修设备进行全面检查，</w:t>
      </w:r>
      <w:r>
        <w:rPr>
          <w:rFonts w:hint="eastAsia" w:ascii="宋体" w:hAnsi="宋体" w:eastAsia="宋体" w:cs="宋体"/>
          <w:color w:val="auto"/>
          <w:sz w:val="24"/>
          <w:highlight w:val="none"/>
          <w:cs/>
        </w:rPr>
        <w:t>将可能存在的故障隐患提前诊断和处理，保障</w:t>
      </w:r>
      <w:r>
        <w:rPr>
          <w:rFonts w:hint="eastAsia" w:ascii="宋体" w:hAnsi="宋体" w:eastAsia="宋体" w:cs="宋体"/>
          <w:color w:val="auto"/>
          <w:sz w:val="24"/>
          <w:highlight w:val="none"/>
        </w:rPr>
        <w:t>用户</w:t>
      </w:r>
      <w:r>
        <w:rPr>
          <w:rFonts w:hint="eastAsia" w:ascii="宋体" w:hAnsi="宋体" w:eastAsia="宋体" w:cs="宋体"/>
          <w:color w:val="auto"/>
          <w:sz w:val="24"/>
          <w:highlight w:val="none"/>
          <w:cs/>
        </w:rPr>
        <w:t>系统的稳健运转。</w:t>
      </w:r>
    </w:p>
    <w:p>
      <w:pPr>
        <w:spacing w:line="48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具体维护计划为：</w:t>
      </w:r>
    </w:p>
    <w:p>
      <w:pPr>
        <w:spacing w:line="480" w:lineRule="auto"/>
        <w:ind w:firstLine="480" w:firstLineChars="200"/>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10.1</w:t>
      </w:r>
      <w:r>
        <w:rPr>
          <w:rFonts w:hint="eastAsia" w:ascii="宋体" w:hAnsi="宋体" w:eastAsia="宋体" w:cs="宋体"/>
          <w:color w:val="auto"/>
          <w:sz w:val="24"/>
          <w:highlight w:val="none"/>
        </w:rPr>
        <w:t>每个季度（最长时间间隔）派经验丰富的工程师到用户主要核心设备（包含网络安全设备、服务器存储、核心及各楼层接入交换机、精密空调、UPS等）现场进行全面检查维护同时疏通精密空调下水管，每半年免费更换一次空调滤网。并提供详细的巡检报告，格式自拟。</w:t>
      </w:r>
    </w:p>
    <w:p>
      <w:pPr>
        <w:spacing w:line="480" w:lineRule="auto"/>
        <w:ind w:firstLine="480" w:firstLineChars="200"/>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10.2</w:t>
      </w:r>
      <w:r>
        <w:rPr>
          <w:rFonts w:hint="eastAsia" w:ascii="宋体" w:hAnsi="宋体" w:eastAsia="宋体" w:cs="宋体"/>
          <w:color w:val="auto"/>
          <w:sz w:val="24"/>
          <w:highlight w:val="none"/>
        </w:rPr>
        <w:t>在重大节日前派经验丰富的工程师到用户主要核心设备（包含服务器存储、核心及各楼层接入交换机、精密空调、UPS等）现场进行全面检查维护。对维护范围内的系统、设备协助进行安全检查。</w:t>
      </w:r>
    </w:p>
    <w:p>
      <w:pPr>
        <w:spacing w:line="480" w:lineRule="auto"/>
        <w:ind w:firstLine="480" w:firstLineChars="200"/>
        <w:jc w:val="left"/>
        <w:rPr>
          <w:rFonts w:hint="eastAsia" w:ascii="宋体" w:hAnsi="宋体" w:eastAsia="宋体" w:cs="宋体"/>
          <w:color w:val="auto"/>
          <w:sz w:val="24"/>
          <w:highlight w:val="none"/>
        </w:rPr>
      </w:pPr>
      <w:r>
        <w:rPr>
          <w:rFonts w:hint="eastAsia" w:ascii="宋体" w:hAnsi="宋体" w:cs="宋体"/>
          <w:color w:val="auto"/>
          <w:sz w:val="24"/>
          <w:highlight w:val="none"/>
          <w:cs w:val="0"/>
          <w:lang w:val="en-US" w:eastAsia="zh-CN"/>
        </w:rPr>
        <w:t>10.3</w:t>
      </w:r>
      <w:r>
        <w:rPr>
          <w:rFonts w:hint="eastAsia" w:ascii="宋体" w:hAnsi="宋体" w:eastAsia="宋体" w:cs="宋体"/>
          <w:color w:val="auto"/>
          <w:sz w:val="24"/>
          <w:highlight w:val="none"/>
          <w:cs/>
        </w:rPr>
        <w:t>详细记录</w:t>
      </w:r>
      <w:r>
        <w:rPr>
          <w:rFonts w:hint="eastAsia" w:ascii="宋体" w:hAnsi="宋体" w:eastAsia="宋体" w:cs="宋体"/>
          <w:color w:val="auto"/>
          <w:sz w:val="24"/>
          <w:highlight w:val="none"/>
        </w:rPr>
        <w:t>定期检查</w:t>
      </w:r>
      <w:r>
        <w:rPr>
          <w:rFonts w:hint="eastAsia" w:ascii="宋体" w:hAnsi="宋体" w:eastAsia="宋体" w:cs="宋体"/>
          <w:color w:val="auto"/>
          <w:sz w:val="24"/>
          <w:highlight w:val="none"/>
          <w:cs/>
        </w:rPr>
        <w:t>服务的处理方式、过程、结果等现场工作纪要等。</w:t>
      </w:r>
    </w:p>
    <w:p>
      <w:pPr>
        <w:spacing w:line="480" w:lineRule="auto"/>
        <w:ind w:firstLine="480" w:firstLineChars="200"/>
        <w:jc w:val="left"/>
        <w:rPr>
          <w:rFonts w:hint="eastAsia" w:ascii="宋体" w:hAnsi="宋体" w:eastAsia="宋体" w:cs="宋体"/>
          <w:color w:val="auto"/>
          <w:sz w:val="24"/>
          <w:highlight w:val="none"/>
          <w:cs/>
        </w:rPr>
      </w:pPr>
      <w:r>
        <w:rPr>
          <w:rFonts w:hint="eastAsia" w:ascii="宋体" w:hAnsi="宋体" w:cs="宋体"/>
          <w:color w:val="auto"/>
          <w:sz w:val="24"/>
          <w:highlight w:val="none"/>
          <w:lang w:val="en-US" w:eastAsia="zh-CN"/>
        </w:rPr>
        <w:t>10.4</w:t>
      </w:r>
      <w:r>
        <w:rPr>
          <w:rFonts w:hint="eastAsia" w:ascii="宋体" w:hAnsi="宋体" w:eastAsia="宋体" w:cs="宋体"/>
          <w:color w:val="auto"/>
          <w:sz w:val="24"/>
          <w:highlight w:val="none"/>
        </w:rPr>
        <w:t>根据巡检结果，在巡检结束之日起的5天内向</w:t>
      </w:r>
      <w:r>
        <w:rPr>
          <w:rFonts w:hint="eastAsia" w:ascii="宋体" w:hAnsi="宋体" w:eastAsia="宋体" w:cs="宋体"/>
          <w:color w:val="auto"/>
          <w:sz w:val="24"/>
          <w:highlight w:val="none"/>
          <w:lang w:val="en-US"/>
        </w:rPr>
        <w:t>采购人</w:t>
      </w:r>
      <w:r>
        <w:rPr>
          <w:rFonts w:hint="eastAsia" w:ascii="宋体" w:hAnsi="宋体" w:eastAsia="宋体" w:cs="宋体"/>
          <w:color w:val="auto"/>
          <w:sz w:val="24"/>
          <w:highlight w:val="none"/>
        </w:rPr>
        <w:t>提交完整的巡检报告，并对巡检中发现的故障隐患提出改进方案，在改进方案中应明确整改时间计划，经</w:t>
      </w:r>
      <w:r>
        <w:rPr>
          <w:rFonts w:hint="eastAsia" w:ascii="宋体" w:hAnsi="宋体" w:eastAsia="宋体" w:cs="宋体"/>
          <w:color w:val="auto"/>
          <w:sz w:val="24"/>
          <w:highlight w:val="none"/>
          <w:lang w:val="en-US"/>
        </w:rPr>
        <w:t>采购人</w:t>
      </w:r>
      <w:r>
        <w:rPr>
          <w:rFonts w:hint="eastAsia" w:ascii="宋体" w:hAnsi="宋体" w:eastAsia="宋体" w:cs="宋体"/>
          <w:color w:val="auto"/>
          <w:sz w:val="24"/>
          <w:highlight w:val="none"/>
        </w:rPr>
        <w:t>确认后按计划完成整改。</w:t>
      </w:r>
    </w:p>
    <w:p>
      <w:pPr>
        <w:spacing w:line="480" w:lineRule="auto"/>
        <w:ind w:firstLine="480" w:firstLineChars="200"/>
        <w:jc w:val="left"/>
        <w:rPr>
          <w:rFonts w:hint="eastAsia" w:ascii="宋体" w:hAnsi="宋体" w:eastAsia="宋体" w:cs="宋体"/>
          <w:color w:val="auto"/>
          <w:sz w:val="24"/>
          <w:highlight w:val="none"/>
          <w:cs w:val="0"/>
          <w:lang w:val="en-US" w:eastAsia="zh-CN"/>
        </w:rPr>
      </w:pPr>
      <w:r>
        <w:rPr>
          <w:rFonts w:hint="eastAsia" w:ascii="宋体" w:hAnsi="宋体" w:cs="宋体"/>
          <w:color w:val="auto"/>
          <w:sz w:val="24"/>
          <w:highlight w:val="none"/>
          <w:lang w:val="en-US" w:eastAsia="zh-CN"/>
        </w:rPr>
        <w:t>10.5</w:t>
      </w:r>
      <w:r>
        <w:rPr>
          <w:rFonts w:hint="eastAsia" w:ascii="宋体" w:hAnsi="宋体" w:eastAsia="宋体" w:cs="宋体"/>
          <w:color w:val="auto"/>
          <w:sz w:val="24"/>
          <w:highlight w:val="none"/>
        </w:rPr>
        <w:t>每个季度</w:t>
      </w:r>
      <w:r>
        <w:rPr>
          <w:rFonts w:hint="eastAsia" w:ascii="宋体" w:hAnsi="宋体" w:eastAsia="宋体" w:cs="宋体"/>
          <w:color w:val="auto"/>
          <w:sz w:val="24"/>
          <w:highlight w:val="none"/>
          <w:cs w:val="0"/>
          <w:lang w:val="en-US" w:eastAsia="zh-CN"/>
        </w:rPr>
        <w:t>巡检一次所有弱电间</w:t>
      </w:r>
      <w:r>
        <w:rPr>
          <w:rFonts w:hint="eastAsia" w:ascii="宋体" w:hAnsi="宋体" w:eastAsia="宋体" w:cs="宋体"/>
          <w:color w:val="auto"/>
          <w:sz w:val="24"/>
          <w:highlight w:val="none"/>
        </w:rPr>
        <w:t>所有线缆走向统一美观</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保持</w:t>
      </w:r>
      <w:r>
        <w:rPr>
          <w:rFonts w:hint="eastAsia" w:ascii="宋体" w:hAnsi="宋体" w:eastAsia="宋体" w:cs="宋体"/>
          <w:color w:val="auto"/>
          <w:sz w:val="24"/>
          <w:highlight w:val="none"/>
          <w:cs w:val="0"/>
          <w:lang w:val="en-US" w:eastAsia="zh-CN"/>
        </w:rPr>
        <w:t>弱电间清洁。</w:t>
      </w:r>
    </w:p>
    <w:p>
      <w:pPr>
        <w:spacing w:line="480" w:lineRule="auto"/>
        <w:ind w:firstLine="480" w:firstLineChars="200"/>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11.</w:t>
      </w:r>
      <w:r>
        <w:rPr>
          <w:rFonts w:hint="eastAsia" w:ascii="宋体" w:hAnsi="宋体" w:eastAsia="宋体" w:cs="宋体"/>
          <w:color w:val="auto"/>
          <w:sz w:val="24"/>
          <w:highlight w:val="none"/>
        </w:rPr>
        <w:t>漏洞修复</w:t>
      </w:r>
    </w:p>
    <w:p>
      <w:pPr>
        <w:spacing w:line="480" w:lineRule="auto"/>
        <w:ind w:firstLine="480" w:firstLineChars="200"/>
        <w:jc w:val="left"/>
        <w:rPr>
          <w:rFonts w:hint="default" w:ascii="宋体" w:hAnsi="宋体" w:eastAsia="宋体" w:cs="宋体"/>
          <w:color w:val="auto"/>
          <w:sz w:val="24"/>
          <w:szCs w:val="22"/>
          <w:highlight w:val="none"/>
          <w:cs/>
          <w:lang w:val="en-US" w:eastAsia="zh-CN"/>
        </w:rPr>
      </w:pPr>
      <w:r>
        <w:rPr>
          <w:rFonts w:hint="eastAsia" w:ascii="宋体" w:hAnsi="宋体" w:eastAsia="宋体" w:cs="宋体"/>
          <w:color w:val="auto"/>
          <w:sz w:val="24"/>
          <w:highlight w:val="none"/>
        </w:rPr>
        <w:t>对于发现的服务器操作系统及操作系统附带软件的中高危漏洞，</w:t>
      </w:r>
      <w:r>
        <w:rPr>
          <w:rFonts w:hint="eastAsia" w:ascii="宋体" w:hAnsi="宋体" w:eastAsia="宋体" w:cs="宋体"/>
          <w:color w:val="auto"/>
          <w:sz w:val="24"/>
          <w:highlight w:val="none"/>
          <w:lang w:val="en-US"/>
        </w:rPr>
        <w:t>成交供应商需</w:t>
      </w:r>
      <w:r>
        <w:rPr>
          <w:rFonts w:hint="eastAsia" w:ascii="宋体" w:hAnsi="宋体" w:eastAsia="宋体" w:cs="宋体"/>
          <w:color w:val="auto"/>
          <w:sz w:val="24"/>
          <w:highlight w:val="none"/>
        </w:rPr>
        <w:t>在漏洞发现</w:t>
      </w:r>
      <w:r>
        <w:rPr>
          <w:rFonts w:hint="eastAsia" w:ascii="宋体" w:hAnsi="宋体" w:cs="宋体"/>
          <w:color w:val="auto"/>
          <w:sz w:val="24"/>
          <w:highlight w:val="none"/>
          <w:lang w:val="en-US" w:eastAsia="zh-CN"/>
        </w:rPr>
        <w:t>后</w:t>
      </w:r>
      <w:r>
        <w:rPr>
          <w:rFonts w:hint="eastAsia" w:ascii="宋体" w:hAnsi="宋体" w:eastAsia="宋体" w:cs="宋体"/>
          <w:color w:val="auto"/>
          <w:sz w:val="24"/>
          <w:highlight w:val="none"/>
        </w:rPr>
        <w:t>3个工作日</w:t>
      </w:r>
      <w:r>
        <w:rPr>
          <w:rFonts w:hint="eastAsia" w:ascii="宋体" w:hAnsi="宋体" w:cs="宋体"/>
          <w:color w:val="auto"/>
          <w:sz w:val="24"/>
          <w:highlight w:val="none"/>
          <w:lang w:val="en-US" w:eastAsia="zh-CN"/>
        </w:rPr>
        <w:t>内完</w:t>
      </w:r>
      <w:r>
        <w:rPr>
          <w:rFonts w:hint="eastAsia" w:ascii="宋体" w:hAnsi="宋体" w:eastAsia="宋体" w:cs="宋体"/>
          <w:color w:val="auto"/>
          <w:sz w:val="24"/>
          <w:highlight w:val="none"/>
        </w:rPr>
        <w:t>成修复。</w:t>
      </w:r>
    </w:p>
    <w:p>
      <w:pPr>
        <w:spacing w:line="480" w:lineRule="auto"/>
        <w:ind w:firstLine="480" w:firstLineChars="200"/>
        <w:jc w:val="left"/>
        <w:rPr>
          <w:rFonts w:hint="eastAsia" w:ascii="宋体" w:hAnsi="宋体" w:eastAsia="宋体" w:cs="宋体"/>
          <w:color w:val="auto"/>
          <w:sz w:val="24"/>
          <w:highlight w:val="none"/>
          <w:lang w:val="en-US"/>
        </w:rPr>
      </w:pP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lang w:val="en-US"/>
        </w:rPr>
        <w:t>网络安全等级保护安全计算环境部分不合符项整改服务</w:t>
      </w:r>
    </w:p>
    <w:p>
      <w:pPr>
        <w:spacing w:line="480" w:lineRule="auto"/>
        <w:ind w:firstLine="480" w:firstLineChars="200"/>
        <w:jc w:val="left"/>
        <w:rPr>
          <w:rFonts w:hint="eastAsia" w:ascii="宋体" w:hAnsi="宋体" w:eastAsia="宋体" w:cs="宋体"/>
          <w:color w:val="auto"/>
          <w:sz w:val="24"/>
          <w:highlight w:val="none"/>
          <w:lang w:val="en-US"/>
        </w:rPr>
      </w:pPr>
      <w:r>
        <w:rPr>
          <w:rFonts w:hint="eastAsia" w:ascii="宋体" w:hAnsi="宋体" w:cs="宋体"/>
          <w:color w:val="auto"/>
          <w:sz w:val="24"/>
          <w:highlight w:val="none"/>
          <w:lang w:val="en-US" w:eastAsia="zh-CN"/>
        </w:rPr>
        <w:t>12.1</w:t>
      </w:r>
      <w:r>
        <w:rPr>
          <w:rFonts w:hint="eastAsia" w:ascii="宋体" w:hAnsi="宋体" w:eastAsia="宋体" w:cs="宋体"/>
          <w:color w:val="auto"/>
          <w:sz w:val="24"/>
          <w:highlight w:val="none"/>
        </w:rPr>
        <w:t>对2025年度网络安全等级保护测评的安全计算环境部分不合</w:t>
      </w:r>
      <w:r>
        <w:rPr>
          <w:rFonts w:hint="eastAsia" w:ascii="宋体" w:hAnsi="宋体" w:cs="宋体"/>
          <w:color w:val="auto"/>
          <w:sz w:val="24"/>
          <w:highlight w:val="none"/>
          <w:lang w:val="en-US" w:eastAsia="zh-CN"/>
        </w:rPr>
        <w:t>格</w:t>
      </w:r>
      <w:r>
        <w:rPr>
          <w:rFonts w:hint="eastAsia" w:ascii="宋体" w:hAnsi="宋体" w:eastAsia="宋体" w:cs="宋体"/>
          <w:color w:val="auto"/>
          <w:sz w:val="24"/>
          <w:highlight w:val="none"/>
        </w:rPr>
        <w:t>进行整改，如部分设备未采用两种或两种以上组合的鉴别技术对用户进行身份鉴别，排查弱口令、默认超级管理员等帐号，实现权限分离。</w:t>
      </w:r>
    </w:p>
    <w:p>
      <w:pPr>
        <w:spacing w:line="480" w:lineRule="auto"/>
        <w:ind w:firstLine="480" w:firstLineChars="200"/>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12.2</w:t>
      </w:r>
      <w:r>
        <w:rPr>
          <w:rFonts w:hint="eastAsia" w:ascii="宋体" w:hAnsi="宋体" w:eastAsia="宋体" w:cs="宋体"/>
          <w:color w:val="auto"/>
          <w:sz w:val="24"/>
          <w:highlight w:val="none"/>
        </w:rPr>
        <w:t>机房管理制度完善，并对机房管理制度</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信息系统安全措施</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计算机病毒防范管理措施</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机房设备管理安全事故处理</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机房规章管理制度等张贴上墙牌。</w:t>
      </w:r>
    </w:p>
    <w:p>
      <w:pPr>
        <w:spacing w:line="480" w:lineRule="auto"/>
        <w:ind w:firstLine="480" w:firstLineChars="200"/>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13.</w:t>
      </w:r>
      <w:r>
        <w:rPr>
          <w:rFonts w:hint="eastAsia" w:ascii="宋体" w:hAnsi="宋体" w:eastAsia="宋体" w:cs="宋体"/>
          <w:color w:val="auto"/>
          <w:sz w:val="24"/>
          <w:highlight w:val="none"/>
        </w:rPr>
        <w:t>信息机柜供电改造服务</w:t>
      </w:r>
    </w:p>
    <w:p>
      <w:pPr>
        <w:spacing w:line="48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供应商提供信息机柜供电的12个20位PDU（16A插头输入，20位10A插座输出），同时供电插座更换为12个耦合器连接器及实现物理网线有序排布，消除交叉缠绕，所有线缆走向统一美观。为保障改造时</w:t>
      </w:r>
      <w:r>
        <w:rPr>
          <w:rFonts w:hint="eastAsia" w:ascii="宋体" w:hAnsi="宋体" w:cs="宋体"/>
          <w:color w:val="auto"/>
          <w:sz w:val="24"/>
          <w:highlight w:val="none"/>
          <w:lang w:eastAsia="zh-CN"/>
        </w:rPr>
        <w:t>采购人</w:t>
      </w:r>
      <w:r>
        <w:rPr>
          <w:rFonts w:hint="eastAsia" w:ascii="宋体" w:hAnsi="宋体" w:eastAsia="宋体" w:cs="宋体"/>
          <w:color w:val="auto"/>
          <w:sz w:val="24"/>
          <w:highlight w:val="none"/>
        </w:rPr>
        <w:t>的业务连续性，实施前供应商准备如下：</w:t>
      </w:r>
    </w:p>
    <w:p>
      <w:pPr>
        <w:spacing w:line="480" w:lineRule="auto"/>
        <w:ind w:firstLine="480" w:firstLineChars="200"/>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13.1</w:t>
      </w:r>
      <w:r>
        <w:rPr>
          <w:rFonts w:hint="eastAsia" w:ascii="宋体" w:hAnsi="宋体" w:eastAsia="宋体" w:cs="宋体"/>
          <w:color w:val="auto"/>
          <w:sz w:val="24"/>
          <w:highlight w:val="none"/>
        </w:rPr>
        <w:t>提供实施工程师必要的资质，如特种作业操作证的电工作业证、网络工程师、存储或虚拟化工程师、网络安全工程师、项目管理等证书；</w:t>
      </w:r>
    </w:p>
    <w:p>
      <w:pPr>
        <w:spacing w:line="480" w:lineRule="auto"/>
        <w:ind w:firstLine="480" w:firstLineChars="200"/>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13.2</w:t>
      </w:r>
      <w:r>
        <w:rPr>
          <w:rFonts w:hint="eastAsia" w:ascii="宋体" w:hAnsi="宋体" w:eastAsia="宋体" w:cs="宋体"/>
          <w:color w:val="auto"/>
          <w:sz w:val="24"/>
          <w:highlight w:val="none"/>
        </w:rPr>
        <w:t>实施前提供相应的实施计划，如时间计划、人员计划、材料计划、应急计划等；</w:t>
      </w:r>
    </w:p>
    <w:p>
      <w:pPr>
        <w:spacing w:line="480" w:lineRule="auto"/>
        <w:ind w:firstLine="480" w:firstLineChars="200"/>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13.3</w:t>
      </w:r>
      <w:r>
        <w:rPr>
          <w:rFonts w:hint="eastAsia" w:ascii="宋体" w:hAnsi="宋体" w:eastAsia="宋体" w:cs="宋体"/>
          <w:color w:val="auto"/>
          <w:sz w:val="24"/>
          <w:highlight w:val="none"/>
        </w:rPr>
        <w:t>对服务器、网络设备、安全设备关机与重启，直至改造后恢复业务正常为止。</w:t>
      </w:r>
    </w:p>
    <w:p>
      <w:pPr>
        <w:spacing w:line="480" w:lineRule="auto"/>
        <w:ind w:firstLine="480" w:firstLineChars="200"/>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14.</w:t>
      </w:r>
      <w:r>
        <w:rPr>
          <w:rFonts w:hint="eastAsia" w:ascii="宋体" w:hAnsi="宋体" w:eastAsia="宋体" w:cs="宋体"/>
          <w:color w:val="auto"/>
          <w:sz w:val="24"/>
          <w:highlight w:val="none"/>
        </w:rPr>
        <w:t>服务器区交换机升级替换服务</w:t>
      </w:r>
    </w:p>
    <w:p>
      <w:pPr>
        <w:spacing w:line="48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现有服务器区交换机接入端口为千兆网口，部分设备已支持万兆接入，并且服务器区交换机已无多余的光口。供应商提供服务器区2台14个万兆光口+8个千兆电口的交换机，进行融合改造并做堆叠使用，满足未来业务新增使用。</w:t>
      </w:r>
    </w:p>
    <w:p>
      <w:pPr>
        <w:spacing w:line="480" w:lineRule="auto"/>
        <w:ind w:firstLine="480" w:firstLineChars="200"/>
        <w:jc w:val="left"/>
        <w:rPr>
          <w:rFonts w:hint="eastAsia" w:ascii="宋体" w:hAnsi="宋体" w:eastAsia="宋体" w:cs="宋体"/>
          <w:color w:val="auto"/>
          <w:sz w:val="24"/>
          <w:highlight w:val="none"/>
          <w:lang w:val="en-US"/>
        </w:rPr>
      </w:pPr>
      <w:r>
        <w:rPr>
          <w:rFonts w:hint="eastAsia" w:ascii="宋体" w:hAnsi="宋体" w:cs="宋体"/>
          <w:color w:val="auto"/>
          <w:sz w:val="24"/>
          <w:highlight w:val="none"/>
          <w:lang w:val="en-US" w:eastAsia="zh-CN"/>
        </w:rPr>
        <w:t>15.</w:t>
      </w:r>
      <w:r>
        <w:rPr>
          <w:rFonts w:hint="eastAsia" w:ascii="宋体" w:hAnsi="宋体" w:eastAsia="宋体" w:cs="宋体"/>
          <w:color w:val="auto"/>
          <w:sz w:val="24"/>
          <w:highlight w:val="none"/>
          <w:lang w:val="en-US"/>
        </w:rPr>
        <w:t>核心交换机业务板卡扩容服务</w:t>
      </w:r>
    </w:p>
    <w:p>
      <w:pPr>
        <w:spacing w:line="48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现有主核心交换机万兆端口不足，供应商提供核心交换机24个万兆光口业务板卡,并配套10个光模块与10米条线，并提供板卡扩容服务。</w:t>
      </w:r>
    </w:p>
    <w:p>
      <w:pPr>
        <w:spacing w:line="480" w:lineRule="auto"/>
        <w:ind w:firstLine="480" w:firstLineChars="20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16.</w:t>
      </w:r>
      <w:r>
        <w:rPr>
          <w:rFonts w:hint="eastAsia" w:ascii="宋体" w:hAnsi="宋体" w:eastAsia="宋体" w:cs="宋体"/>
          <w:color w:val="auto"/>
          <w:sz w:val="24"/>
          <w:highlight w:val="none"/>
          <w:lang w:eastAsia="zh-CN"/>
        </w:rPr>
        <w:t>整体考核机制和退出机制要求</w:t>
      </w:r>
    </w:p>
    <w:p>
      <w:pPr>
        <w:spacing w:line="480" w:lineRule="auto"/>
        <w:ind w:firstLine="480" w:firstLineChars="200"/>
        <w:jc w:val="left"/>
        <w:rPr>
          <w:rFonts w:hint="default"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在维护期，采购人按年度对照合同条款逐条采用100分制进行综合考核，规范化管理</w:t>
      </w:r>
      <w:r>
        <w:rPr>
          <w:rFonts w:hint="eastAsia" w:ascii="宋体" w:hAnsi="宋体" w:eastAsia="宋体" w:cs="宋体"/>
          <w:b/>
          <w:bCs/>
          <w:color w:val="auto"/>
          <w:sz w:val="24"/>
          <w:highlight w:val="none"/>
          <w:lang w:eastAsia="zh-CN"/>
        </w:rPr>
        <w:t>（详见附件</w:t>
      </w:r>
      <w:r>
        <w:rPr>
          <w:rFonts w:hint="eastAsia" w:ascii="宋体" w:hAnsi="宋体" w:eastAsia="宋体" w:cs="宋体"/>
          <w:b/>
          <w:bCs/>
          <w:color w:val="auto"/>
          <w:sz w:val="24"/>
          <w:highlight w:val="none"/>
          <w:lang w:val="en-US" w:eastAsia="zh-CN"/>
        </w:rPr>
        <w:t>3</w:t>
      </w:r>
      <w:r>
        <w:rPr>
          <w:rFonts w:hint="eastAsia" w:ascii="宋体" w:hAnsi="宋体" w:eastAsia="宋体" w:cs="宋体"/>
          <w:b/>
          <w:bCs/>
          <w:color w:val="auto"/>
          <w:sz w:val="24"/>
          <w:highlight w:val="none"/>
          <w:lang w:eastAsia="zh-CN"/>
        </w:rPr>
        <w:t>：考核表）</w:t>
      </w:r>
      <w:r>
        <w:rPr>
          <w:rFonts w:hint="eastAsia" w:ascii="宋体" w:hAnsi="宋体" w:eastAsia="宋体" w:cs="宋体"/>
          <w:color w:val="auto"/>
          <w:sz w:val="24"/>
          <w:highlight w:val="none"/>
          <w:lang w:eastAsia="zh-CN"/>
        </w:rPr>
        <w:t>，以每项考核标准进行扣分，60分以下为不合格。考核评分结果达到90分（含90分）以上，采购人不扣除履约保证金；如考核评分结果达到80-90分（含80分），采购人有权扣除履约保证金的10%并按采购人要求进行整改；如考核评分结果达到70-80分（含70分），采购人有权扣除履约保证金的30%并按采购人要求进行整改；如考核评分结果达到60-70分（含60分），采购人有权扣除履约保证金的50%并按采购人要求进行整改；如考核评分结果少于60分，采购人有权全额扣除履约保证金而无须对中标人进行任何赔偿。根据有关要求和规定，结合实际情况，采购人有权对此考核表指标内容、分值、考核办法作必要调整。</w:t>
      </w:r>
    </w:p>
    <w:p>
      <w:pPr>
        <w:widowControl/>
        <w:spacing w:line="360" w:lineRule="auto"/>
        <w:jc w:val="left"/>
        <w:outlineLvl w:val="1"/>
        <w:rPr>
          <w:rFonts w:hint="eastAsia" w:ascii="宋体" w:hAnsi="宋体" w:cs="宋体"/>
          <w:b/>
          <w:bCs/>
          <w:color w:val="auto"/>
          <w:sz w:val="24"/>
          <w:highlight w:val="none"/>
        </w:rPr>
      </w:pPr>
    </w:p>
    <w:p>
      <w:pPr>
        <w:widowControl/>
        <w:spacing w:line="360" w:lineRule="auto"/>
        <w:jc w:val="left"/>
        <w:outlineLvl w:val="1"/>
        <w:rPr>
          <w:rFonts w:hint="eastAsia" w:ascii="宋体" w:hAnsi="宋体" w:eastAsia="宋体" w:cs="宋体"/>
          <w:b/>
          <w:bCs/>
          <w:color w:val="auto"/>
          <w:sz w:val="24"/>
          <w:highlight w:val="none"/>
        </w:rPr>
      </w:pPr>
      <w:r>
        <w:rPr>
          <w:rFonts w:hint="eastAsia" w:ascii="宋体" w:hAnsi="宋体" w:cs="宋体"/>
          <w:b/>
          <w:bCs/>
          <w:color w:val="auto"/>
          <w:sz w:val="24"/>
          <w:highlight w:val="none"/>
          <w:lang w:val="en-US" w:eastAsia="zh-CN"/>
        </w:rPr>
        <w:t>五、信息</w:t>
      </w:r>
      <w:r>
        <w:rPr>
          <w:rFonts w:hint="eastAsia" w:ascii="宋体" w:hAnsi="宋体" w:cs="宋体"/>
          <w:b/>
          <w:bCs/>
          <w:color w:val="auto"/>
          <w:sz w:val="24"/>
          <w:highlight w:val="none"/>
        </w:rPr>
        <w:t>安全设备</w:t>
      </w:r>
      <w:r>
        <w:rPr>
          <w:rFonts w:hint="eastAsia" w:ascii="宋体" w:hAnsi="宋体" w:eastAsia="宋体" w:cs="宋体"/>
          <w:b/>
          <w:bCs/>
          <w:color w:val="auto"/>
          <w:sz w:val="24"/>
          <w:highlight w:val="none"/>
          <w:lang w:val="en-US" w:eastAsia="zh-CN"/>
        </w:rPr>
        <w:t>与</w:t>
      </w:r>
      <w:r>
        <w:rPr>
          <w:rFonts w:hint="eastAsia" w:ascii="宋体" w:hAnsi="宋体" w:eastAsia="宋体" w:cs="宋体"/>
          <w:b/>
          <w:bCs/>
          <w:color w:val="auto"/>
          <w:sz w:val="24"/>
          <w:highlight w:val="none"/>
        </w:rPr>
        <w:t>超融合平台维保服务内容：</w:t>
      </w:r>
    </w:p>
    <w:tbl>
      <w:tblPr>
        <w:tblStyle w:val="12"/>
        <w:tblW w:w="7960"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34"/>
        <w:gridCol w:w="3723"/>
        <w:gridCol w:w="1151"/>
        <w:gridCol w:w="11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9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维保设备名称</w:t>
            </w:r>
          </w:p>
        </w:tc>
        <w:tc>
          <w:tcPr>
            <w:tcW w:w="372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维保内容</w:t>
            </w:r>
          </w:p>
        </w:tc>
        <w:tc>
          <w:tcPr>
            <w:tcW w:w="115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单位</w:t>
            </w:r>
          </w:p>
        </w:tc>
        <w:tc>
          <w:tcPr>
            <w:tcW w:w="115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维保年限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934"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等线" w:hAnsi="等线" w:eastAsia="等线" w:cs="等线"/>
                <w:i w:val="0"/>
                <w:iCs w:val="0"/>
                <w:color w:val="auto"/>
                <w:sz w:val="18"/>
                <w:szCs w:val="18"/>
                <w:highlight w:val="none"/>
                <w:u w:val="none"/>
              </w:rPr>
            </w:pPr>
            <w:r>
              <w:rPr>
                <w:rFonts w:hint="default" w:ascii="等线" w:hAnsi="等线" w:eastAsia="等线" w:cs="等线"/>
                <w:i w:val="0"/>
                <w:iCs w:val="0"/>
                <w:color w:val="auto"/>
                <w:kern w:val="0"/>
                <w:sz w:val="18"/>
                <w:szCs w:val="18"/>
                <w:highlight w:val="none"/>
                <w:u w:val="none"/>
                <w:lang w:val="en-US" w:eastAsia="zh-CN" w:bidi="ar"/>
              </w:rPr>
              <w:t>威胁检测探针STA-100-B420</w:t>
            </w:r>
          </w:p>
        </w:tc>
        <w:tc>
          <w:tcPr>
            <w:tcW w:w="372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一、使用过程中提供7*24小时技术支持；</w:t>
            </w:r>
          </w:p>
        </w:tc>
        <w:tc>
          <w:tcPr>
            <w:tcW w:w="1151"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年</w:t>
            </w:r>
          </w:p>
        </w:tc>
        <w:tc>
          <w:tcPr>
            <w:tcW w:w="1152"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934"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等线" w:hAnsi="等线" w:eastAsia="等线" w:cs="等线"/>
                <w:i w:val="0"/>
                <w:iCs w:val="0"/>
                <w:color w:val="auto"/>
                <w:sz w:val="18"/>
                <w:szCs w:val="18"/>
                <w:highlight w:val="none"/>
                <w:u w:val="none"/>
              </w:rPr>
            </w:pPr>
          </w:p>
        </w:tc>
        <w:tc>
          <w:tcPr>
            <w:tcW w:w="372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二、软件升级：</w:t>
            </w:r>
          </w:p>
        </w:tc>
        <w:tc>
          <w:tcPr>
            <w:tcW w:w="1151"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1152"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934"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等线" w:hAnsi="等线" w:eastAsia="等线" w:cs="等线"/>
                <w:i w:val="0"/>
                <w:iCs w:val="0"/>
                <w:color w:val="auto"/>
                <w:sz w:val="18"/>
                <w:szCs w:val="18"/>
                <w:highlight w:val="none"/>
                <w:u w:val="none"/>
              </w:rPr>
            </w:pPr>
          </w:p>
        </w:tc>
        <w:tc>
          <w:tcPr>
            <w:tcW w:w="372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三、安全感知系统探针特征库：</w:t>
            </w:r>
          </w:p>
        </w:tc>
        <w:tc>
          <w:tcPr>
            <w:tcW w:w="1151"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1152"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934"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等线" w:hAnsi="等线" w:eastAsia="等线" w:cs="等线"/>
                <w:i w:val="0"/>
                <w:iCs w:val="0"/>
                <w:color w:val="auto"/>
                <w:sz w:val="18"/>
                <w:szCs w:val="18"/>
                <w:highlight w:val="none"/>
                <w:u w:val="none"/>
              </w:rPr>
            </w:pPr>
          </w:p>
        </w:tc>
        <w:tc>
          <w:tcPr>
            <w:tcW w:w="372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四、产品质保：</w:t>
            </w:r>
          </w:p>
        </w:tc>
        <w:tc>
          <w:tcPr>
            <w:tcW w:w="1151"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1152"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934"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等线" w:hAnsi="等线" w:eastAsia="等线" w:cs="等线"/>
                <w:i w:val="0"/>
                <w:iCs w:val="0"/>
                <w:color w:val="auto"/>
                <w:sz w:val="18"/>
                <w:szCs w:val="18"/>
                <w:highlight w:val="none"/>
                <w:u w:val="none"/>
              </w:rPr>
            </w:pPr>
            <w:r>
              <w:rPr>
                <w:rFonts w:hint="default" w:ascii="等线" w:hAnsi="等线" w:eastAsia="等线" w:cs="等线"/>
                <w:i w:val="0"/>
                <w:iCs w:val="0"/>
                <w:color w:val="auto"/>
                <w:kern w:val="0"/>
                <w:sz w:val="18"/>
                <w:szCs w:val="18"/>
                <w:highlight w:val="none"/>
                <w:u w:val="none"/>
                <w:lang w:val="en-US" w:eastAsia="zh-CN" w:bidi="ar"/>
              </w:rPr>
              <w:t>下一代防火墙AF-1000-G600P</w:t>
            </w:r>
          </w:p>
        </w:tc>
        <w:tc>
          <w:tcPr>
            <w:tcW w:w="372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一、使用过程中提供7*24小时技术支持；</w:t>
            </w:r>
          </w:p>
        </w:tc>
        <w:tc>
          <w:tcPr>
            <w:tcW w:w="1151"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年</w:t>
            </w:r>
          </w:p>
        </w:tc>
        <w:tc>
          <w:tcPr>
            <w:tcW w:w="1152"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934"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等线" w:hAnsi="等线" w:eastAsia="等线" w:cs="等线"/>
                <w:i w:val="0"/>
                <w:iCs w:val="0"/>
                <w:color w:val="auto"/>
                <w:sz w:val="18"/>
                <w:szCs w:val="18"/>
                <w:highlight w:val="none"/>
                <w:u w:val="none"/>
              </w:rPr>
            </w:pPr>
          </w:p>
        </w:tc>
        <w:tc>
          <w:tcPr>
            <w:tcW w:w="372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二、软件升级：</w:t>
            </w:r>
          </w:p>
        </w:tc>
        <w:tc>
          <w:tcPr>
            <w:tcW w:w="1151"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1152"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934"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等线" w:hAnsi="等线" w:eastAsia="等线" w:cs="等线"/>
                <w:i w:val="0"/>
                <w:iCs w:val="0"/>
                <w:color w:val="auto"/>
                <w:sz w:val="18"/>
                <w:szCs w:val="18"/>
                <w:highlight w:val="none"/>
                <w:u w:val="none"/>
              </w:rPr>
            </w:pPr>
          </w:p>
        </w:tc>
        <w:tc>
          <w:tcPr>
            <w:tcW w:w="372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三、深信服云智订阅软件（含安全特征库和URL库）：</w:t>
            </w:r>
          </w:p>
        </w:tc>
        <w:tc>
          <w:tcPr>
            <w:tcW w:w="1151"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1152"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934"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等线" w:hAnsi="等线" w:eastAsia="等线" w:cs="等线"/>
                <w:i w:val="0"/>
                <w:iCs w:val="0"/>
                <w:color w:val="auto"/>
                <w:sz w:val="18"/>
                <w:szCs w:val="18"/>
                <w:highlight w:val="none"/>
                <w:u w:val="none"/>
              </w:rPr>
            </w:pPr>
          </w:p>
        </w:tc>
        <w:tc>
          <w:tcPr>
            <w:tcW w:w="372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四、备机服务</w:t>
            </w:r>
          </w:p>
        </w:tc>
        <w:tc>
          <w:tcPr>
            <w:tcW w:w="1151"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1152"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934"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等线" w:hAnsi="等线" w:eastAsia="等线" w:cs="等线"/>
                <w:i w:val="0"/>
                <w:iCs w:val="0"/>
                <w:color w:val="auto"/>
                <w:sz w:val="18"/>
                <w:szCs w:val="18"/>
                <w:highlight w:val="none"/>
                <w:u w:val="none"/>
              </w:rPr>
            </w:pPr>
            <w:r>
              <w:rPr>
                <w:rFonts w:hint="default" w:ascii="等线" w:hAnsi="等线" w:eastAsia="等线" w:cs="等线"/>
                <w:i w:val="0"/>
                <w:iCs w:val="0"/>
                <w:color w:val="auto"/>
                <w:kern w:val="0"/>
                <w:sz w:val="18"/>
                <w:szCs w:val="18"/>
                <w:highlight w:val="none"/>
                <w:u w:val="none"/>
                <w:lang w:val="en-US" w:eastAsia="zh-CN" w:bidi="ar"/>
              </w:rPr>
              <w:t>下一代防火墙AF-1000-L4478</w:t>
            </w:r>
          </w:p>
        </w:tc>
        <w:tc>
          <w:tcPr>
            <w:tcW w:w="372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一、使用过程中提供7*24小时技术支持；</w:t>
            </w:r>
          </w:p>
        </w:tc>
        <w:tc>
          <w:tcPr>
            <w:tcW w:w="1151"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年</w:t>
            </w:r>
          </w:p>
        </w:tc>
        <w:tc>
          <w:tcPr>
            <w:tcW w:w="1152"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934"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等线" w:hAnsi="等线" w:eastAsia="等线" w:cs="等线"/>
                <w:i w:val="0"/>
                <w:iCs w:val="0"/>
                <w:color w:val="auto"/>
                <w:sz w:val="18"/>
                <w:szCs w:val="18"/>
                <w:highlight w:val="none"/>
                <w:u w:val="none"/>
              </w:rPr>
            </w:pPr>
          </w:p>
        </w:tc>
        <w:tc>
          <w:tcPr>
            <w:tcW w:w="372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二、软件升级：</w:t>
            </w:r>
          </w:p>
        </w:tc>
        <w:tc>
          <w:tcPr>
            <w:tcW w:w="1151"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1152"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934"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等线" w:hAnsi="等线" w:eastAsia="等线" w:cs="等线"/>
                <w:i w:val="0"/>
                <w:iCs w:val="0"/>
                <w:color w:val="auto"/>
                <w:sz w:val="18"/>
                <w:szCs w:val="18"/>
                <w:highlight w:val="none"/>
                <w:u w:val="none"/>
              </w:rPr>
            </w:pPr>
          </w:p>
        </w:tc>
        <w:tc>
          <w:tcPr>
            <w:tcW w:w="372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三、深信服云智订阅软件（含安全特征库和URL库）：</w:t>
            </w:r>
          </w:p>
        </w:tc>
        <w:tc>
          <w:tcPr>
            <w:tcW w:w="1151"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1152"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934"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等线" w:hAnsi="等线" w:eastAsia="等线" w:cs="等线"/>
                <w:i w:val="0"/>
                <w:iCs w:val="0"/>
                <w:color w:val="auto"/>
                <w:sz w:val="18"/>
                <w:szCs w:val="18"/>
                <w:highlight w:val="none"/>
                <w:u w:val="none"/>
              </w:rPr>
            </w:pPr>
          </w:p>
        </w:tc>
        <w:tc>
          <w:tcPr>
            <w:tcW w:w="372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四、本地网关杀毒模块及升级许可</w:t>
            </w:r>
          </w:p>
        </w:tc>
        <w:tc>
          <w:tcPr>
            <w:tcW w:w="1151"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1152"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934"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等线" w:hAnsi="等线" w:eastAsia="等线" w:cs="等线"/>
                <w:i w:val="0"/>
                <w:iCs w:val="0"/>
                <w:color w:val="auto"/>
                <w:sz w:val="18"/>
                <w:szCs w:val="18"/>
                <w:highlight w:val="none"/>
                <w:u w:val="none"/>
              </w:rPr>
            </w:pPr>
          </w:p>
        </w:tc>
        <w:tc>
          <w:tcPr>
            <w:tcW w:w="372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四、备机服务</w:t>
            </w:r>
          </w:p>
        </w:tc>
        <w:tc>
          <w:tcPr>
            <w:tcW w:w="1151"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1152"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934"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等线" w:hAnsi="等线" w:eastAsia="等线" w:cs="等线"/>
                <w:i w:val="0"/>
                <w:iCs w:val="0"/>
                <w:color w:val="auto"/>
                <w:sz w:val="18"/>
                <w:szCs w:val="18"/>
                <w:highlight w:val="none"/>
                <w:u w:val="none"/>
              </w:rPr>
            </w:pPr>
            <w:r>
              <w:rPr>
                <w:rFonts w:hint="default" w:ascii="等线" w:hAnsi="等线" w:eastAsia="等线" w:cs="等线"/>
                <w:i w:val="0"/>
                <w:iCs w:val="0"/>
                <w:color w:val="auto"/>
                <w:kern w:val="0"/>
                <w:sz w:val="18"/>
                <w:szCs w:val="18"/>
                <w:highlight w:val="none"/>
                <w:u w:val="none"/>
                <w:lang w:val="en-US" w:eastAsia="zh-CN" w:bidi="ar"/>
              </w:rPr>
              <w:t>下一代防火墙AF-1000-L4670</w:t>
            </w:r>
          </w:p>
        </w:tc>
        <w:tc>
          <w:tcPr>
            <w:tcW w:w="372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一、使用过程中提供7*24小时技术支持；</w:t>
            </w:r>
          </w:p>
        </w:tc>
        <w:tc>
          <w:tcPr>
            <w:tcW w:w="1151"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年</w:t>
            </w:r>
          </w:p>
        </w:tc>
        <w:tc>
          <w:tcPr>
            <w:tcW w:w="1152"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934"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等线" w:hAnsi="等线" w:eastAsia="等线" w:cs="等线"/>
                <w:i w:val="0"/>
                <w:iCs w:val="0"/>
                <w:color w:val="auto"/>
                <w:sz w:val="18"/>
                <w:szCs w:val="18"/>
                <w:highlight w:val="none"/>
                <w:u w:val="none"/>
              </w:rPr>
            </w:pPr>
          </w:p>
        </w:tc>
        <w:tc>
          <w:tcPr>
            <w:tcW w:w="372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二、软件升级：</w:t>
            </w:r>
          </w:p>
        </w:tc>
        <w:tc>
          <w:tcPr>
            <w:tcW w:w="1151"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1152"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934"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等线" w:hAnsi="等线" w:eastAsia="等线" w:cs="等线"/>
                <w:i w:val="0"/>
                <w:iCs w:val="0"/>
                <w:color w:val="auto"/>
                <w:sz w:val="18"/>
                <w:szCs w:val="18"/>
                <w:highlight w:val="none"/>
                <w:u w:val="none"/>
              </w:rPr>
            </w:pPr>
          </w:p>
        </w:tc>
        <w:tc>
          <w:tcPr>
            <w:tcW w:w="372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三、深信服云智订阅软件（含安全特征库和URL库）：</w:t>
            </w:r>
          </w:p>
        </w:tc>
        <w:tc>
          <w:tcPr>
            <w:tcW w:w="1151"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1152"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934"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等线" w:hAnsi="等线" w:eastAsia="等线" w:cs="等线"/>
                <w:i w:val="0"/>
                <w:iCs w:val="0"/>
                <w:color w:val="auto"/>
                <w:sz w:val="18"/>
                <w:szCs w:val="18"/>
                <w:highlight w:val="none"/>
                <w:u w:val="none"/>
              </w:rPr>
            </w:pPr>
          </w:p>
        </w:tc>
        <w:tc>
          <w:tcPr>
            <w:tcW w:w="372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四、本地网关杀毒模块及升级许可</w:t>
            </w:r>
          </w:p>
        </w:tc>
        <w:tc>
          <w:tcPr>
            <w:tcW w:w="1151"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1152"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934"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等线" w:hAnsi="等线" w:eastAsia="等线" w:cs="等线"/>
                <w:i w:val="0"/>
                <w:iCs w:val="0"/>
                <w:color w:val="auto"/>
                <w:sz w:val="18"/>
                <w:szCs w:val="18"/>
                <w:highlight w:val="none"/>
                <w:u w:val="none"/>
              </w:rPr>
            </w:pPr>
          </w:p>
        </w:tc>
        <w:tc>
          <w:tcPr>
            <w:tcW w:w="372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五、产品质保：</w:t>
            </w:r>
          </w:p>
        </w:tc>
        <w:tc>
          <w:tcPr>
            <w:tcW w:w="1151"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1152"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934"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等线" w:hAnsi="等线" w:eastAsia="等线" w:cs="等线"/>
                <w:i w:val="0"/>
                <w:iCs w:val="0"/>
                <w:color w:val="auto"/>
                <w:sz w:val="18"/>
                <w:szCs w:val="18"/>
                <w:highlight w:val="none"/>
                <w:u w:val="none"/>
              </w:rPr>
            </w:pPr>
            <w:r>
              <w:rPr>
                <w:rFonts w:hint="default" w:ascii="等线" w:hAnsi="等线" w:eastAsia="等线" w:cs="等线"/>
                <w:i w:val="0"/>
                <w:iCs w:val="0"/>
                <w:color w:val="auto"/>
                <w:kern w:val="0"/>
                <w:sz w:val="18"/>
                <w:szCs w:val="18"/>
                <w:highlight w:val="none"/>
                <w:u w:val="none"/>
                <w:lang w:val="en-US" w:eastAsia="zh-CN" w:bidi="ar"/>
              </w:rPr>
              <w:t>安全感知系统SIP-1000-E600</w:t>
            </w:r>
          </w:p>
        </w:tc>
        <w:tc>
          <w:tcPr>
            <w:tcW w:w="372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一、使用过程中提供7*24小时技术支持；</w:t>
            </w:r>
          </w:p>
        </w:tc>
        <w:tc>
          <w:tcPr>
            <w:tcW w:w="1151"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年</w:t>
            </w:r>
          </w:p>
        </w:tc>
        <w:tc>
          <w:tcPr>
            <w:tcW w:w="1152"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934"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等线" w:hAnsi="等线" w:eastAsia="等线" w:cs="等线"/>
                <w:i w:val="0"/>
                <w:iCs w:val="0"/>
                <w:color w:val="auto"/>
                <w:sz w:val="18"/>
                <w:szCs w:val="18"/>
                <w:highlight w:val="none"/>
                <w:u w:val="none"/>
              </w:rPr>
            </w:pPr>
          </w:p>
        </w:tc>
        <w:tc>
          <w:tcPr>
            <w:tcW w:w="372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二、软件升级：</w:t>
            </w:r>
          </w:p>
        </w:tc>
        <w:tc>
          <w:tcPr>
            <w:tcW w:w="1151"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1152"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934"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等线" w:hAnsi="等线" w:eastAsia="等线" w:cs="等线"/>
                <w:i w:val="0"/>
                <w:iCs w:val="0"/>
                <w:color w:val="auto"/>
                <w:sz w:val="18"/>
                <w:szCs w:val="18"/>
                <w:highlight w:val="none"/>
                <w:u w:val="none"/>
              </w:rPr>
            </w:pPr>
          </w:p>
        </w:tc>
        <w:tc>
          <w:tcPr>
            <w:tcW w:w="372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三、安全感知系统探针特征库：</w:t>
            </w:r>
          </w:p>
        </w:tc>
        <w:tc>
          <w:tcPr>
            <w:tcW w:w="1151"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1152"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934"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等线" w:hAnsi="等线" w:eastAsia="等线" w:cs="等线"/>
                <w:i w:val="0"/>
                <w:iCs w:val="0"/>
                <w:color w:val="auto"/>
                <w:sz w:val="18"/>
                <w:szCs w:val="18"/>
                <w:highlight w:val="none"/>
                <w:u w:val="none"/>
              </w:rPr>
            </w:pPr>
          </w:p>
        </w:tc>
        <w:tc>
          <w:tcPr>
            <w:tcW w:w="372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四、产品质保：</w:t>
            </w:r>
          </w:p>
        </w:tc>
        <w:tc>
          <w:tcPr>
            <w:tcW w:w="1151"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1152"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934"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等线" w:hAnsi="等线" w:eastAsia="等线" w:cs="等线"/>
                <w:i w:val="0"/>
                <w:iCs w:val="0"/>
                <w:color w:val="auto"/>
                <w:sz w:val="18"/>
                <w:szCs w:val="18"/>
                <w:highlight w:val="none"/>
                <w:u w:val="none"/>
              </w:rPr>
            </w:pPr>
            <w:r>
              <w:rPr>
                <w:rFonts w:hint="default" w:ascii="等线" w:hAnsi="等线" w:eastAsia="等线" w:cs="等线"/>
                <w:i w:val="0"/>
                <w:iCs w:val="0"/>
                <w:color w:val="auto"/>
                <w:kern w:val="0"/>
                <w:sz w:val="18"/>
                <w:szCs w:val="18"/>
                <w:highlight w:val="none"/>
                <w:u w:val="none"/>
                <w:lang w:val="en-US" w:eastAsia="zh-CN" w:bidi="ar"/>
              </w:rPr>
              <w:t>日志审计系统SIP-Logger-C600</w:t>
            </w:r>
          </w:p>
        </w:tc>
        <w:tc>
          <w:tcPr>
            <w:tcW w:w="372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一、使用过程中提供7*24小时技术支持；</w:t>
            </w:r>
          </w:p>
        </w:tc>
        <w:tc>
          <w:tcPr>
            <w:tcW w:w="1151"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年</w:t>
            </w:r>
          </w:p>
        </w:tc>
        <w:tc>
          <w:tcPr>
            <w:tcW w:w="1152"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934"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等线" w:hAnsi="等线" w:eastAsia="等线" w:cs="等线"/>
                <w:i w:val="0"/>
                <w:iCs w:val="0"/>
                <w:color w:val="auto"/>
                <w:sz w:val="18"/>
                <w:szCs w:val="18"/>
                <w:highlight w:val="none"/>
                <w:u w:val="none"/>
              </w:rPr>
            </w:pPr>
          </w:p>
        </w:tc>
        <w:tc>
          <w:tcPr>
            <w:tcW w:w="372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二、软件升级：</w:t>
            </w:r>
          </w:p>
        </w:tc>
        <w:tc>
          <w:tcPr>
            <w:tcW w:w="1151"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1152"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934"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等线" w:hAnsi="等线" w:eastAsia="等线" w:cs="等线"/>
                <w:i w:val="0"/>
                <w:iCs w:val="0"/>
                <w:color w:val="auto"/>
                <w:sz w:val="18"/>
                <w:szCs w:val="18"/>
                <w:highlight w:val="none"/>
                <w:u w:val="none"/>
              </w:rPr>
            </w:pPr>
          </w:p>
        </w:tc>
        <w:tc>
          <w:tcPr>
            <w:tcW w:w="372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三、产品质保：</w:t>
            </w:r>
          </w:p>
        </w:tc>
        <w:tc>
          <w:tcPr>
            <w:tcW w:w="1151"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1152"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934"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等线" w:hAnsi="等线" w:eastAsia="等线" w:cs="等线"/>
                <w:i w:val="0"/>
                <w:iCs w:val="0"/>
                <w:color w:val="auto"/>
                <w:sz w:val="18"/>
                <w:szCs w:val="18"/>
                <w:highlight w:val="none"/>
                <w:u w:val="none"/>
              </w:rPr>
            </w:pPr>
            <w:r>
              <w:rPr>
                <w:rFonts w:hint="default" w:ascii="等线" w:hAnsi="等线" w:eastAsia="等线" w:cs="等线"/>
                <w:i w:val="0"/>
                <w:iCs w:val="0"/>
                <w:color w:val="auto"/>
                <w:kern w:val="0"/>
                <w:sz w:val="18"/>
                <w:szCs w:val="18"/>
                <w:highlight w:val="none"/>
                <w:u w:val="none"/>
                <w:lang w:val="en-US" w:eastAsia="zh-CN" w:bidi="ar"/>
              </w:rPr>
              <w:t>堡垒机OSM-1000-B1150</w:t>
            </w:r>
          </w:p>
        </w:tc>
        <w:tc>
          <w:tcPr>
            <w:tcW w:w="372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一、使用过程中提供7*24小时技术支持；</w:t>
            </w:r>
          </w:p>
        </w:tc>
        <w:tc>
          <w:tcPr>
            <w:tcW w:w="1151"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年</w:t>
            </w:r>
          </w:p>
        </w:tc>
        <w:tc>
          <w:tcPr>
            <w:tcW w:w="1152"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934"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等线" w:hAnsi="等线" w:eastAsia="等线" w:cs="等线"/>
                <w:i w:val="0"/>
                <w:iCs w:val="0"/>
                <w:color w:val="auto"/>
                <w:sz w:val="18"/>
                <w:szCs w:val="18"/>
                <w:highlight w:val="none"/>
                <w:u w:val="none"/>
              </w:rPr>
            </w:pPr>
          </w:p>
        </w:tc>
        <w:tc>
          <w:tcPr>
            <w:tcW w:w="372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二、软件升级：</w:t>
            </w:r>
          </w:p>
        </w:tc>
        <w:tc>
          <w:tcPr>
            <w:tcW w:w="1151"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1152"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934"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等线" w:hAnsi="等线" w:eastAsia="等线" w:cs="等线"/>
                <w:i w:val="0"/>
                <w:iCs w:val="0"/>
                <w:color w:val="auto"/>
                <w:sz w:val="18"/>
                <w:szCs w:val="18"/>
                <w:highlight w:val="none"/>
                <w:u w:val="none"/>
              </w:rPr>
            </w:pPr>
          </w:p>
        </w:tc>
        <w:tc>
          <w:tcPr>
            <w:tcW w:w="372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三、产品质保：</w:t>
            </w:r>
          </w:p>
        </w:tc>
        <w:tc>
          <w:tcPr>
            <w:tcW w:w="1151"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1152"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934"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等线" w:hAnsi="等线" w:eastAsia="等线" w:cs="等线"/>
                <w:i w:val="0"/>
                <w:iCs w:val="0"/>
                <w:color w:val="auto"/>
                <w:sz w:val="18"/>
                <w:szCs w:val="18"/>
                <w:highlight w:val="none"/>
                <w:u w:val="none"/>
              </w:rPr>
            </w:pPr>
            <w:r>
              <w:rPr>
                <w:rFonts w:hint="default" w:ascii="等线" w:hAnsi="等线" w:eastAsia="等线" w:cs="等线"/>
                <w:i w:val="0"/>
                <w:iCs w:val="0"/>
                <w:color w:val="auto"/>
                <w:kern w:val="0"/>
                <w:sz w:val="18"/>
                <w:szCs w:val="18"/>
                <w:highlight w:val="none"/>
                <w:u w:val="none"/>
                <w:lang w:val="en-US" w:eastAsia="zh-CN" w:bidi="ar"/>
              </w:rPr>
              <w:t>上网行为管理AC-1000-D600Y</w:t>
            </w:r>
          </w:p>
        </w:tc>
        <w:tc>
          <w:tcPr>
            <w:tcW w:w="372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一、使用过程中提供7*24小时技术支持；</w:t>
            </w:r>
          </w:p>
        </w:tc>
        <w:tc>
          <w:tcPr>
            <w:tcW w:w="1151"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年</w:t>
            </w:r>
          </w:p>
        </w:tc>
        <w:tc>
          <w:tcPr>
            <w:tcW w:w="1152"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934"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等线" w:hAnsi="等线" w:eastAsia="等线" w:cs="等线"/>
                <w:i w:val="0"/>
                <w:iCs w:val="0"/>
                <w:color w:val="auto"/>
                <w:sz w:val="18"/>
                <w:szCs w:val="18"/>
                <w:highlight w:val="none"/>
                <w:u w:val="none"/>
              </w:rPr>
            </w:pPr>
          </w:p>
        </w:tc>
        <w:tc>
          <w:tcPr>
            <w:tcW w:w="372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二、软件升级：</w:t>
            </w:r>
          </w:p>
        </w:tc>
        <w:tc>
          <w:tcPr>
            <w:tcW w:w="1151"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1152"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934"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等线" w:hAnsi="等线" w:eastAsia="等线" w:cs="等线"/>
                <w:i w:val="0"/>
                <w:iCs w:val="0"/>
                <w:color w:val="auto"/>
                <w:sz w:val="18"/>
                <w:szCs w:val="18"/>
                <w:highlight w:val="none"/>
                <w:u w:val="none"/>
              </w:rPr>
            </w:pPr>
          </w:p>
        </w:tc>
        <w:tc>
          <w:tcPr>
            <w:tcW w:w="372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三、URL&amp;应用识别规则库升级：</w:t>
            </w:r>
          </w:p>
        </w:tc>
        <w:tc>
          <w:tcPr>
            <w:tcW w:w="1151"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1152"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934"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等线" w:hAnsi="等线" w:eastAsia="等线" w:cs="等线"/>
                <w:i w:val="0"/>
                <w:iCs w:val="0"/>
                <w:color w:val="auto"/>
                <w:sz w:val="18"/>
                <w:szCs w:val="18"/>
                <w:highlight w:val="none"/>
                <w:u w:val="none"/>
              </w:rPr>
            </w:pPr>
          </w:p>
        </w:tc>
        <w:tc>
          <w:tcPr>
            <w:tcW w:w="372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四、备件先行</w:t>
            </w:r>
          </w:p>
        </w:tc>
        <w:tc>
          <w:tcPr>
            <w:tcW w:w="1151"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1152"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934"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等线" w:hAnsi="等线" w:eastAsia="等线" w:cs="等线"/>
                <w:i w:val="0"/>
                <w:iCs w:val="0"/>
                <w:color w:val="auto"/>
                <w:sz w:val="18"/>
                <w:szCs w:val="18"/>
                <w:highlight w:val="none"/>
                <w:u w:val="none"/>
              </w:rPr>
            </w:pPr>
            <w:r>
              <w:rPr>
                <w:rFonts w:hint="default" w:ascii="等线" w:hAnsi="等线" w:eastAsia="等线" w:cs="等线"/>
                <w:i w:val="0"/>
                <w:iCs w:val="0"/>
                <w:color w:val="auto"/>
                <w:kern w:val="0"/>
                <w:sz w:val="18"/>
                <w:szCs w:val="18"/>
                <w:highlight w:val="none"/>
                <w:u w:val="none"/>
                <w:lang w:val="en-US" w:eastAsia="zh-CN" w:bidi="ar"/>
              </w:rPr>
              <w:t>HIS集群：aServer-R-2205（共3台服务器）</w:t>
            </w:r>
          </w:p>
        </w:tc>
        <w:tc>
          <w:tcPr>
            <w:tcW w:w="372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服务有效期内提供集群的软件升级维护授权以及硬件的上门维修服务，并针对部分场景主动告警通知。</w:t>
            </w:r>
          </w:p>
        </w:tc>
        <w:tc>
          <w:tcPr>
            <w:tcW w:w="1151"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年</w:t>
            </w:r>
          </w:p>
        </w:tc>
        <w:tc>
          <w:tcPr>
            <w:tcW w:w="1152"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934"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等线" w:hAnsi="等线" w:eastAsia="等线" w:cs="等线"/>
                <w:i w:val="0"/>
                <w:iCs w:val="0"/>
                <w:color w:val="auto"/>
                <w:sz w:val="18"/>
                <w:szCs w:val="18"/>
                <w:highlight w:val="none"/>
                <w:u w:val="none"/>
              </w:rPr>
            </w:pPr>
          </w:p>
        </w:tc>
        <w:tc>
          <w:tcPr>
            <w:tcW w:w="372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 软件升级，包括：版本等在线升级和定期补丁更新；</w:t>
            </w:r>
          </w:p>
        </w:tc>
        <w:tc>
          <w:tcPr>
            <w:tcW w:w="1151"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1152"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934"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等线" w:hAnsi="等线" w:eastAsia="等线" w:cs="等线"/>
                <w:i w:val="0"/>
                <w:iCs w:val="0"/>
                <w:color w:val="auto"/>
                <w:sz w:val="18"/>
                <w:szCs w:val="18"/>
                <w:highlight w:val="none"/>
                <w:u w:val="none"/>
              </w:rPr>
            </w:pPr>
          </w:p>
        </w:tc>
        <w:tc>
          <w:tcPr>
            <w:tcW w:w="372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 硬件产品质保），自客户保障之日起，最快下一工作日内维修人员携带备件上门维修。</w:t>
            </w:r>
          </w:p>
        </w:tc>
        <w:tc>
          <w:tcPr>
            <w:tcW w:w="1151"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1152"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934"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等线" w:hAnsi="等线" w:eastAsia="等线" w:cs="等线"/>
                <w:i w:val="0"/>
                <w:iCs w:val="0"/>
                <w:color w:val="auto"/>
                <w:sz w:val="18"/>
                <w:szCs w:val="18"/>
                <w:highlight w:val="none"/>
                <w:u w:val="none"/>
              </w:rPr>
            </w:pPr>
            <w:r>
              <w:rPr>
                <w:rFonts w:hint="default" w:ascii="等线" w:hAnsi="等线" w:eastAsia="等线" w:cs="等线"/>
                <w:i w:val="0"/>
                <w:iCs w:val="0"/>
                <w:color w:val="auto"/>
                <w:kern w:val="0"/>
                <w:sz w:val="18"/>
                <w:szCs w:val="18"/>
                <w:highlight w:val="none"/>
                <w:u w:val="none"/>
                <w:lang w:val="en-US" w:eastAsia="zh-CN" w:bidi="ar"/>
              </w:rPr>
              <w:t>容灾集群：aServer-R-2105</w:t>
            </w:r>
            <w:r>
              <w:rPr>
                <w:rStyle w:val="34"/>
                <w:color w:val="auto"/>
                <w:highlight w:val="none"/>
                <w:lang w:val="en-US" w:eastAsia="zh-CN" w:bidi="ar"/>
              </w:rPr>
              <w:t>（20221109A0000991共3台服务器）</w:t>
            </w:r>
          </w:p>
        </w:tc>
        <w:tc>
          <w:tcPr>
            <w:tcW w:w="372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服务有效期内提供集群的软件升级维护授权以及硬件的上门维修服务，并针对部分场景主动告警通知。</w:t>
            </w:r>
          </w:p>
        </w:tc>
        <w:tc>
          <w:tcPr>
            <w:tcW w:w="1151"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年</w:t>
            </w:r>
          </w:p>
        </w:tc>
        <w:tc>
          <w:tcPr>
            <w:tcW w:w="1152"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934"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等线" w:hAnsi="等线" w:eastAsia="等线" w:cs="等线"/>
                <w:i w:val="0"/>
                <w:iCs w:val="0"/>
                <w:color w:val="auto"/>
                <w:sz w:val="18"/>
                <w:szCs w:val="18"/>
                <w:highlight w:val="none"/>
                <w:u w:val="none"/>
              </w:rPr>
            </w:pPr>
          </w:p>
        </w:tc>
        <w:tc>
          <w:tcPr>
            <w:tcW w:w="372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 软件升级，包括：版本等在线升级和定期补丁更新；</w:t>
            </w:r>
          </w:p>
        </w:tc>
        <w:tc>
          <w:tcPr>
            <w:tcW w:w="1151"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1152"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934"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等线" w:hAnsi="等线" w:eastAsia="等线" w:cs="等线"/>
                <w:i w:val="0"/>
                <w:iCs w:val="0"/>
                <w:color w:val="auto"/>
                <w:sz w:val="18"/>
                <w:szCs w:val="18"/>
                <w:highlight w:val="none"/>
                <w:u w:val="none"/>
              </w:rPr>
            </w:pPr>
          </w:p>
        </w:tc>
        <w:tc>
          <w:tcPr>
            <w:tcW w:w="372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 硬件产品质保），自客户保障之日起，最快下一工作日内维修人员携带备件上门维修。</w:t>
            </w:r>
          </w:p>
        </w:tc>
        <w:tc>
          <w:tcPr>
            <w:tcW w:w="1151"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1152"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1934"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等线" w:hAnsi="等线" w:eastAsia="等线" w:cs="等线"/>
                <w:i w:val="0"/>
                <w:iCs w:val="0"/>
                <w:color w:val="auto"/>
                <w:sz w:val="18"/>
                <w:szCs w:val="18"/>
                <w:highlight w:val="none"/>
                <w:u w:val="none"/>
              </w:rPr>
            </w:pPr>
            <w:r>
              <w:rPr>
                <w:rFonts w:hint="default" w:ascii="等线" w:hAnsi="等线" w:eastAsia="等线" w:cs="等线"/>
                <w:i w:val="0"/>
                <w:iCs w:val="0"/>
                <w:color w:val="auto"/>
                <w:kern w:val="0"/>
                <w:sz w:val="18"/>
                <w:szCs w:val="18"/>
                <w:highlight w:val="none"/>
                <w:u w:val="none"/>
                <w:lang w:val="en-US" w:eastAsia="zh-CN" w:bidi="ar"/>
              </w:rPr>
              <w:t>超融合集群存储交换机aRS6300-24X-LI-15X</w:t>
            </w:r>
          </w:p>
        </w:tc>
        <w:tc>
          <w:tcPr>
            <w:tcW w:w="372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一、使用过程中提供7*24小时技术支持；</w:t>
            </w:r>
          </w:p>
        </w:tc>
        <w:tc>
          <w:tcPr>
            <w:tcW w:w="1151"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年</w:t>
            </w:r>
          </w:p>
        </w:tc>
        <w:tc>
          <w:tcPr>
            <w:tcW w:w="1152"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934"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等线" w:hAnsi="等线" w:eastAsia="等线" w:cs="等线"/>
                <w:i w:val="0"/>
                <w:iCs w:val="0"/>
                <w:color w:val="auto"/>
                <w:sz w:val="18"/>
                <w:szCs w:val="18"/>
                <w:highlight w:val="none"/>
                <w:u w:val="none"/>
              </w:rPr>
            </w:pPr>
          </w:p>
        </w:tc>
        <w:tc>
          <w:tcPr>
            <w:tcW w:w="372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二、软件升级：</w:t>
            </w:r>
          </w:p>
        </w:tc>
        <w:tc>
          <w:tcPr>
            <w:tcW w:w="1151"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1152"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934"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等线" w:hAnsi="等线" w:eastAsia="等线" w:cs="等线"/>
                <w:i w:val="0"/>
                <w:iCs w:val="0"/>
                <w:color w:val="auto"/>
                <w:sz w:val="18"/>
                <w:szCs w:val="18"/>
                <w:highlight w:val="none"/>
                <w:u w:val="none"/>
              </w:rPr>
            </w:pPr>
          </w:p>
        </w:tc>
        <w:tc>
          <w:tcPr>
            <w:tcW w:w="372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三、产品质保：</w:t>
            </w:r>
          </w:p>
        </w:tc>
        <w:tc>
          <w:tcPr>
            <w:tcW w:w="1151"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1152"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934"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等线" w:hAnsi="等线" w:eastAsia="等线" w:cs="等线"/>
                <w:i w:val="0"/>
                <w:iCs w:val="0"/>
                <w:color w:val="auto"/>
                <w:sz w:val="18"/>
                <w:szCs w:val="18"/>
                <w:highlight w:val="none"/>
                <w:u w:val="none"/>
              </w:rPr>
            </w:pPr>
            <w:r>
              <w:rPr>
                <w:rFonts w:hint="default" w:ascii="等线" w:hAnsi="等线" w:eastAsia="等线" w:cs="等线"/>
                <w:i w:val="0"/>
                <w:iCs w:val="0"/>
                <w:color w:val="auto"/>
                <w:kern w:val="0"/>
                <w:sz w:val="18"/>
                <w:szCs w:val="18"/>
                <w:highlight w:val="none"/>
                <w:u w:val="none"/>
                <w:lang w:val="en-US" w:eastAsia="zh-CN" w:bidi="ar"/>
              </w:rPr>
              <w:t>aRS5300-28T-4F（共2台交换机）</w:t>
            </w:r>
          </w:p>
        </w:tc>
        <w:tc>
          <w:tcPr>
            <w:tcW w:w="372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一、使用过程中提供7*24小时技术支持；</w:t>
            </w:r>
          </w:p>
        </w:tc>
        <w:tc>
          <w:tcPr>
            <w:tcW w:w="1151"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年</w:t>
            </w:r>
          </w:p>
        </w:tc>
        <w:tc>
          <w:tcPr>
            <w:tcW w:w="1152"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934"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等线" w:hAnsi="等线" w:eastAsia="等线" w:cs="等线"/>
                <w:i w:val="0"/>
                <w:iCs w:val="0"/>
                <w:color w:val="auto"/>
                <w:sz w:val="18"/>
                <w:szCs w:val="18"/>
                <w:highlight w:val="none"/>
                <w:u w:val="none"/>
              </w:rPr>
            </w:pPr>
          </w:p>
        </w:tc>
        <w:tc>
          <w:tcPr>
            <w:tcW w:w="372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二、软件升级：</w:t>
            </w:r>
          </w:p>
        </w:tc>
        <w:tc>
          <w:tcPr>
            <w:tcW w:w="1151"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1152"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934"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等线" w:hAnsi="等线" w:eastAsia="等线" w:cs="等线"/>
                <w:i w:val="0"/>
                <w:iCs w:val="0"/>
                <w:color w:val="auto"/>
                <w:sz w:val="18"/>
                <w:szCs w:val="18"/>
                <w:highlight w:val="none"/>
                <w:u w:val="none"/>
              </w:rPr>
            </w:pPr>
          </w:p>
        </w:tc>
        <w:tc>
          <w:tcPr>
            <w:tcW w:w="372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三、产品质保：</w:t>
            </w:r>
          </w:p>
        </w:tc>
        <w:tc>
          <w:tcPr>
            <w:tcW w:w="1151"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1152"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934"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等线" w:hAnsi="等线" w:eastAsia="等线" w:cs="等线"/>
                <w:i w:val="0"/>
                <w:iCs w:val="0"/>
                <w:color w:val="auto"/>
                <w:sz w:val="18"/>
                <w:szCs w:val="18"/>
                <w:highlight w:val="none"/>
                <w:u w:val="none"/>
              </w:rPr>
            </w:pPr>
            <w:r>
              <w:rPr>
                <w:rFonts w:hint="default" w:ascii="等线" w:hAnsi="等线" w:eastAsia="等线" w:cs="等线"/>
                <w:i w:val="0"/>
                <w:iCs w:val="0"/>
                <w:color w:val="auto"/>
                <w:kern w:val="0"/>
                <w:sz w:val="18"/>
                <w:szCs w:val="18"/>
                <w:highlight w:val="none"/>
                <w:u w:val="none"/>
                <w:lang w:val="en-US" w:eastAsia="zh-CN" w:bidi="ar"/>
              </w:rPr>
              <w:t>数据库管理平台DMP</w:t>
            </w:r>
          </w:p>
        </w:tc>
        <w:tc>
          <w:tcPr>
            <w:tcW w:w="372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一、软件升级：</w:t>
            </w:r>
          </w:p>
        </w:tc>
        <w:tc>
          <w:tcPr>
            <w:tcW w:w="1151"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年</w:t>
            </w:r>
          </w:p>
        </w:tc>
        <w:tc>
          <w:tcPr>
            <w:tcW w:w="1152"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934"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等线" w:hAnsi="等线" w:eastAsia="等线" w:cs="等线"/>
                <w:i w:val="0"/>
                <w:iCs w:val="0"/>
                <w:color w:val="auto"/>
                <w:sz w:val="18"/>
                <w:szCs w:val="18"/>
                <w:highlight w:val="none"/>
                <w:u w:val="none"/>
              </w:rPr>
            </w:pPr>
          </w:p>
        </w:tc>
        <w:tc>
          <w:tcPr>
            <w:tcW w:w="372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二、服务期内完成一次针对数据库的应急演练</w:t>
            </w:r>
          </w:p>
        </w:tc>
        <w:tc>
          <w:tcPr>
            <w:tcW w:w="1151"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c>
          <w:tcPr>
            <w:tcW w:w="1152"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93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等线" w:hAnsi="等线" w:eastAsia="等线" w:cs="等线"/>
                <w:i w:val="0"/>
                <w:iCs w:val="0"/>
                <w:color w:val="auto"/>
                <w:sz w:val="18"/>
                <w:szCs w:val="18"/>
                <w:highlight w:val="none"/>
                <w:u w:val="none"/>
              </w:rPr>
            </w:pPr>
            <w:r>
              <w:rPr>
                <w:rFonts w:hint="default" w:ascii="等线" w:hAnsi="等线" w:eastAsia="等线" w:cs="等线"/>
                <w:i w:val="0"/>
                <w:iCs w:val="0"/>
                <w:color w:val="auto"/>
                <w:kern w:val="0"/>
                <w:sz w:val="18"/>
                <w:szCs w:val="18"/>
                <w:highlight w:val="none"/>
                <w:u w:val="none"/>
                <w:lang w:val="en-US" w:eastAsia="zh-CN" w:bidi="ar"/>
              </w:rPr>
              <w:t>其他技术服务</w:t>
            </w:r>
          </w:p>
        </w:tc>
        <w:tc>
          <w:tcPr>
            <w:tcW w:w="372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下一代防火墙AF-1000-G600P、下一代防火墙AF-1000-L4478、集群aServer-2105（CF964512AF01173C）出现硬件故障或技术问题时，6小时内响应并提供备机服务。</w:t>
            </w:r>
          </w:p>
        </w:tc>
        <w:tc>
          <w:tcPr>
            <w:tcW w:w="115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年</w:t>
            </w:r>
          </w:p>
        </w:tc>
        <w:tc>
          <w:tcPr>
            <w:tcW w:w="115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bl>
    <w:p>
      <w:pPr>
        <w:widowControl/>
        <w:spacing w:line="360" w:lineRule="auto"/>
        <w:jc w:val="left"/>
        <w:outlineLvl w:val="1"/>
        <w:rPr>
          <w:rFonts w:hint="eastAsia" w:ascii="宋体" w:hAnsi="宋体" w:eastAsia="宋体" w:cs="宋体"/>
          <w:b/>
          <w:bCs/>
          <w:color w:val="auto"/>
          <w:sz w:val="24"/>
          <w:highlight w:val="none"/>
        </w:rPr>
      </w:pPr>
    </w:p>
    <w:p>
      <w:pPr>
        <w:pStyle w:val="14"/>
        <w:rPr>
          <w:rFonts w:hint="eastAsia"/>
          <w:color w:val="auto"/>
          <w:highlight w:val="none"/>
        </w:rPr>
      </w:pP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outlineLvl w:val="1"/>
        <w:rPr>
          <w:rFonts w:hint="eastAsia" w:ascii="宋体" w:hAnsi="宋体" w:eastAsia="宋体" w:cs="宋体"/>
          <w:color w:val="auto"/>
          <w:sz w:val="24"/>
          <w:highlight w:val="none"/>
          <w:lang w:val="en-US" w:eastAsia="zh-CN"/>
        </w:rPr>
      </w:pPr>
      <w:r>
        <w:rPr>
          <w:rFonts w:hint="eastAsia" w:ascii="宋体" w:hAnsi="宋体" w:cs="宋体"/>
          <w:b/>
          <w:bCs/>
          <w:color w:val="auto"/>
          <w:sz w:val="24"/>
          <w:highlight w:val="none"/>
          <w:lang w:val="en-US" w:eastAsia="zh-CN"/>
        </w:rPr>
        <w:t>六、</w:t>
      </w:r>
      <w:r>
        <w:rPr>
          <w:rFonts w:hint="eastAsia" w:ascii="宋体" w:hAnsi="宋体" w:cs="宋体"/>
          <w:b/>
          <w:bCs/>
          <w:color w:val="auto"/>
          <w:sz w:val="24"/>
          <w:highlight w:val="none"/>
        </w:rPr>
        <w:t>医保专网、120专网、新糖口腔科专网租用</w:t>
      </w:r>
    </w:p>
    <w:p>
      <w:pPr>
        <w:spacing w:line="480" w:lineRule="auto"/>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一</w:t>
      </w:r>
      <w:r>
        <w:rPr>
          <w:rFonts w:hint="eastAsia" w:ascii="宋体" w:hAnsi="宋体" w:eastAsia="宋体" w:cs="宋体"/>
          <w:color w:val="auto"/>
          <w:sz w:val="24"/>
          <w:highlight w:val="none"/>
          <w:lang w:val="en-US" w:eastAsia="zh-CN"/>
        </w:rPr>
        <w:t>）符合信息产业部颁布的《电信服务标准（试行）》的通信业务质量要求。</w:t>
      </w:r>
    </w:p>
    <w:p>
      <w:pPr>
        <w:spacing w:line="480" w:lineRule="auto"/>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二</w:t>
      </w:r>
      <w:r>
        <w:rPr>
          <w:rFonts w:hint="eastAsia" w:ascii="宋体" w:hAnsi="宋体" w:eastAsia="宋体" w:cs="宋体"/>
          <w:color w:val="auto"/>
          <w:sz w:val="24"/>
          <w:highlight w:val="none"/>
          <w:lang w:val="en-US" w:eastAsia="zh-CN"/>
        </w:rPr>
        <w:t>）长期运行基本无瞬时中断现象，误码率达10E-6以内。</w:t>
      </w:r>
    </w:p>
    <w:p>
      <w:pPr>
        <w:spacing w:line="480" w:lineRule="auto"/>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三</w:t>
      </w:r>
      <w:r>
        <w:rPr>
          <w:rFonts w:hint="eastAsia" w:ascii="宋体" w:hAnsi="宋体" w:eastAsia="宋体" w:cs="宋体"/>
          <w:color w:val="auto"/>
          <w:sz w:val="24"/>
          <w:highlight w:val="none"/>
          <w:lang w:val="en-US" w:eastAsia="zh-CN"/>
        </w:rPr>
        <w:t>）全网年度运行率达到99.99%以上，有节点之间的时延≤50ms，丢包率小于1%。</w:t>
      </w:r>
    </w:p>
    <w:p>
      <w:pPr>
        <w:spacing w:line="480" w:lineRule="auto"/>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四</w:t>
      </w:r>
      <w:r>
        <w:rPr>
          <w:rFonts w:hint="eastAsia" w:ascii="宋体" w:hAnsi="宋体" w:eastAsia="宋体" w:cs="宋体"/>
          <w:color w:val="auto"/>
          <w:sz w:val="24"/>
          <w:highlight w:val="none"/>
          <w:lang w:val="en-US" w:eastAsia="zh-CN"/>
        </w:rPr>
        <w:t>）承诺应提供 7×24 小时电话技术支持和故障申告服务，具有完备的售后服务网点，确保售后服务范围涵盖中山市地域，自故障申告起10分钟内响应，电路故障恢复时限小于2小时；光缆故障恢复时限不超过5个小时（含赴途时间）。</w:t>
      </w:r>
    </w:p>
    <w:p>
      <w:pPr>
        <w:spacing w:line="480" w:lineRule="auto"/>
        <w:ind w:firstLine="480" w:firstLineChars="200"/>
        <w:jc w:val="left"/>
        <w:rPr>
          <w:rFonts w:hint="eastAsia" w:ascii="宋体" w:hAnsi="宋体" w:cs="宋体"/>
          <w:color w:val="auto"/>
          <w:sz w:val="24"/>
          <w:szCs w:val="22"/>
          <w:highlight w:val="none"/>
          <w:lang w:bidi="zh-CN"/>
        </w:rPr>
      </w:pP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五</w:t>
      </w:r>
      <w:r>
        <w:rPr>
          <w:rFonts w:hint="eastAsia" w:ascii="宋体" w:hAnsi="宋体" w:eastAsia="宋体" w:cs="宋体"/>
          <w:color w:val="auto"/>
          <w:sz w:val="24"/>
          <w:highlight w:val="none"/>
          <w:lang w:val="en-US" w:eastAsia="zh-CN"/>
        </w:rPr>
        <w:t>）供应商必须承诺，医院现有专线通道服务的顺利续期和正常使用。</w:t>
      </w:r>
    </w:p>
    <w:p>
      <w:pPr>
        <w:widowControl/>
        <w:spacing w:line="360" w:lineRule="auto"/>
        <w:jc w:val="left"/>
        <w:rPr>
          <w:rFonts w:hint="default"/>
          <w:color w:val="auto"/>
          <w:highlight w:val="none"/>
          <w:lang w:val="en-US"/>
        </w:rPr>
      </w:pP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outlineLvl w:val="1"/>
        <w:rPr>
          <w:rFonts w:hint="default"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七</w:t>
      </w:r>
      <w:r>
        <w:rPr>
          <w:rFonts w:hint="eastAsia" w:ascii="宋体" w:hAnsi="宋体" w:eastAsia="宋体" w:cs="宋体"/>
          <w:b/>
          <w:bCs/>
          <w:color w:val="auto"/>
          <w:sz w:val="24"/>
          <w:highlight w:val="none"/>
          <w:lang w:val="en-US" w:eastAsia="zh-CN"/>
        </w:rPr>
        <w:t>、网络安全等级保护（三级）复测</w:t>
      </w:r>
      <w:r>
        <w:rPr>
          <w:rFonts w:hint="eastAsia" w:ascii="宋体" w:hAnsi="宋体" w:cs="宋体"/>
          <w:b/>
          <w:bCs/>
          <w:color w:val="auto"/>
          <w:sz w:val="24"/>
          <w:highlight w:val="none"/>
          <w:lang w:val="en-US" w:eastAsia="zh-CN"/>
        </w:rPr>
        <w:t>服务</w:t>
      </w:r>
    </w:p>
    <w:p>
      <w:pPr>
        <w:spacing w:line="480" w:lineRule="auto"/>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一</w:t>
      </w:r>
      <w:r>
        <w:rPr>
          <w:rFonts w:hint="eastAsia" w:ascii="宋体" w:hAnsi="宋体" w:eastAsia="宋体" w:cs="宋体"/>
          <w:color w:val="auto"/>
          <w:sz w:val="24"/>
          <w:highlight w:val="none"/>
          <w:lang w:val="en-US" w:eastAsia="zh-CN"/>
        </w:rPr>
        <w:t>）服务要求</w:t>
      </w:r>
    </w:p>
    <w:p>
      <w:pPr>
        <w:spacing w:line="480" w:lineRule="auto"/>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1.完成</w:t>
      </w:r>
      <w:r>
        <w:rPr>
          <w:rFonts w:hint="eastAsia" w:ascii="宋体" w:hAnsi="宋体" w:cs="宋体"/>
          <w:color w:val="auto"/>
          <w:sz w:val="24"/>
          <w:highlight w:val="none"/>
          <w:lang w:val="en-US" w:eastAsia="zh-CN"/>
        </w:rPr>
        <w:t>采购人</w:t>
      </w:r>
      <w:r>
        <w:rPr>
          <w:rFonts w:hint="eastAsia" w:ascii="宋体" w:hAnsi="宋体" w:eastAsia="宋体" w:cs="宋体"/>
          <w:color w:val="auto"/>
          <w:sz w:val="24"/>
          <w:highlight w:val="none"/>
          <w:lang w:val="en-US" w:eastAsia="zh-CN"/>
        </w:rPr>
        <w:t>HIS信息系统、LIS信息系统、PACS信息系统的网络安全等级保护（三级）复测测评和整改工作，并通过网络安全等保测评第三级复测（提供由具有等级保护测评资质的测评机构颁发的等保测评报告及中山市公安局颁发的备案证明（或报告接收回执）），否则不能通过验收，测评及整改过程中（含机房配套设备及运行环境）所发生的一切费用均由成交供应商承担。</w:t>
      </w:r>
    </w:p>
    <w:p>
      <w:pPr>
        <w:spacing w:line="480" w:lineRule="auto"/>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2.项目必须</w:t>
      </w:r>
      <w:r>
        <w:rPr>
          <w:rFonts w:hint="eastAsia" w:ascii="宋体" w:hAnsi="宋体" w:eastAsia="宋体" w:cs="宋体"/>
          <w:color w:val="auto"/>
          <w:sz w:val="24"/>
          <w:highlight w:val="none"/>
        </w:rPr>
        <w:t>依据《信息安全技术网络安全等级保护基本要求》</w:t>
      </w:r>
      <w:r>
        <w:rPr>
          <w:rFonts w:hint="eastAsia" w:ascii="宋体" w:hAnsi="宋体" w:eastAsia="宋体" w:cs="宋体"/>
          <w:color w:val="auto"/>
          <w:sz w:val="24"/>
          <w:highlight w:val="none"/>
          <w:lang w:val="en-US" w:eastAsia="zh-CN"/>
        </w:rPr>
        <w:t>开展，</w:t>
      </w:r>
      <w:r>
        <w:rPr>
          <w:rFonts w:hint="eastAsia" w:ascii="宋体" w:hAnsi="宋体" w:cs="宋体"/>
          <w:color w:val="auto"/>
          <w:sz w:val="24"/>
          <w:highlight w:val="none"/>
          <w:lang w:val="en-US" w:eastAsia="zh-CN"/>
        </w:rPr>
        <w:t>成交</w:t>
      </w:r>
      <w:r>
        <w:rPr>
          <w:rFonts w:hint="eastAsia" w:ascii="宋体" w:hAnsi="宋体" w:eastAsia="宋体" w:cs="宋体"/>
          <w:color w:val="auto"/>
          <w:sz w:val="24"/>
          <w:highlight w:val="none"/>
          <w:lang w:val="en-US" w:eastAsia="zh-CN"/>
        </w:rPr>
        <w:t>供应商应具备独立完成本项目的能力。</w:t>
      </w:r>
    </w:p>
    <w:p>
      <w:pPr>
        <w:spacing w:line="480" w:lineRule="auto"/>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3.在项目现场实施周期内，必须为本项目成立等级保护测评小组，安排包括项目经理和核心技术人员的现场驻场服务，所需电脑、工具等设备自行提供。  </w:t>
      </w:r>
    </w:p>
    <w:p>
      <w:pPr>
        <w:spacing w:line="480" w:lineRule="auto"/>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4.采购</w:t>
      </w:r>
      <w:r>
        <w:rPr>
          <w:rFonts w:hint="eastAsia" w:ascii="宋体" w:hAnsi="宋体" w:cs="宋体"/>
          <w:color w:val="auto"/>
          <w:sz w:val="24"/>
          <w:highlight w:val="none"/>
          <w:lang w:val="en-US" w:eastAsia="zh-CN"/>
        </w:rPr>
        <w:t>人</w:t>
      </w:r>
      <w:r>
        <w:rPr>
          <w:rFonts w:hint="eastAsia" w:ascii="宋体" w:hAnsi="宋体" w:eastAsia="宋体" w:cs="宋体"/>
          <w:color w:val="auto"/>
          <w:sz w:val="24"/>
          <w:highlight w:val="none"/>
          <w:lang w:val="en-US" w:eastAsia="zh-CN"/>
        </w:rPr>
        <w:t>对差距测评中发现的问题进行整改，包括但并不限于以下内容：涉及文档制度类的整改项，需要提供模板与采购方编写完成。</w:t>
      </w:r>
    </w:p>
    <w:p>
      <w:pPr>
        <w:spacing w:line="480" w:lineRule="auto"/>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5.对于测评中产生的漏洞与差距项，需要灵活的根据采购</w:t>
      </w:r>
      <w:r>
        <w:rPr>
          <w:rFonts w:hint="eastAsia" w:ascii="宋体" w:hAnsi="宋体" w:cs="宋体"/>
          <w:color w:val="auto"/>
          <w:sz w:val="24"/>
          <w:highlight w:val="none"/>
          <w:lang w:val="en-US" w:eastAsia="zh-CN"/>
        </w:rPr>
        <w:t>人</w:t>
      </w:r>
      <w:r>
        <w:rPr>
          <w:rFonts w:hint="eastAsia" w:ascii="宋体" w:hAnsi="宋体" w:eastAsia="宋体" w:cs="宋体"/>
          <w:color w:val="auto"/>
          <w:sz w:val="24"/>
          <w:highlight w:val="none"/>
          <w:lang w:val="en-US" w:eastAsia="zh-CN"/>
        </w:rPr>
        <w:t>实际情况提供详尽可落地的修复整改方案。</w:t>
      </w:r>
    </w:p>
    <w:p>
      <w:pPr>
        <w:spacing w:line="480" w:lineRule="auto"/>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二</w:t>
      </w:r>
      <w:r>
        <w:rPr>
          <w:rFonts w:hint="eastAsia" w:ascii="宋体" w:hAnsi="宋体" w:eastAsia="宋体" w:cs="宋体"/>
          <w:color w:val="auto"/>
          <w:sz w:val="24"/>
          <w:highlight w:val="none"/>
          <w:lang w:val="en-US" w:eastAsia="zh-CN"/>
        </w:rPr>
        <w:t>）技术要求</w:t>
      </w:r>
    </w:p>
    <w:p>
      <w:pPr>
        <w:spacing w:line="480" w:lineRule="auto"/>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由具有等级保护测评资质的测评机构依据《信息安全技术网络安全等级保护基本要求》(GB/T22239-2019)，通过访谈、检查、测试等测评方式，对安全物理环境、安全通信网络、安全区域边界、安全计算环境、安全管理中心、安全管理制度、安全管理机构、安全管理人员、安全建设管理、安全运维管理十个层面内容开展测评工作。</w:t>
      </w:r>
    </w:p>
    <w:p>
      <w:pPr>
        <w:spacing w:line="480" w:lineRule="auto"/>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差距测评：根据网络安全等级保护定级情况，制定信息系统安全等级保护测评方案，对信息系统涉及的机房、网络/安全设备、主机设备、应用系统、安全管理体系等进行等级保护差距测评，并提交不符合项表和整改建议（现场测评）。对被测信息系统服务器、应用系统进行漏洞扫描，列出被测信息系统中存在的主要问题以及可能造成的后果，并提出整改建议（现场扫描+远程扫描）。根据扫描结果进行漏洞分析及说明，对系统开展渗透测试，进行弱口令测试及其他手工测试，并提交修复建议（互联网渗透+现场渗透）。</w:t>
      </w:r>
    </w:p>
    <w:p>
      <w:pPr>
        <w:spacing w:line="480" w:lineRule="auto"/>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3.整改与验收测评：完成网络安全整改与加固工作，我</w:t>
      </w:r>
      <w:r>
        <w:rPr>
          <w:rFonts w:hint="eastAsia" w:ascii="宋体" w:hAnsi="宋体" w:cs="宋体"/>
          <w:color w:val="auto"/>
          <w:sz w:val="24"/>
          <w:highlight w:val="none"/>
          <w:lang w:val="en-US" w:eastAsia="zh-CN"/>
        </w:rPr>
        <w:t>院</w:t>
      </w:r>
      <w:r>
        <w:rPr>
          <w:rFonts w:hint="eastAsia" w:ascii="宋体" w:hAnsi="宋体" w:eastAsia="宋体" w:cs="宋体"/>
          <w:color w:val="auto"/>
          <w:sz w:val="24"/>
          <w:highlight w:val="none"/>
          <w:lang w:val="en-US" w:eastAsia="zh-CN"/>
        </w:rPr>
        <w:t>依据《GBT28448-2019信息安全技术网络安全等级保护测评要求》及相关等保2.0标准和要求，对信息系统进行验收性测评，并</w:t>
      </w:r>
      <w:r>
        <w:rPr>
          <w:rFonts w:hint="eastAsia" w:ascii="宋体" w:hAnsi="宋体" w:cs="宋体"/>
          <w:color w:val="auto"/>
          <w:sz w:val="24"/>
          <w:highlight w:val="none"/>
          <w:lang w:val="en-US" w:eastAsia="zh-CN"/>
        </w:rPr>
        <w:t>出具</w:t>
      </w:r>
      <w:r>
        <w:rPr>
          <w:rFonts w:hint="eastAsia" w:ascii="宋体" w:hAnsi="宋体" w:eastAsia="宋体" w:cs="宋体"/>
          <w:color w:val="auto"/>
          <w:sz w:val="24"/>
          <w:highlight w:val="none"/>
          <w:lang w:val="en-US" w:eastAsia="zh-CN"/>
        </w:rPr>
        <w:t>测评报告（现场测评）。</w:t>
      </w:r>
    </w:p>
    <w:p>
      <w:pPr>
        <w:spacing w:line="480" w:lineRule="auto"/>
        <w:ind w:firstLine="480" w:firstLineChars="200"/>
        <w:jc w:val="lef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lang w:val="en-US" w:eastAsia="zh-CN"/>
        </w:rPr>
        <w:t>交付：《系统网络安全等级保护测评报告》电子版和纸质版。</w:t>
      </w:r>
    </w:p>
    <w:p>
      <w:pPr>
        <w:spacing w:line="480" w:lineRule="auto"/>
        <w:ind w:firstLine="480" w:firstLineChars="200"/>
        <w:jc w:val="lef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3.2</w:t>
      </w:r>
      <w:r>
        <w:rPr>
          <w:rFonts w:hint="eastAsia" w:ascii="宋体" w:hAnsi="宋体" w:eastAsia="宋体" w:cs="宋体"/>
          <w:color w:val="auto"/>
          <w:sz w:val="24"/>
          <w:highlight w:val="none"/>
          <w:lang w:val="en-US" w:eastAsia="zh-CN"/>
        </w:rPr>
        <w:t>验收要求</w:t>
      </w:r>
      <w:r>
        <w:rPr>
          <w:rFonts w:hint="eastAsia" w:ascii="宋体" w:hAnsi="宋体" w:cs="宋体"/>
          <w:color w:val="auto"/>
          <w:sz w:val="24"/>
          <w:highlight w:val="none"/>
          <w:lang w:val="en-US" w:eastAsia="zh-CN"/>
        </w:rPr>
        <w:t>：</w:t>
      </w:r>
      <w:bookmarkStart w:id="0" w:name="_GoBack"/>
      <w:bookmarkEnd w:id="0"/>
    </w:p>
    <w:p>
      <w:pPr>
        <w:spacing w:line="48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成交供应商应在约定服务期内完成</w:t>
      </w:r>
      <w:r>
        <w:rPr>
          <w:rFonts w:hint="eastAsia" w:ascii="宋体" w:hAnsi="宋体" w:cs="宋体"/>
          <w:color w:val="auto"/>
          <w:sz w:val="24"/>
          <w:highlight w:val="none"/>
          <w:lang w:val="en-US" w:eastAsia="zh-CN"/>
        </w:rPr>
        <w:t>采购人</w:t>
      </w:r>
      <w:r>
        <w:rPr>
          <w:rFonts w:hint="eastAsia" w:ascii="宋体" w:hAnsi="宋体" w:eastAsia="宋体" w:cs="宋体"/>
          <w:color w:val="auto"/>
          <w:sz w:val="24"/>
          <w:highlight w:val="none"/>
          <w:lang w:val="en-US" w:eastAsia="zh-CN"/>
        </w:rPr>
        <w:t>HIS信息系统、LIS信息系统、PACS信息系统的网络安全等级保护（三级）复测测评、整改、验收，并取得并通过网络安全等保测评第三级复测（提供由具有等级保护测评资质的测评机构颁发的等保测评报告及中山市公安局颁发的备案证明（或报告接收回执））。</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Syntax">
    <w:altName w:val="Sitka Text"/>
    <w:panose1 w:val="020B0500000000000000"/>
    <w:charset w:val="00"/>
    <w:family w:val="swiss"/>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Sitka Text">
    <w:panose1 w:val="02000505000000020004"/>
    <w:charset w:val="00"/>
    <w:family w:val="auto"/>
    <w:pitch w:val="default"/>
    <w:sig w:usb0="A00002EF" w:usb1="4000204B"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1BC09E"/>
    <w:multiLevelType w:val="singleLevel"/>
    <w:tmpl w:val="B71BC09E"/>
    <w:lvl w:ilvl="0" w:tentative="0">
      <w:start w:val="1"/>
      <w:numFmt w:val="chineseCounting"/>
      <w:suff w:val="nothing"/>
      <w:lvlText w:val="%1、"/>
      <w:lvlJc w:val="left"/>
      <w:rPr>
        <w:rFonts w:hint="eastAsia"/>
      </w:rPr>
    </w:lvl>
  </w:abstractNum>
  <w:abstractNum w:abstractNumId="1">
    <w:nsid w:val="16380F04"/>
    <w:multiLevelType w:val="multilevel"/>
    <w:tmpl w:val="16380F04"/>
    <w:lvl w:ilvl="0" w:tentative="0">
      <w:start w:val="1"/>
      <w:numFmt w:val="decimal"/>
      <w:isLgl/>
      <w:lvlText w:val="%1"/>
      <w:lvlJc w:val="left"/>
      <w:pPr>
        <w:tabs>
          <w:tab w:val="left" w:pos="2552"/>
        </w:tabs>
        <w:ind w:left="2552" w:hanging="851"/>
      </w:pPr>
      <w:rPr>
        <w:rFonts w:hint="default" w:ascii="Syntax" w:hAnsi="Syntax"/>
        <w:b/>
        <w:i w:val="0"/>
        <w:sz w:val="28"/>
      </w:rPr>
    </w:lvl>
    <w:lvl w:ilvl="1" w:tentative="0">
      <w:start w:val="1"/>
      <w:numFmt w:val="decimal"/>
      <w:lvlText w:val="%1.%2"/>
      <w:lvlJc w:val="left"/>
      <w:pPr>
        <w:tabs>
          <w:tab w:val="left" w:pos="2695"/>
        </w:tabs>
        <w:ind w:left="2695" w:hanging="851"/>
      </w:pPr>
      <w:rPr>
        <w:rFonts w:hint="default" w:ascii="Syntax" w:hAnsi="Syntax"/>
        <w:b/>
        <w:i w:val="0"/>
        <w:sz w:val="24"/>
      </w:rPr>
    </w:lvl>
    <w:lvl w:ilvl="2" w:tentative="0">
      <w:start w:val="1"/>
      <w:numFmt w:val="decimal"/>
      <w:pStyle w:val="4"/>
      <w:lvlText w:val="%1.%2.%3"/>
      <w:lvlJc w:val="left"/>
      <w:pPr>
        <w:tabs>
          <w:tab w:val="left" w:pos="2552"/>
        </w:tabs>
        <w:ind w:left="2552" w:hanging="851"/>
      </w:pPr>
      <w:rPr>
        <w:rFonts w:hint="default" w:ascii="Syntax" w:hAnsi="Syntax"/>
        <w:b/>
        <w:i w:val="0"/>
        <w:sz w:val="20"/>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8"/>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3YTAxZWI1MTI0NWY4ODMyYWZjNzI4MDM1MGI1NTEifQ=="/>
  </w:docVars>
  <w:rsids>
    <w:rsidRoot w:val="793728AD"/>
    <w:rsid w:val="00001099"/>
    <w:rsid w:val="0000673A"/>
    <w:rsid w:val="0001573A"/>
    <w:rsid w:val="0006082E"/>
    <w:rsid w:val="000668AE"/>
    <w:rsid w:val="00085ABA"/>
    <w:rsid w:val="000A7ACF"/>
    <w:rsid w:val="000C71FA"/>
    <w:rsid w:val="000F082B"/>
    <w:rsid w:val="000F47BA"/>
    <w:rsid w:val="00100AF9"/>
    <w:rsid w:val="0010370C"/>
    <w:rsid w:val="00124924"/>
    <w:rsid w:val="001341E5"/>
    <w:rsid w:val="00141788"/>
    <w:rsid w:val="001754D6"/>
    <w:rsid w:val="0017656C"/>
    <w:rsid w:val="001A69E9"/>
    <w:rsid w:val="001B0771"/>
    <w:rsid w:val="002009DA"/>
    <w:rsid w:val="00216B4A"/>
    <w:rsid w:val="00231FB7"/>
    <w:rsid w:val="00243DAF"/>
    <w:rsid w:val="00255630"/>
    <w:rsid w:val="002558C4"/>
    <w:rsid w:val="0026335A"/>
    <w:rsid w:val="00265BFE"/>
    <w:rsid w:val="0028025E"/>
    <w:rsid w:val="00281A09"/>
    <w:rsid w:val="00295619"/>
    <w:rsid w:val="002A024E"/>
    <w:rsid w:val="002C5917"/>
    <w:rsid w:val="002D69F5"/>
    <w:rsid w:val="002E15A4"/>
    <w:rsid w:val="002F151C"/>
    <w:rsid w:val="00316B20"/>
    <w:rsid w:val="00341AFF"/>
    <w:rsid w:val="00364F5F"/>
    <w:rsid w:val="003729C9"/>
    <w:rsid w:val="00376D5B"/>
    <w:rsid w:val="003776C0"/>
    <w:rsid w:val="0038201F"/>
    <w:rsid w:val="00390E69"/>
    <w:rsid w:val="00393E9E"/>
    <w:rsid w:val="003A20BF"/>
    <w:rsid w:val="003B0197"/>
    <w:rsid w:val="003C4651"/>
    <w:rsid w:val="003D2888"/>
    <w:rsid w:val="003D3274"/>
    <w:rsid w:val="003E07A0"/>
    <w:rsid w:val="003E0E28"/>
    <w:rsid w:val="003E32DF"/>
    <w:rsid w:val="003E34E8"/>
    <w:rsid w:val="00403B18"/>
    <w:rsid w:val="004063EA"/>
    <w:rsid w:val="004117AC"/>
    <w:rsid w:val="0041196F"/>
    <w:rsid w:val="00425D2B"/>
    <w:rsid w:val="00433B2D"/>
    <w:rsid w:val="00450FEE"/>
    <w:rsid w:val="00455FA3"/>
    <w:rsid w:val="00474185"/>
    <w:rsid w:val="004A12E1"/>
    <w:rsid w:val="004F10AB"/>
    <w:rsid w:val="00505A6E"/>
    <w:rsid w:val="005471FE"/>
    <w:rsid w:val="005829A2"/>
    <w:rsid w:val="005A4D5C"/>
    <w:rsid w:val="005B6489"/>
    <w:rsid w:val="005C465C"/>
    <w:rsid w:val="005C49D1"/>
    <w:rsid w:val="005D303A"/>
    <w:rsid w:val="005D31FE"/>
    <w:rsid w:val="005D79CD"/>
    <w:rsid w:val="005E49D4"/>
    <w:rsid w:val="005F46D9"/>
    <w:rsid w:val="00615783"/>
    <w:rsid w:val="00616753"/>
    <w:rsid w:val="006279A9"/>
    <w:rsid w:val="0063422D"/>
    <w:rsid w:val="00636CBF"/>
    <w:rsid w:val="0064326D"/>
    <w:rsid w:val="00672221"/>
    <w:rsid w:val="00686D8E"/>
    <w:rsid w:val="00691E9E"/>
    <w:rsid w:val="00696794"/>
    <w:rsid w:val="006A2C26"/>
    <w:rsid w:val="006A79F7"/>
    <w:rsid w:val="006D4D4B"/>
    <w:rsid w:val="006F72DD"/>
    <w:rsid w:val="00704617"/>
    <w:rsid w:val="00734FF1"/>
    <w:rsid w:val="007447DA"/>
    <w:rsid w:val="00791C08"/>
    <w:rsid w:val="007B1BA0"/>
    <w:rsid w:val="007B6CC3"/>
    <w:rsid w:val="007E371D"/>
    <w:rsid w:val="007F708D"/>
    <w:rsid w:val="008057F4"/>
    <w:rsid w:val="00806D9F"/>
    <w:rsid w:val="00817657"/>
    <w:rsid w:val="00837BE2"/>
    <w:rsid w:val="0085303E"/>
    <w:rsid w:val="00854AC0"/>
    <w:rsid w:val="00855577"/>
    <w:rsid w:val="008869C7"/>
    <w:rsid w:val="008B1DE8"/>
    <w:rsid w:val="008D2353"/>
    <w:rsid w:val="008D7954"/>
    <w:rsid w:val="00925653"/>
    <w:rsid w:val="00926A3D"/>
    <w:rsid w:val="00972DF5"/>
    <w:rsid w:val="00990BCC"/>
    <w:rsid w:val="00991F47"/>
    <w:rsid w:val="009A533D"/>
    <w:rsid w:val="009B3E3F"/>
    <w:rsid w:val="009D6846"/>
    <w:rsid w:val="00A13B95"/>
    <w:rsid w:val="00A33D07"/>
    <w:rsid w:val="00A37711"/>
    <w:rsid w:val="00A405DC"/>
    <w:rsid w:val="00A43CB5"/>
    <w:rsid w:val="00A81826"/>
    <w:rsid w:val="00A95D14"/>
    <w:rsid w:val="00AA32CE"/>
    <w:rsid w:val="00AC1D87"/>
    <w:rsid w:val="00AD1871"/>
    <w:rsid w:val="00AE4875"/>
    <w:rsid w:val="00AE5ED0"/>
    <w:rsid w:val="00AF63BB"/>
    <w:rsid w:val="00B24204"/>
    <w:rsid w:val="00B262DC"/>
    <w:rsid w:val="00B41A5D"/>
    <w:rsid w:val="00B50E6F"/>
    <w:rsid w:val="00B52C0F"/>
    <w:rsid w:val="00B95D15"/>
    <w:rsid w:val="00BE75C4"/>
    <w:rsid w:val="00C06BAD"/>
    <w:rsid w:val="00C177DD"/>
    <w:rsid w:val="00C32237"/>
    <w:rsid w:val="00C32C02"/>
    <w:rsid w:val="00C57491"/>
    <w:rsid w:val="00C6568F"/>
    <w:rsid w:val="00C83754"/>
    <w:rsid w:val="00C97381"/>
    <w:rsid w:val="00CB0590"/>
    <w:rsid w:val="00CB48A6"/>
    <w:rsid w:val="00CC0BC3"/>
    <w:rsid w:val="00CC4D91"/>
    <w:rsid w:val="00CD24D7"/>
    <w:rsid w:val="00CE2179"/>
    <w:rsid w:val="00CE7514"/>
    <w:rsid w:val="00D0357D"/>
    <w:rsid w:val="00D03D68"/>
    <w:rsid w:val="00D05EC5"/>
    <w:rsid w:val="00D10313"/>
    <w:rsid w:val="00D246A7"/>
    <w:rsid w:val="00D43E8F"/>
    <w:rsid w:val="00D44DC5"/>
    <w:rsid w:val="00D62CE8"/>
    <w:rsid w:val="00D738F2"/>
    <w:rsid w:val="00D93D71"/>
    <w:rsid w:val="00DA70F2"/>
    <w:rsid w:val="00DC1C23"/>
    <w:rsid w:val="00DE03CC"/>
    <w:rsid w:val="00E11CD3"/>
    <w:rsid w:val="00E26286"/>
    <w:rsid w:val="00E30593"/>
    <w:rsid w:val="00E6467E"/>
    <w:rsid w:val="00E8516D"/>
    <w:rsid w:val="00E86D94"/>
    <w:rsid w:val="00E87B9B"/>
    <w:rsid w:val="00E94E8A"/>
    <w:rsid w:val="00EA1BA4"/>
    <w:rsid w:val="00EA276C"/>
    <w:rsid w:val="00EB2758"/>
    <w:rsid w:val="00F20326"/>
    <w:rsid w:val="00F226FE"/>
    <w:rsid w:val="00F46286"/>
    <w:rsid w:val="00F56AEF"/>
    <w:rsid w:val="00F64D0D"/>
    <w:rsid w:val="00F825F5"/>
    <w:rsid w:val="00FA122B"/>
    <w:rsid w:val="00FA2448"/>
    <w:rsid w:val="00FB16E4"/>
    <w:rsid w:val="00FC56E1"/>
    <w:rsid w:val="00FE3854"/>
    <w:rsid w:val="00FE3DF8"/>
    <w:rsid w:val="0476365B"/>
    <w:rsid w:val="096655EC"/>
    <w:rsid w:val="0AA23B28"/>
    <w:rsid w:val="0B796CAA"/>
    <w:rsid w:val="0CD62EBC"/>
    <w:rsid w:val="0D865652"/>
    <w:rsid w:val="0FBCE908"/>
    <w:rsid w:val="108039BD"/>
    <w:rsid w:val="11D85DCB"/>
    <w:rsid w:val="1368207D"/>
    <w:rsid w:val="13B58D7D"/>
    <w:rsid w:val="14587163"/>
    <w:rsid w:val="16E87AB9"/>
    <w:rsid w:val="16F67959"/>
    <w:rsid w:val="17BFACA7"/>
    <w:rsid w:val="1A0C6559"/>
    <w:rsid w:val="1C8036FB"/>
    <w:rsid w:val="1D745309"/>
    <w:rsid w:val="1ED5903B"/>
    <w:rsid w:val="1FBF2B2B"/>
    <w:rsid w:val="203A577C"/>
    <w:rsid w:val="204F2677"/>
    <w:rsid w:val="20DA2D03"/>
    <w:rsid w:val="21A550C0"/>
    <w:rsid w:val="22B440FE"/>
    <w:rsid w:val="23056A17"/>
    <w:rsid w:val="246454D8"/>
    <w:rsid w:val="25B6018D"/>
    <w:rsid w:val="26F176CF"/>
    <w:rsid w:val="27EF7C76"/>
    <w:rsid w:val="2B0C633A"/>
    <w:rsid w:val="2BAF4D5A"/>
    <w:rsid w:val="2BBF0B17"/>
    <w:rsid w:val="2C2916B9"/>
    <w:rsid w:val="2D92224B"/>
    <w:rsid w:val="2DFF244C"/>
    <w:rsid w:val="2E1C1FAE"/>
    <w:rsid w:val="2F2D6C41"/>
    <w:rsid w:val="2F576C87"/>
    <w:rsid w:val="31216E03"/>
    <w:rsid w:val="314E7D17"/>
    <w:rsid w:val="33200AB0"/>
    <w:rsid w:val="33743444"/>
    <w:rsid w:val="38C73938"/>
    <w:rsid w:val="39E12E93"/>
    <w:rsid w:val="3D2C463A"/>
    <w:rsid w:val="3D6F9A0A"/>
    <w:rsid w:val="3E4B402F"/>
    <w:rsid w:val="3E6A075E"/>
    <w:rsid w:val="3EFE85B1"/>
    <w:rsid w:val="3FBF3035"/>
    <w:rsid w:val="3FCD76AB"/>
    <w:rsid w:val="3FEFEC9D"/>
    <w:rsid w:val="3FFE8C3E"/>
    <w:rsid w:val="3FFF7D4C"/>
    <w:rsid w:val="42426874"/>
    <w:rsid w:val="477617FF"/>
    <w:rsid w:val="4C5563AF"/>
    <w:rsid w:val="4DC570A2"/>
    <w:rsid w:val="4EFF25F6"/>
    <w:rsid w:val="4FE06E97"/>
    <w:rsid w:val="5102736A"/>
    <w:rsid w:val="527D7F81"/>
    <w:rsid w:val="52A22645"/>
    <w:rsid w:val="531D459B"/>
    <w:rsid w:val="53BEEE90"/>
    <w:rsid w:val="53BF5844"/>
    <w:rsid w:val="54256314"/>
    <w:rsid w:val="557367C3"/>
    <w:rsid w:val="55844DC7"/>
    <w:rsid w:val="55FBF1CF"/>
    <w:rsid w:val="56244089"/>
    <w:rsid w:val="562CDC92"/>
    <w:rsid w:val="56ED14D1"/>
    <w:rsid w:val="579E26AC"/>
    <w:rsid w:val="57BB7E05"/>
    <w:rsid w:val="58AA1063"/>
    <w:rsid w:val="59C15287"/>
    <w:rsid w:val="59C21F3A"/>
    <w:rsid w:val="5A625C12"/>
    <w:rsid w:val="5B9C5154"/>
    <w:rsid w:val="5BFBBBCC"/>
    <w:rsid w:val="5DBB0BDA"/>
    <w:rsid w:val="5F0A1EC0"/>
    <w:rsid w:val="5FF53A1D"/>
    <w:rsid w:val="5FFFAF7D"/>
    <w:rsid w:val="60D57D00"/>
    <w:rsid w:val="61AD5026"/>
    <w:rsid w:val="61B87297"/>
    <w:rsid w:val="63056383"/>
    <w:rsid w:val="63560D7C"/>
    <w:rsid w:val="64FF5561"/>
    <w:rsid w:val="66C832A1"/>
    <w:rsid w:val="676A9F48"/>
    <w:rsid w:val="67ABB7FD"/>
    <w:rsid w:val="67F14F15"/>
    <w:rsid w:val="6A5B32F1"/>
    <w:rsid w:val="6B038881"/>
    <w:rsid w:val="6C682E20"/>
    <w:rsid w:val="6D346873"/>
    <w:rsid w:val="6D633151"/>
    <w:rsid w:val="6EE900A8"/>
    <w:rsid w:val="6F5C2E44"/>
    <w:rsid w:val="6F721F6C"/>
    <w:rsid w:val="6F723988"/>
    <w:rsid w:val="6F9E4EA8"/>
    <w:rsid w:val="6FBDBD1A"/>
    <w:rsid w:val="703D085C"/>
    <w:rsid w:val="707C087A"/>
    <w:rsid w:val="70D42523"/>
    <w:rsid w:val="71AA567A"/>
    <w:rsid w:val="732E1557"/>
    <w:rsid w:val="7359201E"/>
    <w:rsid w:val="74BFCC30"/>
    <w:rsid w:val="757F6B2B"/>
    <w:rsid w:val="75BB7CCC"/>
    <w:rsid w:val="75D9FF60"/>
    <w:rsid w:val="75FFF722"/>
    <w:rsid w:val="75FFFAFE"/>
    <w:rsid w:val="763971A8"/>
    <w:rsid w:val="76778272"/>
    <w:rsid w:val="76EEB741"/>
    <w:rsid w:val="76FE670E"/>
    <w:rsid w:val="773A1C2B"/>
    <w:rsid w:val="77DFF077"/>
    <w:rsid w:val="77ED5FDB"/>
    <w:rsid w:val="786841BE"/>
    <w:rsid w:val="78DE02DA"/>
    <w:rsid w:val="78E78365"/>
    <w:rsid w:val="793728AD"/>
    <w:rsid w:val="79FFA16B"/>
    <w:rsid w:val="79FFDBB9"/>
    <w:rsid w:val="7A3AE2CA"/>
    <w:rsid w:val="7A537172"/>
    <w:rsid w:val="7B5D45B3"/>
    <w:rsid w:val="7BAE61E0"/>
    <w:rsid w:val="7BD350DF"/>
    <w:rsid w:val="7BF81ADB"/>
    <w:rsid w:val="7BF987A5"/>
    <w:rsid w:val="7BFB8645"/>
    <w:rsid w:val="7BFBCF8D"/>
    <w:rsid w:val="7BFC8A99"/>
    <w:rsid w:val="7C5675C7"/>
    <w:rsid w:val="7CFB9AB7"/>
    <w:rsid w:val="7DFE3EDE"/>
    <w:rsid w:val="7DFF911A"/>
    <w:rsid w:val="7DFFAE30"/>
    <w:rsid w:val="7E59EA11"/>
    <w:rsid w:val="7EAA6678"/>
    <w:rsid w:val="7ED58A62"/>
    <w:rsid w:val="7EE9E503"/>
    <w:rsid w:val="7EEF3822"/>
    <w:rsid w:val="7F5F29F8"/>
    <w:rsid w:val="7F915D09"/>
    <w:rsid w:val="7F9BA2D4"/>
    <w:rsid w:val="7FB67FBC"/>
    <w:rsid w:val="7FC9F1D5"/>
    <w:rsid w:val="7FDD8248"/>
    <w:rsid w:val="7FE26F56"/>
    <w:rsid w:val="7FF32C76"/>
    <w:rsid w:val="7FFD2770"/>
    <w:rsid w:val="97BB37D9"/>
    <w:rsid w:val="9D8F4CEA"/>
    <w:rsid w:val="9EFB7247"/>
    <w:rsid w:val="9F999697"/>
    <w:rsid w:val="9FAD7EEF"/>
    <w:rsid w:val="A79F4195"/>
    <w:rsid w:val="AC5F6772"/>
    <w:rsid w:val="AF986CEA"/>
    <w:rsid w:val="B2769F88"/>
    <w:rsid w:val="B3F8F9BF"/>
    <w:rsid w:val="B66D057A"/>
    <w:rsid w:val="B6F7FF86"/>
    <w:rsid w:val="B7FD9B54"/>
    <w:rsid w:val="B9FAB25F"/>
    <w:rsid w:val="BC3C9A1F"/>
    <w:rsid w:val="BEB73590"/>
    <w:rsid w:val="BF66DF91"/>
    <w:rsid w:val="BF7F36B1"/>
    <w:rsid w:val="BFEDABB0"/>
    <w:rsid w:val="BFF7F9BF"/>
    <w:rsid w:val="BFFD9FC6"/>
    <w:rsid w:val="BFFE4F10"/>
    <w:rsid w:val="BFFF4F1C"/>
    <w:rsid w:val="BFFF515C"/>
    <w:rsid w:val="C7BFEB7E"/>
    <w:rsid w:val="CFF70F61"/>
    <w:rsid w:val="CFFFD4B0"/>
    <w:rsid w:val="D3DC67FF"/>
    <w:rsid w:val="D9F968C9"/>
    <w:rsid w:val="DFDEFCD4"/>
    <w:rsid w:val="DFEBA40B"/>
    <w:rsid w:val="E76B0D33"/>
    <w:rsid w:val="E8AECF73"/>
    <w:rsid w:val="EAFF993E"/>
    <w:rsid w:val="EBF65CD6"/>
    <w:rsid w:val="F2F6E3AB"/>
    <w:rsid w:val="F57B586E"/>
    <w:rsid w:val="F5FFE5A5"/>
    <w:rsid w:val="F7E3C012"/>
    <w:rsid w:val="F7F5E958"/>
    <w:rsid w:val="F8B4E2BB"/>
    <w:rsid w:val="FB9F61A1"/>
    <w:rsid w:val="FBEF7815"/>
    <w:rsid w:val="FBF79FCE"/>
    <w:rsid w:val="FBFB4F22"/>
    <w:rsid w:val="FBFF11D8"/>
    <w:rsid w:val="FC1DEDD6"/>
    <w:rsid w:val="FCFD2128"/>
    <w:rsid w:val="FD7F7A43"/>
    <w:rsid w:val="FDB7B4C1"/>
    <w:rsid w:val="FDBF65DE"/>
    <w:rsid w:val="FE52DC9D"/>
    <w:rsid w:val="FEF5403B"/>
    <w:rsid w:val="FEF7CA6A"/>
    <w:rsid w:val="FF5FC2D2"/>
    <w:rsid w:val="FF773C72"/>
    <w:rsid w:val="FF7968D3"/>
    <w:rsid w:val="FFDF0766"/>
    <w:rsid w:val="FFED7A30"/>
    <w:rsid w:val="FFF56F5B"/>
    <w:rsid w:val="FFF7E14A"/>
    <w:rsid w:val="FFFB0F0C"/>
    <w:rsid w:val="FFFF148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6"/>
    <w:qFormat/>
    <w:uiPriority w:val="0"/>
    <w:pPr>
      <w:keepNext/>
      <w:keepLines/>
      <w:spacing w:before="260" w:after="260" w:line="416" w:lineRule="auto"/>
      <w:outlineLvl w:val="1"/>
    </w:pPr>
    <w:rPr>
      <w:rFonts w:ascii="等线 Light" w:hAnsi="等线 Light" w:eastAsia="等线 Light" w:cs="Times New Roman"/>
      <w:b/>
      <w:bCs/>
      <w:sz w:val="32"/>
      <w:szCs w:val="32"/>
    </w:rPr>
  </w:style>
  <w:style w:type="paragraph" w:styleId="4">
    <w:name w:val="heading 3"/>
    <w:basedOn w:val="1"/>
    <w:next w:val="1"/>
    <w:qFormat/>
    <w:uiPriority w:val="0"/>
    <w:pPr>
      <w:keepNext/>
      <w:widowControl/>
      <w:numPr>
        <w:ilvl w:val="2"/>
        <w:numId w:val="1"/>
      </w:numPr>
      <w:tabs>
        <w:tab w:val="left" w:pos="2835"/>
        <w:tab w:val="left" w:pos="3119"/>
        <w:tab w:val="left" w:pos="3402"/>
        <w:tab w:val="left" w:pos="3686"/>
        <w:tab w:val="left" w:pos="3969"/>
        <w:tab w:val="left" w:pos="4253"/>
        <w:tab w:val="clear" w:pos="2552"/>
      </w:tabs>
      <w:spacing w:before="120" w:after="120"/>
      <w:jc w:val="left"/>
      <w:outlineLvl w:val="2"/>
    </w:pPr>
    <w:rPr>
      <w:rFonts w:ascii="Syntax" w:hAnsi="Syntax"/>
      <w:b/>
      <w:kern w:val="0"/>
      <w:sz w:val="20"/>
      <w:szCs w:val="20"/>
      <w:lang w:val="de-DE" w:eastAsia="de-DE"/>
    </w:rPr>
  </w:style>
  <w:style w:type="character" w:default="1" w:styleId="13">
    <w:name w:val="Default Paragraph Font"/>
    <w:semiHidden/>
    <w:qFormat/>
    <w:uiPriority w:val="0"/>
  </w:style>
  <w:style w:type="table" w:default="1" w:styleId="12">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1"/>
    <w:qFormat/>
    <w:uiPriority w:val="0"/>
    <w:rPr>
      <w:rFonts w:ascii="宋体" w:hAnsi="宋体" w:eastAsia="宋体" w:cs="宋体"/>
      <w:sz w:val="21"/>
      <w:szCs w:val="21"/>
      <w:lang w:val="zh-CN" w:eastAsia="zh-CN" w:bidi="zh-CN"/>
    </w:rPr>
  </w:style>
  <w:style w:type="paragraph" w:styleId="7">
    <w:name w:val="Plain Text"/>
    <w:basedOn w:val="1"/>
    <w:qFormat/>
    <w:uiPriority w:val="0"/>
    <w:pPr>
      <w:tabs>
        <w:tab w:val="decimal" w:pos="315"/>
        <w:tab w:val="left" w:pos="630"/>
      </w:tabs>
    </w:pPr>
    <w:rPr>
      <w:rFonts w:cs="Times New Roman"/>
      <w:sz w:val="20"/>
      <w:szCs w:val="20"/>
    </w:rPr>
  </w:style>
  <w:style w:type="paragraph" w:styleId="8">
    <w:name w:val="footer"/>
    <w:basedOn w:val="1"/>
    <w:link w:val="17"/>
    <w:qFormat/>
    <w:uiPriority w:val="0"/>
    <w:pPr>
      <w:tabs>
        <w:tab w:val="center" w:pos="4153"/>
        <w:tab w:val="right" w:pos="8306"/>
      </w:tabs>
      <w:snapToGrid w:val="0"/>
      <w:jc w:val="left"/>
    </w:pPr>
    <w:rPr>
      <w:sz w:val="18"/>
      <w:szCs w:val="18"/>
    </w:rPr>
  </w:style>
  <w:style w:type="paragraph" w:styleId="9">
    <w:name w:val="header"/>
    <w:basedOn w:val="1"/>
    <w:link w:val="18"/>
    <w:qFormat/>
    <w:uiPriority w:val="0"/>
    <w:pPr>
      <w:tabs>
        <w:tab w:val="center" w:pos="4153"/>
        <w:tab w:val="right" w:pos="8306"/>
      </w:tabs>
      <w:snapToGrid w:val="0"/>
      <w:jc w:val="center"/>
    </w:pPr>
    <w:rPr>
      <w:sz w:val="18"/>
      <w:szCs w:val="18"/>
    </w:rPr>
  </w:style>
  <w:style w:type="paragraph" w:styleId="10">
    <w:name w:val="Body Text 2"/>
    <w:basedOn w:val="1"/>
    <w:qFormat/>
    <w:uiPriority w:val="0"/>
    <w:pPr>
      <w:spacing w:after="120" w:line="480" w:lineRule="auto"/>
    </w:pPr>
  </w:style>
  <w:style w:type="paragraph" w:styleId="11">
    <w:name w:val="Normal (Web)"/>
    <w:basedOn w:val="1"/>
    <w:qFormat/>
    <w:uiPriority w:val="99"/>
    <w:pPr>
      <w:widowControl/>
      <w:spacing w:before="100" w:beforeAutospacing="1" w:after="100" w:afterAutospacing="1"/>
      <w:jc w:val="left"/>
    </w:pPr>
    <w:rPr>
      <w:rFonts w:ascii="宋体"/>
      <w:color w:val="000000"/>
      <w:kern w:val="0"/>
      <w:sz w:val="24"/>
    </w:rPr>
  </w:style>
  <w:style w:type="paragraph" w:customStyle="1" w:styleId="14">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15">
    <w:name w:val="标题 1 字符"/>
    <w:link w:val="2"/>
    <w:qFormat/>
    <w:uiPriority w:val="0"/>
    <w:rPr>
      <w:b/>
      <w:bCs/>
      <w:kern w:val="44"/>
      <w:sz w:val="44"/>
      <w:szCs w:val="44"/>
    </w:rPr>
  </w:style>
  <w:style w:type="character" w:customStyle="1" w:styleId="16">
    <w:name w:val="标题 2 字符"/>
    <w:link w:val="3"/>
    <w:semiHidden/>
    <w:qFormat/>
    <w:uiPriority w:val="0"/>
    <w:rPr>
      <w:rFonts w:ascii="等线 Light" w:hAnsi="等线 Light" w:eastAsia="等线 Light" w:cs="Times New Roman"/>
      <w:b/>
      <w:bCs/>
      <w:kern w:val="2"/>
      <w:sz w:val="32"/>
      <w:szCs w:val="32"/>
    </w:rPr>
  </w:style>
  <w:style w:type="character" w:customStyle="1" w:styleId="17">
    <w:name w:val="页脚 字符"/>
    <w:link w:val="8"/>
    <w:qFormat/>
    <w:uiPriority w:val="0"/>
    <w:rPr>
      <w:rFonts w:ascii="Times New Roman" w:hAnsi="Times New Roman"/>
      <w:kern w:val="2"/>
      <w:sz w:val="18"/>
      <w:szCs w:val="18"/>
    </w:rPr>
  </w:style>
  <w:style w:type="character" w:customStyle="1" w:styleId="18">
    <w:name w:val="页眉 字符"/>
    <w:link w:val="9"/>
    <w:qFormat/>
    <w:uiPriority w:val="0"/>
    <w:rPr>
      <w:rFonts w:ascii="Times New Roman" w:hAnsi="Times New Roman"/>
      <w:kern w:val="2"/>
      <w:sz w:val="18"/>
      <w:szCs w:val="18"/>
    </w:rPr>
  </w:style>
  <w:style w:type="paragraph" w:customStyle="1" w:styleId="19">
    <w:name w:val="Heading4"/>
    <w:basedOn w:val="1"/>
    <w:next w:val="1"/>
    <w:qFormat/>
    <w:uiPriority w:val="0"/>
    <w:pPr>
      <w:keepNext/>
      <w:keepLines/>
      <w:snapToGrid w:val="0"/>
      <w:spacing w:before="200" w:line="360" w:lineRule="auto"/>
    </w:pPr>
    <w:rPr>
      <w:rFonts w:ascii="Cambria" w:hAnsi="Cambria"/>
      <w:b/>
      <w:bCs/>
      <w:i/>
      <w:iCs/>
      <w:color w:val="4F81BD"/>
      <w:sz w:val="20"/>
      <w:szCs w:val="20"/>
    </w:rPr>
  </w:style>
  <w:style w:type="paragraph" w:customStyle="1" w:styleId="20">
    <w:name w:val="正文首行缩进 21"/>
    <w:basedOn w:val="21"/>
    <w:qFormat/>
    <w:uiPriority w:val="0"/>
    <w:pPr>
      <w:ind w:firstLine="420"/>
    </w:pPr>
  </w:style>
  <w:style w:type="paragraph" w:customStyle="1" w:styleId="21">
    <w:name w:val="正文文本缩进1"/>
    <w:basedOn w:val="1"/>
    <w:qFormat/>
    <w:uiPriority w:val="0"/>
    <w:pPr>
      <w:spacing w:line="500" w:lineRule="exact"/>
      <w:ind w:firstLine="880" w:firstLineChars="200"/>
    </w:pPr>
    <w:rPr>
      <w:rFonts w:ascii="Times New Roman" w:hAnsi="Times New Roman"/>
    </w:rPr>
  </w:style>
  <w:style w:type="paragraph" w:customStyle="1" w:styleId="22">
    <w:name w:val="wt正文"/>
    <w:basedOn w:val="1"/>
    <w:qFormat/>
    <w:uiPriority w:val="0"/>
    <w:pPr>
      <w:spacing w:line="360" w:lineRule="auto"/>
    </w:pPr>
    <w:rPr>
      <w:rFonts w:ascii="Arial" w:hAnsi="Arial"/>
      <w:kern w:val="0"/>
      <w:sz w:val="24"/>
      <w:szCs w:val="20"/>
    </w:rPr>
  </w:style>
  <w:style w:type="paragraph" w:customStyle="1" w:styleId="23">
    <w:name w:val="投标正文小四"/>
    <w:basedOn w:val="1"/>
    <w:qFormat/>
    <w:uiPriority w:val="0"/>
    <w:pPr>
      <w:spacing w:line="360" w:lineRule="auto"/>
      <w:ind w:firstLine="200" w:firstLineChars="200"/>
    </w:pPr>
    <w:rPr>
      <w:sz w:val="24"/>
    </w:rPr>
  </w:style>
  <w:style w:type="character" w:customStyle="1" w:styleId="24">
    <w:name w:val="font31"/>
    <w:qFormat/>
    <w:uiPriority w:val="0"/>
    <w:rPr>
      <w:rFonts w:hint="eastAsia" w:ascii="宋体" w:hAnsi="宋体" w:eastAsia="宋体" w:cs="宋体"/>
      <w:color w:val="000000"/>
      <w:sz w:val="21"/>
      <w:szCs w:val="21"/>
      <w:u w:val="none"/>
    </w:rPr>
  </w:style>
  <w:style w:type="character" w:customStyle="1" w:styleId="25">
    <w:name w:val="font51"/>
    <w:qFormat/>
    <w:uiPriority w:val="0"/>
    <w:rPr>
      <w:rFonts w:hint="eastAsia" w:ascii="宋体" w:hAnsi="宋体" w:eastAsia="宋体" w:cs="宋体"/>
      <w:color w:val="000000"/>
      <w:sz w:val="21"/>
      <w:szCs w:val="21"/>
      <w:u w:val="none"/>
    </w:rPr>
  </w:style>
  <w:style w:type="character" w:customStyle="1" w:styleId="26">
    <w:name w:val="font71"/>
    <w:qFormat/>
    <w:uiPriority w:val="0"/>
    <w:rPr>
      <w:rFonts w:hint="eastAsia" w:ascii="宋体" w:hAnsi="宋体" w:eastAsia="宋体" w:cs="宋体"/>
      <w:color w:val="000000"/>
      <w:sz w:val="20"/>
      <w:szCs w:val="20"/>
      <w:u w:val="none"/>
    </w:rPr>
  </w:style>
  <w:style w:type="character" w:customStyle="1" w:styleId="27">
    <w:name w:val="font81"/>
    <w:qFormat/>
    <w:uiPriority w:val="0"/>
    <w:rPr>
      <w:rFonts w:ascii="Arial" w:hAnsi="Arial" w:cs="Arial"/>
      <w:color w:val="000000"/>
      <w:sz w:val="20"/>
      <w:szCs w:val="20"/>
      <w:u w:val="none"/>
    </w:rPr>
  </w:style>
  <w:style w:type="paragraph" w:styleId="28">
    <w:name w:val="List Paragraph"/>
    <w:basedOn w:val="1"/>
    <w:link w:val="29"/>
    <w:qFormat/>
    <w:uiPriority w:val="34"/>
    <w:pPr>
      <w:ind w:firstLine="420" w:firstLineChars="200"/>
    </w:pPr>
  </w:style>
  <w:style w:type="character" w:customStyle="1" w:styleId="29">
    <w:name w:val="列表段落 字符"/>
    <w:link w:val="28"/>
    <w:qFormat/>
    <w:uiPriority w:val="0"/>
    <w:rPr>
      <w:rFonts w:hint="default" w:ascii="Calibri" w:hAnsi="Calibri" w:cs="Calibri"/>
    </w:rPr>
  </w:style>
  <w:style w:type="paragraph" w:styleId="30">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31">
    <w:name w:val="表格文字"/>
    <w:basedOn w:val="1"/>
    <w:next w:val="6"/>
    <w:qFormat/>
    <w:uiPriority w:val="0"/>
    <w:pPr>
      <w:spacing w:before="25" w:after="25"/>
      <w:jc w:val="left"/>
    </w:pPr>
    <w:rPr>
      <w:bCs/>
      <w:spacing w:val="10"/>
      <w:kern w:val="0"/>
      <w:sz w:val="24"/>
      <w:szCs w:val="20"/>
    </w:rPr>
  </w:style>
  <w:style w:type="paragraph" w:customStyle="1" w:styleId="32">
    <w:name w:val="null3"/>
    <w:qFormat/>
    <w:uiPriority w:val="0"/>
    <w:rPr>
      <w:rFonts w:hint="eastAsia" w:ascii="Calibri" w:hAnsi="Calibri" w:eastAsia="宋体" w:cs="Times New Roman"/>
      <w:lang w:val="en-US" w:eastAsia="zh-Hans" w:bidi="ar-SA"/>
    </w:rPr>
  </w:style>
  <w:style w:type="paragraph" w:customStyle="1" w:styleId="33">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0"/>
      <w:sz w:val="20"/>
      <w:szCs w:val="20"/>
      <w:lang w:val="en-US" w:eastAsia="zh-CN" w:bidi="ar"/>
    </w:rPr>
  </w:style>
  <w:style w:type="character" w:customStyle="1" w:styleId="34">
    <w:name w:val="font61"/>
    <w:basedOn w:val="13"/>
    <w:qFormat/>
    <w:uiPriority w:val="0"/>
    <w:rPr>
      <w:rFonts w:hint="default" w:ascii="等线" w:hAnsi="等线" w:eastAsia="等线" w:cs="等线"/>
      <w:color w:val="000000"/>
      <w:sz w:val="18"/>
      <w:szCs w:val="18"/>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4182</Words>
  <Characters>4292</Characters>
  <Lines>93</Lines>
  <Paragraphs>26</Paragraphs>
  <TotalTime>13</TotalTime>
  <ScaleCrop>false</ScaleCrop>
  <LinksUpToDate>false</LinksUpToDate>
  <CharactersWithSpaces>4296</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2025-10-18T15:50:00Z</dcterms:created>
  <dc:creator>Administrator</dc:creator>
  <cp:lastModifiedBy>Administrator</cp:lastModifiedBy>
  <dcterms:modified xsi:type="dcterms:W3CDTF">2025-11-03T14:22:02Z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45D5D9BC30B8406AB2D42EED555896D5_13</vt:lpwstr>
  </property>
  <property fmtid="{D5CDD505-2E9C-101B-9397-08002B2CF9AE}" pid="4" name="KSOTemplateDocerSaveRecord">
    <vt:lpwstr>eyJoZGlkIjoiODg0NzQ2ZjBmN2NlNTA2YTg3YzAyNTI3MDI2MjBmZDYiLCJ1c2VySWQiOiIxOTk1NTcyODgifQ==</vt:lpwstr>
  </property>
</Properties>
</file>