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4EB10">
      <w:pPr>
        <w:pStyle w:val="3"/>
        <w:jc w:val="both"/>
        <w:rPr>
          <w:color w:val="000000"/>
          <w:sz w:val="28"/>
          <w:szCs w:val="28"/>
        </w:rPr>
      </w:pPr>
      <w:r>
        <w:rPr>
          <w:rFonts w:hint="eastAsia"/>
          <w:color w:val="000000"/>
          <w:sz w:val="28"/>
          <w:szCs w:val="28"/>
        </w:rPr>
        <w:t>附件</w:t>
      </w:r>
      <w:r>
        <w:rPr>
          <w:rFonts w:hint="eastAsia"/>
          <w:color w:val="000000"/>
          <w:sz w:val="28"/>
          <w:szCs w:val="28"/>
          <w:lang w:val="en-US" w:eastAsia="zh-CN"/>
        </w:rPr>
        <w:t>3</w:t>
      </w:r>
      <w:r>
        <w:rPr>
          <w:rFonts w:hint="eastAsia"/>
          <w:color w:val="000000"/>
          <w:sz w:val="28"/>
          <w:szCs w:val="28"/>
        </w:rPr>
        <w:t>：</w:t>
      </w:r>
    </w:p>
    <w:p w14:paraId="3EBF68FD">
      <w:pPr>
        <w:spacing w:line="360" w:lineRule="auto"/>
        <w:ind w:firstLine="883" w:firstLineChars="200"/>
        <w:jc w:val="center"/>
        <w:rPr>
          <w:rFonts w:hint="eastAsia" w:ascii="宋体" w:hAnsi="宋体" w:cs="宋体"/>
          <w:b/>
          <w:bCs/>
          <w:sz w:val="44"/>
          <w:szCs w:val="44"/>
          <w:lang w:val="en-US" w:eastAsia="zh-CN"/>
        </w:rPr>
      </w:pPr>
    </w:p>
    <w:p w14:paraId="3768C571">
      <w:pPr>
        <w:spacing w:line="360" w:lineRule="auto"/>
        <w:ind w:firstLine="883" w:firstLine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评审方案</w:t>
      </w:r>
    </w:p>
    <w:p w14:paraId="117C47C0">
      <w:pPr>
        <w:pStyle w:val="3"/>
        <w:rPr>
          <w:rFonts w:hint="eastAsia"/>
          <w:lang w:eastAsia="zh-CN"/>
        </w:rPr>
      </w:pPr>
    </w:p>
    <w:p w14:paraId="32F560D7">
      <w:pPr>
        <w:spacing w:line="360" w:lineRule="auto"/>
        <w:ind w:firstLine="422"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1、评审步骤：</w:t>
      </w:r>
      <w:r>
        <w:rPr>
          <w:rFonts w:hint="eastAsia" w:ascii="宋体" w:hAnsi="宋体" w:eastAsia="宋体"/>
          <w:color w:val="000000" w:themeColor="text1"/>
          <w:szCs w:val="21"/>
          <w:highlight w:val="none"/>
          <w14:textFill>
            <w14:solidFill>
              <w14:schemeClr w14:val="tx1"/>
            </w14:solidFill>
          </w14:textFill>
        </w:rPr>
        <w:t>评审小组对响应文件的评审分为初审（资格性和符合性审查，详见响应文件模版参考内容）和详细评审，初审通过才进入详细评审环节。</w:t>
      </w:r>
    </w:p>
    <w:p w14:paraId="5ED468DD">
      <w:pPr>
        <w:spacing w:line="360" w:lineRule="auto"/>
        <w:ind w:firstLine="422"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1C48265E">
      <w:pPr>
        <w:spacing w:line="360" w:lineRule="auto"/>
        <w:ind w:firstLine="422" w:firstLineChars="200"/>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3、评审总得分＝商务技术得分+响应报价得分　　</w:t>
      </w:r>
    </w:p>
    <w:p w14:paraId="36857FEE">
      <w:pPr>
        <w:spacing w:line="360" w:lineRule="auto"/>
        <w:ind w:firstLine="422" w:firstLineChars="200"/>
        <w:rPr>
          <w:rFonts w:hint="eastAsia" w:cs="Times New Roman"/>
          <w:b w:val="0"/>
          <w:bCs w:val="0"/>
          <w:color w:val="000000" w:themeColor="text1"/>
          <w:kern w:val="2"/>
          <w:sz w:val="2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4、</w:t>
      </w:r>
      <w:r>
        <w:rPr>
          <w:rFonts w:hint="eastAsia" w:ascii="宋体" w:hAnsi="宋体" w:eastAsia="宋体"/>
          <w:b w:val="0"/>
          <w:bCs w:val="0"/>
          <w:color w:val="000000" w:themeColor="text1"/>
          <w:szCs w:val="21"/>
          <w:highlight w:val="none"/>
          <w14:textFill>
            <w14:solidFill>
              <w14:schemeClr w14:val="tx1"/>
            </w14:solidFill>
          </w14:textFill>
        </w:rPr>
        <w:t>评审小组按评审得分由高到低进行排序，排名第一的推荐为第一成交候选人，排名第二的供应商为第二成交候选人，排名第三的供应商为第三成交候选人。出现综合总得分并列时，按下列顺序比较确定：（1）报价（由低到高）；（2）商务技术评分（由高到低）。如以上都相同的，由全体评审专家投票确定名次。</w:t>
      </w:r>
    </w:p>
    <w:p w14:paraId="1D19CD73">
      <w:pPr>
        <w:spacing w:line="360" w:lineRule="auto"/>
        <w:ind w:firstLine="422" w:firstLineChars="200"/>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5、响应文件的澄清</w:t>
      </w:r>
    </w:p>
    <w:p w14:paraId="7F9F4CEE">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w:t>
      </w:r>
      <w:bookmarkStart w:id="1" w:name="_GoBack"/>
      <w:bookmarkEnd w:id="1"/>
      <w:r>
        <w:rPr>
          <w:rFonts w:hint="eastAsia" w:ascii="宋体" w:hAnsi="宋体" w:eastAsia="宋体"/>
          <w:color w:val="000000" w:themeColor="text1"/>
          <w:szCs w:val="21"/>
          <w:highlight w:val="none"/>
          <w14:textFill>
            <w14:solidFill>
              <w14:schemeClr w14:val="tx1"/>
            </w14:solidFill>
          </w14:textFill>
        </w:rPr>
        <w:t>的答复均应由供应商的法定代表人或授权代表签名的书面形式作出。供应商的澄清文件是其响应文件的组成部分。</w:t>
      </w:r>
    </w:p>
    <w:p w14:paraId="13FE1B1E">
      <w:pPr>
        <w:spacing w:line="360" w:lineRule="auto"/>
        <w:ind w:firstLine="422"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评审专家按照总得分由高到低的顺序推荐中选人名单。排名第一的推荐为第一成交候选人。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14:paraId="274C2D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宋体" w:hAnsi="宋体" w:eastAsia="宋体" w:cs="宋体"/>
          <w:sz w:val="32"/>
          <w:szCs w:val="32"/>
        </w:rPr>
      </w:pPr>
    </w:p>
    <w:p w14:paraId="435DAF6A">
      <w:pPr>
        <w:pStyle w:val="3"/>
        <w:rPr>
          <w:rFonts w:hint="eastAsia" w:ascii="宋体" w:hAnsi="宋体" w:eastAsia="宋体" w:cs="宋体"/>
          <w:sz w:val="32"/>
          <w:szCs w:val="32"/>
        </w:rPr>
      </w:pPr>
    </w:p>
    <w:p w14:paraId="62CC8977">
      <w:pPr>
        <w:pStyle w:val="3"/>
        <w:rPr>
          <w:rFonts w:hint="eastAsia" w:ascii="宋体" w:hAnsi="宋体" w:eastAsia="宋体" w:cs="宋体"/>
          <w:sz w:val="32"/>
          <w:szCs w:val="32"/>
        </w:rPr>
      </w:pPr>
    </w:p>
    <w:p w14:paraId="2DDAC2BC">
      <w:pPr>
        <w:pStyle w:val="3"/>
        <w:rPr>
          <w:rFonts w:hint="eastAsia" w:ascii="宋体" w:hAnsi="宋体" w:eastAsia="宋体" w:cs="宋体"/>
          <w:sz w:val="32"/>
          <w:szCs w:val="32"/>
        </w:rPr>
      </w:pPr>
    </w:p>
    <w:p w14:paraId="1A6BFDBC">
      <w:pPr>
        <w:pStyle w:val="3"/>
        <w:rPr>
          <w:rFonts w:hint="eastAsia" w:ascii="宋体" w:hAnsi="宋体" w:eastAsia="宋体" w:cs="宋体"/>
          <w:sz w:val="32"/>
          <w:szCs w:val="32"/>
        </w:rPr>
      </w:pPr>
    </w:p>
    <w:p w14:paraId="49F92B38">
      <w:pPr>
        <w:pStyle w:val="3"/>
        <w:rPr>
          <w:rFonts w:hint="eastAsia" w:ascii="宋体" w:hAnsi="宋体" w:eastAsia="宋体" w:cs="宋体"/>
          <w:sz w:val="32"/>
          <w:szCs w:val="32"/>
        </w:rPr>
      </w:pPr>
    </w:p>
    <w:p w14:paraId="40E2C4DF">
      <w:pPr>
        <w:pStyle w:val="3"/>
        <w:rPr>
          <w:rFonts w:hint="eastAsia" w:ascii="宋体" w:hAnsi="宋体" w:eastAsia="宋体" w:cs="宋体"/>
          <w:sz w:val="32"/>
          <w:szCs w:val="32"/>
        </w:rPr>
      </w:pPr>
    </w:p>
    <w:p w14:paraId="18BED2B5">
      <w:pPr>
        <w:pStyle w:val="3"/>
        <w:rPr>
          <w:rFonts w:hint="eastAsia" w:ascii="宋体" w:hAnsi="宋体" w:eastAsia="宋体" w:cs="宋体"/>
          <w:sz w:val="32"/>
          <w:szCs w:val="32"/>
        </w:rPr>
      </w:pPr>
    </w:p>
    <w:p w14:paraId="54A87524">
      <w:pPr>
        <w:pStyle w:val="4"/>
        <w:ind w:left="0"/>
        <w:jc w:val="center"/>
        <w:rPr>
          <w:rFonts w:hint="default"/>
          <w:sz w:val="28"/>
          <w:szCs w:val="28"/>
          <w:lang w:val="en-US" w:eastAsia="zh-CN"/>
        </w:rPr>
      </w:pPr>
      <w:r>
        <w:rPr>
          <w:rFonts w:hint="eastAsia" w:ascii="宋体" w:hAnsi="宋体" w:cs="宋体"/>
          <w:b/>
          <w:bCs/>
          <w:spacing w:val="-6"/>
          <w:sz w:val="28"/>
          <w:szCs w:val="28"/>
          <w:lang w:val="en-US" w:eastAsia="zh-CN"/>
        </w:rPr>
        <w:t>附表：</w:t>
      </w:r>
      <w:r>
        <w:rPr>
          <w:rFonts w:hint="eastAsia" w:ascii="宋体" w:hAnsi="宋体" w:eastAsia="宋体" w:cs="宋体"/>
          <w:b/>
          <w:bCs/>
          <w:spacing w:val="-6"/>
          <w:sz w:val="24"/>
          <w:szCs w:val="24"/>
        </w:rPr>
        <w:t>中山市黄圃人民医院工会</w:t>
      </w:r>
      <w:r>
        <w:rPr>
          <w:rFonts w:hint="eastAsia" w:ascii="宋体" w:hAnsi="宋体" w:cs="宋体"/>
          <w:b/>
          <w:bCs/>
          <w:spacing w:val="-6"/>
          <w:sz w:val="24"/>
          <w:szCs w:val="24"/>
          <w:lang w:eastAsia="zh-CN"/>
        </w:rPr>
        <w:t>委员会</w:t>
      </w:r>
      <w:r>
        <w:rPr>
          <w:rFonts w:hint="eastAsia" w:ascii="宋体" w:hAnsi="宋体" w:eastAsia="宋体" w:cs="宋体"/>
          <w:b/>
          <w:bCs/>
          <w:spacing w:val="-6"/>
          <w:sz w:val="24"/>
          <w:szCs w:val="24"/>
        </w:rPr>
        <w:t>2025年秋游活动服务项目评分表</w:t>
      </w:r>
    </w:p>
    <w:tbl>
      <w:tblPr>
        <w:tblStyle w:val="7"/>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87"/>
        <w:gridCol w:w="6587"/>
        <w:gridCol w:w="853"/>
      </w:tblGrid>
      <w:tr w14:paraId="1C51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16" w:type="dxa"/>
            <w:vAlign w:val="center"/>
          </w:tcPr>
          <w:p w14:paraId="4170D739">
            <w:pPr>
              <w:pStyle w:val="5"/>
              <w:tabs>
                <w:tab w:val="clear" w:pos="4153"/>
                <w:tab w:val="clear" w:pos="8306"/>
              </w:tabs>
              <w:snapToGrid/>
              <w:spacing w:line="360" w:lineRule="auto"/>
              <w:jc w:val="center"/>
              <w:rPr>
                <w:rFonts w:hint="eastAsia" w:ascii="宋体" w:hAnsi="宋体" w:eastAsia="宋体" w:cs="宋体"/>
                <w:b/>
                <w:bCs/>
                <w:color w:val="auto"/>
                <w:sz w:val="21"/>
                <w:szCs w:val="21"/>
                <w:highlight w:val="none"/>
                <w:lang w:eastAsia="zh-CN"/>
              </w:rPr>
            </w:pPr>
            <w:bookmarkStart w:id="0" w:name="OLE_LINK2"/>
            <w:r>
              <w:rPr>
                <w:rFonts w:hint="eastAsia" w:ascii="宋体" w:hAnsi="宋体" w:cs="宋体"/>
                <w:b/>
                <w:bCs/>
                <w:color w:val="auto"/>
                <w:sz w:val="21"/>
                <w:szCs w:val="21"/>
                <w:highlight w:val="none"/>
                <w:lang w:eastAsia="zh-CN"/>
              </w:rPr>
              <w:t>项目</w:t>
            </w:r>
          </w:p>
        </w:tc>
        <w:tc>
          <w:tcPr>
            <w:tcW w:w="1087" w:type="dxa"/>
            <w:vAlign w:val="center"/>
          </w:tcPr>
          <w:p w14:paraId="757C9BC6">
            <w:pPr>
              <w:pStyle w:val="5"/>
              <w:tabs>
                <w:tab w:val="clear" w:pos="4153"/>
                <w:tab w:val="clear" w:pos="8306"/>
              </w:tabs>
              <w:snapToGrid/>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6587" w:type="dxa"/>
            <w:vAlign w:val="center"/>
          </w:tcPr>
          <w:p w14:paraId="7A228268">
            <w:pPr>
              <w:pStyle w:val="5"/>
              <w:tabs>
                <w:tab w:val="clear" w:pos="4153"/>
                <w:tab w:val="clear" w:pos="8306"/>
              </w:tabs>
              <w:snapToGrid/>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评分细则</w:t>
            </w:r>
          </w:p>
        </w:tc>
        <w:tc>
          <w:tcPr>
            <w:tcW w:w="853" w:type="dxa"/>
            <w:vAlign w:val="center"/>
          </w:tcPr>
          <w:p w14:paraId="7B4C333B">
            <w:pPr>
              <w:pStyle w:val="5"/>
              <w:tabs>
                <w:tab w:val="clear" w:pos="4153"/>
                <w:tab w:val="clear" w:pos="8306"/>
              </w:tabs>
              <w:snapToGrid/>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分值</w:t>
            </w:r>
          </w:p>
        </w:tc>
      </w:tr>
      <w:tr w14:paraId="5946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916" w:type="dxa"/>
            <w:vMerge w:val="restart"/>
            <w:vAlign w:val="center"/>
          </w:tcPr>
          <w:p w14:paraId="76EC1568">
            <w:pPr>
              <w:widowControl/>
              <w:spacing w:line="360" w:lineRule="auto"/>
              <w:jc w:val="center"/>
              <w:rPr>
                <w:rFonts w:hint="eastAsia" w:ascii="宋体" w:hAnsi="宋体" w:eastAsia="宋体" w:cs="宋体"/>
                <w:color w:val="auto"/>
                <w:spacing w:val="15"/>
                <w:kern w:val="0"/>
                <w:szCs w:val="21"/>
                <w:highlight w:val="none"/>
                <w:shd w:val="clear" w:color="auto" w:fill="FFFFFF"/>
                <w:lang w:val="en-US" w:eastAsia="zh-CN"/>
              </w:rPr>
            </w:pPr>
            <w:r>
              <w:rPr>
                <w:rFonts w:hint="eastAsia" w:ascii="宋体" w:hAnsi="宋体" w:cs="宋体"/>
                <w:b/>
                <w:bCs/>
                <w:color w:val="auto"/>
                <w:spacing w:val="15"/>
                <w:kern w:val="0"/>
                <w:szCs w:val="21"/>
                <w:highlight w:val="none"/>
                <w:shd w:val="clear" w:color="auto" w:fill="FFFFFF"/>
                <w:lang w:val="en-US" w:eastAsia="zh-CN"/>
              </w:rPr>
              <w:t>商务技术部分</w:t>
            </w:r>
          </w:p>
        </w:tc>
        <w:tc>
          <w:tcPr>
            <w:tcW w:w="1087" w:type="dxa"/>
            <w:vAlign w:val="center"/>
          </w:tcPr>
          <w:p w14:paraId="3C2E70A9">
            <w:pPr>
              <w:jc w:val="center"/>
              <w:rPr>
                <w:rFonts w:hint="eastAsia" w:ascii="宋体" w:hAnsi="宋体"/>
                <w:color w:val="auto"/>
                <w:szCs w:val="21"/>
                <w:highlight w:val="none"/>
              </w:rPr>
            </w:pPr>
            <w:r>
              <w:rPr>
                <w:rFonts w:hint="eastAsia"/>
                <w:lang w:eastAsia="zh-CN"/>
              </w:rPr>
              <w:t>总体</w:t>
            </w:r>
            <w:r>
              <w:t>服务</w:t>
            </w:r>
            <w:r>
              <w:rPr>
                <w:rFonts w:hint="eastAsia"/>
                <w:lang w:eastAsia="zh-CN"/>
              </w:rPr>
              <w:t>方案</w:t>
            </w:r>
          </w:p>
        </w:tc>
        <w:tc>
          <w:tcPr>
            <w:tcW w:w="6587" w:type="dxa"/>
            <w:vAlign w:val="top"/>
          </w:tcPr>
          <w:p w14:paraId="6E07096D">
            <w:pPr>
              <w:jc w:val="left"/>
              <w:rPr>
                <w:rFonts w:hint="eastAsia"/>
                <w:lang w:eastAsia="zh-CN"/>
              </w:rPr>
            </w:pPr>
            <w:r>
              <w:rPr>
                <w:rFonts w:hint="eastAsia"/>
                <w:lang w:eastAsia="zh-CN"/>
              </w:rPr>
              <w:t>供应商</w:t>
            </w:r>
            <w:r>
              <w:t>提供总体服务方案，方案包括但不限于服务流程、</w:t>
            </w:r>
            <w:r>
              <w:rPr>
                <w:rFonts w:hint="eastAsia"/>
                <w:lang w:eastAsia="zh-CN"/>
              </w:rPr>
              <w:t>安全保障措施、服务保障措施、应急处理办法</w:t>
            </w:r>
            <w:r>
              <w:t>等</w:t>
            </w:r>
            <w:r>
              <w:rPr>
                <w:rFonts w:hint="eastAsia"/>
                <w:lang w:eastAsia="zh-CN"/>
              </w:rPr>
              <w:t>。</w:t>
            </w:r>
          </w:p>
          <w:p w14:paraId="224545E7">
            <w:pPr>
              <w:jc w:val="left"/>
              <w:rPr>
                <w:rFonts w:hint="default"/>
                <w:lang w:val="en-US" w:eastAsia="zh-CN"/>
              </w:rPr>
            </w:pPr>
            <w:r>
              <w:rPr>
                <w:rFonts w:hint="eastAsia"/>
                <w:lang w:eastAsia="zh-CN"/>
              </w:rPr>
              <w:t>路线</w:t>
            </w:r>
            <w:r>
              <w:rPr>
                <w:rFonts w:hint="eastAsia"/>
                <w:lang w:val="en-US" w:eastAsia="zh-CN"/>
              </w:rPr>
              <w:t>1：佛山美的鹭湖安纳希小镇---高明盈香心动乐园</w:t>
            </w:r>
          </w:p>
          <w:p w14:paraId="05EA2323">
            <w:pPr>
              <w:numPr>
                <w:ilvl w:val="0"/>
                <w:numId w:val="0"/>
              </w:numPr>
              <w:jc w:val="left"/>
            </w:pPr>
            <w:r>
              <w:rPr>
                <w:rFonts w:ascii="Times New Roman" w:hAnsi="Times New Roman" w:eastAsia="宋体" w:cs="Times New Roman"/>
                <w:kern w:val="2"/>
                <w:sz w:val="21"/>
                <w:szCs w:val="24"/>
                <w:lang w:val="en-US" w:eastAsia="zh-CN" w:bidi="ar-SA"/>
              </w:rPr>
              <w:t>1.</w:t>
            </w:r>
            <w:r>
              <w:t>总体服务方案详细完整，针对性、可行性高，得</w:t>
            </w:r>
            <w:r>
              <w:rPr>
                <w:rFonts w:hint="eastAsia"/>
                <w:lang w:val="en-US" w:eastAsia="zh-CN"/>
              </w:rPr>
              <w:t>15</w:t>
            </w:r>
            <w:r>
              <w:t xml:space="preserve">分；  </w:t>
            </w:r>
          </w:p>
          <w:p w14:paraId="287D9A1A">
            <w:pPr>
              <w:numPr>
                <w:ilvl w:val="0"/>
                <w:numId w:val="0"/>
              </w:numPr>
              <w:jc w:val="left"/>
            </w:pPr>
            <w:r>
              <w:rPr>
                <w:rFonts w:ascii="Times New Roman" w:hAnsi="Times New Roman" w:eastAsia="宋体" w:cs="Times New Roman"/>
                <w:kern w:val="2"/>
                <w:sz w:val="21"/>
                <w:szCs w:val="24"/>
                <w:lang w:val="en-US" w:eastAsia="zh-CN" w:bidi="ar-SA"/>
              </w:rPr>
              <w:t>2.</w:t>
            </w:r>
            <w:r>
              <w:t>总体服务方案较详细完整，针对性、可行性较高，得</w:t>
            </w:r>
            <w:r>
              <w:rPr>
                <w:rFonts w:hint="eastAsia"/>
                <w:lang w:val="en-US" w:eastAsia="zh-CN"/>
              </w:rPr>
              <w:t>11</w:t>
            </w:r>
            <w:r>
              <w:t xml:space="preserve">分；  </w:t>
            </w:r>
          </w:p>
          <w:p w14:paraId="7E972B28">
            <w:pPr>
              <w:numPr>
                <w:ilvl w:val="0"/>
                <w:numId w:val="0"/>
              </w:numPr>
              <w:jc w:val="left"/>
            </w:pPr>
            <w:r>
              <w:rPr>
                <w:rFonts w:ascii="Times New Roman" w:hAnsi="Times New Roman" w:eastAsia="宋体" w:cs="Times New Roman"/>
                <w:kern w:val="2"/>
                <w:sz w:val="21"/>
                <w:szCs w:val="24"/>
                <w:lang w:val="en-US" w:eastAsia="zh-CN" w:bidi="ar-SA"/>
              </w:rPr>
              <w:t>3.</w:t>
            </w:r>
            <w:r>
              <w:t>总体服务方案基本详细完整，有一定针对性、可行性，得</w:t>
            </w:r>
            <w:r>
              <w:rPr>
                <w:rFonts w:hint="eastAsia"/>
                <w:lang w:val="en-US" w:eastAsia="zh-CN"/>
              </w:rPr>
              <w:t>7</w:t>
            </w:r>
            <w:r>
              <w:t xml:space="preserve">分；  </w:t>
            </w:r>
          </w:p>
          <w:p w14:paraId="3EFFCDB3">
            <w:pPr>
              <w:numPr>
                <w:ilvl w:val="0"/>
                <w:numId w:val="0"/>
              </w:numPr>
              <w:jc w:val="left"/>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4.</w:t>
            </w:r>
            <w:r>
              <w:t>总体服务方案不详细，完整性、针对性、可行性较差，得</w:t>
            </w:r>
            <w:r>
              <w:rPr>
                <w:rFonts w:hint="eastAsia"/>
                <w:lang w:val="en-US" w:eastAsia="zh-CN"/>
              </w:rPr>
              <w:t>3</w:t>
            </w:r>
            <w:r>
              <w:t xml:space="preserve">分；  </w:t>
            </w:r>
          </w:p>
          <w:p w14:paraId="6188D71E">
            <w:pPr>
              <w:numPr>
                <w:ilvl w:val="0"/>
                <w:numId w:val="0"/>
              </w:numPr>
              <w:ind w:left="0" w:leftChars="0" w:firstLine="0" w:firstLineChars="0"/>
              <w:jc w:val="left"/>
            </w:pPr>
            <w:r>
              <w:t>无相关方案内容不得分。</w:t>
            </w:r>
          </w:p>
          <w:p w14:paraId="5A8351FF">
            <w:pPr>
              <w:numPr>
                <w:ilvl w:val="0"/>
                <w:numId w:val="0"/>
              </w:numPr>
              <w:ind w:left="0" w:leftChars="0" w:firstLine="0" w:firstLineChars="0"/>
              <w:jc w:val="left"/>
              <w:rPr>
                <w:rFonts w:hint="eastAsia"/>
                <w:lang w:val="en-US" w:eastAsia="zh-CN"/>
              </w:rPr>
            </w:pPr>
            <w:r>
              <w:rPr>
                <w:rFonts w:hint="eastAsia"/>
                <w:lang w:eastAsia="zh-CN"/>
              </w:rPr>
              <w:t>路线</w:t>
            </w:r>
            <w:r>
              <w:rPr>
                <w:rFonts w:hint="eastAsia"/>
                <w:lang w:val="en-US" w:eastAsia="zh-CN"/>
              </w:rPr>
              <w:t>2：深中通道---南沙天后宫---深圳欢乐港湾</w:t>
            </w:r>
          </w:p>
          <w:p w14:paraId="6B310A5E">
            <w:pPr>
              <w:numPr>
                <w:ilvl w:val="0"/>
                <w:numId w:val="0"/>
              </w:numPr>
              <w:jc w:val="left"/>
            </w:pPr>
            <w:r>
              <w:rPr>
                <w:rFonts w:ascii="Times New Roman" w:hAnsi="Times New Roman" w:eastAsia="宋体" w:cs="Times New Roman"/>
                <w:kern w:val="2"/>
                <w:sz w:val="21"/>
                <w:szCs w:val="24"/>
                <w:lang w:val="en-US" w:eastAsia="zh-CN" w:bidi="ar-SA"/>
              </w:rPr>
              <w:t>1.</w:t>
            </w:r>
            <w:r>
              <w:t>总体服务方案详细完整，针对性、可行性高，得</w:t>
            </w:r>
            <w:r>
              <w:rPr>
                <w:rFonts w:hint="eastAsia"/>
                <w:lang w:val="en-US" w:eastAsia="zh-CN"/>
              </w:rPr>
              <w:t>15</w:t>
            </w:r>
            <w:r>
              <w:t xml:space="preserve">分；  </w:t>
            </w:r>
          </w:p>
          <w:p w14:paraId="3A36AF88">
            <w:pPr>
              <w:numPr>
                <w:ilvl w:val="0"/>
                <w:numId w:val="0"/>
              </w:numPr>
              <w:jc w:val="left"/>
            </w:pPr>
            <w:r>
              <w:rPr>
                <w:rFonts w:ascii="Times New Roman" w:hAnsi="Times New Roman" w:eastAsia="宋体" w:cs="Times New Roman"/>
                <w:kern w:val="2"/>
                <w:sz w:val="21"/>
                <w:szCs w:val="24"/>
                <w:lang w:val="en-US" w:eastAsia="zh-CN" w:bidi="ar-SA"/>
              </w:rPr>
              <w:t>2.</w:t>
            </w:r>
            <w:r>
              <w:t>总体服务方案较详细完整，针对性、可行性较高，得</w:t>
            </w:r>
            <w:r>
              <w:rPr>
                <w:rFonts w:hint="eastAsia"/>
                <w:lang w:val="en-US" w:eastAsia="zh-CN"/>
              </w:rPr>
              <w:t>11</w:t>
            </w:r>
            <w:r>
              <w:t xml:space="preserve">分；  </w:t>
            </w:r>
          </w:p>
          <w:p w14:paraId="74D3FAC5">
            <w:pPr>
              <w:numPr>
                <w:ilvl w:val="0"/>
                <w:numId w:val="0"/>
              </w:numPr>
              <w:jc w:val="left"/>
            </w:pPr>
            <w:r>
              <w:rPr>
                <w:rFonts w:ascii="Times New Roman" w:hAnsi="Times New Roman" w:eastAsia="宋体" w:cs="Times New Roman"/>
                <w:kern w:val="2"/>
                <w:sz w:val="21"/>
                <w:szCs w:val="24"/>
                <w:lang w:val="en-US" w:eastAsia="zh-CN" w:bidi="ar-SA"/>
              </w:rPr>
              <w:t>3.</w:t>
            </w:r>
            <w:r>
              <w:t>总体服务方案基本详细完整，有一定针对性、可行性，得</w:t>
            </w:r>
            <w:r>
              <w:rPr>
                <w:rFonts w:hint="eastAsia"/>
                <w:lang w:val="en-US" w:eastAsia="zh-CN"/>
              </w:rPr>
              <w:t>7</w:t>
            </w:r>
            <w:r>
              <w:t xml:space="preserve">分；  </w:t>
            </w:r>
          </w:p>
          <w:p w14:paraId="17B22A3F">
            <w:pPr>
              <w:numPr>
                <w:ilvl w:val="0"/>
                <w:numId w:val="0"/>
              </w:numPr>
              <w:ind w:left="0" w:leftChars="0" w:firstLine="0" w:firstLineChars="0"/>
              <w:jc w:val="left"/>
            </w:pPr>
            <w:r>
              <w:rPr>
                <w:rFonts w:ascii="Times New Roman" w:hAnsi="Times New Roman" w:eastAsia="宋体" w:cs="Times New Roman"/>
                <w:kern w:val="2"/>
                <w:sz w:val="21"/>
                <w:szCs w:val="22"/>
                <w:lang w:val="en-US" w:eastAsia="zh-CN" w:bidi="ar-SA"/>
              </w:rPr>
              <w:t>4.</w:t>
            </w:r>
            <w:r>
              <w:t>总体服务方案不详细，完整性、针对性、可行性较差，得</w:t>
            </w:r>
            <w:r>
              <w:rPr>
                <w:rFonts w:hint="eastAsia"/>
                <w:lang w:val="en-US" w:eastAsia="zh-CN"/>
              </w:rPr>
              <w:t>3</w:t>
            </w:r>
            <w:r>
              <w:t>分；</w:t>
            </w:r>
          </w:p>
          <w:p w14:paraId="332CF61D">
            <w:pPr>
              <w:numPr>
                <w:ilvl w:val="0"/>
                <w:numId w:val="0"/>
              </w:numPr>
              <w:ind w:left="0" w:leftChars="0" w:firstLine="0" w:firstLineChars="0"/>
              <w:jc w:val="left"/>
              <w:rPr>
                <w:rFonts w:hint="default"/>
                <w:lang w:val="en-US" w:eastAsia="zh-CN"/>
              </w:rPr>
            </w:pPr>
            <w:r>
              <w:t>无相关方案内容不得分。</w:t>
            </w:r>
          </w:p>
        </w:tc>
        <w:tc>
          <w:tcPr>
            <w:tcW w:w="853" w:type="dxa"/>
            <w:vAlign w:val="center"/>
          </w:tcPr>
          <w:p w14:paraId="0439EFC5">
            <w:pPr>
              <w:spacing w:line="360" w:lineRule="auto"/>
              <w:jc w:val="center"/>
              <w:rPr>
                <w:rFonts w:hint="eastAsia" w:ascii="宋体" w:hAnsi="宋体"/>
                <w:color w:val="auto"/>
                <w:sz w:val="21"/>
                <w:szCs w:val="21"/>
                <w:highlight w:val="none"/>
                <w:lang w:val="en-US" w:eastAsia="zh-CN"/>
              </w:rPr>
            </w:pPr>
            <w:r>
              <w:rPr>
                <w:rFonts w:hint="eastAsia"/>
                <w:lang w:val="en-US" w:eastAsia="zh-CN"/>
              </w:rPr>
              <w:t>30</w:t>
            </w:r>
            <w:r>
              <w:t>分</w:t>
            </w:r>
          </w:p>
        </w:tc>
      </w:tr>
      <w:tr w14:paraId="2232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16" w:type="dxa"/>
            <w:vMerge w:val="continue"/>
            <w:vAlign w:val="center"/>
          </w:tcPr>
          <w:p w14:paraId="0A658738">
            <w:pPr>
              <w:widowControl/>
              <w:spacing w:line="360" w:lineRule="auto"/>
              <w:jc w:val="center"/>
              <w:rPr>
                <w:rFonts w:hint="eastAsia" w:ascii="宋体" w:hAnsi="宋体" w:eastAsia="宋体" w:cs="宋体"/>
                <w:color w:val="auto"/>
                <w:spacing w:val="15"/>
                <w:kern w:val="0"/>
                <w:szCs w:val="21"/>
                <w:highlight w:val="none"/>
                <w:shd w:val="clear" w:color="auto" w:fill="FFFFFF"/>
                <w:lang w:eastAsia="zh-CN"/>
              </w:rPr>
            </w:pPr>
          </w:p>
        </w:tc>
        <w:tc>
          <w:tcPr>
            <w:tcW w:w="1087" w:type="dxa"/>
            <w:vAlign w:val="center"/>
          </w:tcPr>
          <w:p w14:paraId="79539204">
            <w:pPr>
              <w:jc w:val="center"/>
              <w:rPr>
                <w:rFonts w:ascii="宋体" w:hAnsi="宋体"/>
                <w:color w:val="auto"/>
                <w:szCs w:val="21"/>
                <w:highlight w:val="none"/>
              </w:rPr>
            </w:pPr>
            <w:r>
              <w:rPr>
                <w:color w:val="auto"/>
              </w:rPr>
              <w:t>拟投入的服务人员力量</w:t>
            </w:r>
          </w:p>
        </w:tc>
        <w:tc>
          <w:tcPr>
            <w:tcW w:w="6587" w:type="dxa"/>
            <w:vAlign w:val="top"/>
          </w:tcPr>
          <w:p w14:paraId="293607A5">
            <w:pPr>
              <w:numPr>
                <w:ilvl w:val="0"/>
                <w:numId w:val="0"/>
              </w:numPr>
              <w:jc w:val="left"/>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s="Times New Roman"/>
                <w:color w:val="auto"/>
                <w:kern w:val="2"/>
                <w:sz w:val="21"/>
                <w:szCs w:val="24"/>
                <w:lang w:val="en-US" w:eastAsia="zh-CN" w:bidi="ar-SA"/>
              </w:rPr>
              <w:t>.</w:t>
            </w:r>
            <w:r>
              <w:rPr>
                <w:rFonts w:hint="eastAsia"/>
                <w:color w:val="auto"/>
                <w:lang w:val="en-US" w:eastAsia="zh-CN"/>
              </w:rPr>
              <w:t>项目负责人</w:t>
            </w:r>
            <w:r>
              <w:rPr>
                <w:color w:val="auto"/>
              </w:rPr>
              <w:t>具备</w:t>
            </w:r>
            <w:r>
              <w:rPr>
                <w:rFonts w:hint="eastAsia"/>
                <w:color w:val="auto"/>
                <w:lang w:eastAsia="zh-CN"/>
              </w:rPr>
              <w:t>高级以上</w:t>
            </w:r>
            <w:r>
              <w:rPr>
                <w:color w:val="auto"/>
              </w:rPr>
              <w:t>导游证书</w:t>
            </w:r>
            <w:r>
              <w:rPr>
                <w:rFonts w:hint="eastAsia"/>
                <w:color w:val="auto"/>
                <w:lang w:val="en-US" w:eastAsia="zh-CN"/>
              </w:rPr>
              <w:t>的</w:t>
            </w:r>
            <w:r>
              <w:rPr>
                <w:color w:val="auto"/>
              </w:rPr>
              <w:t>，得</w:t>
            </w:r>
            <w:r>
              <w:rPr>
                <w:rFonts w:hint="eastAsia"/>
                <w:color w:val="auto"/>
                <w:lang w:val="en-US" w:eastAsia="zh-CN"/>
              </w:rPr>
              <w:t>5</w:t>
            </w:r>
            <w:r>
              <w:rPr>
                <w:color w:val="auto"/>
              </w:rPr>
              <w:t>分</w:t>
            </w:r>
            <w:r>
              <w:rPr>
                <w:rFonts w:hint="eastAsia"/>
                <w:color w:val="auto"/>
                <w:lang w:eastAsia="zh-CN"/>
              </w:rPr>
              <w:t>；</w:t>
            </w:r>
            <w:r>
              <w:rPr>
                <w:rFonts w:hint="eastAsia"/>
                <w:color w:val="auto"/>
                <w:lang w:val="en-US" w:eastAsia="zh-CN"/>
              </w:rPr>
              <w:t>项目负责人</w:t>
            </w:r>
            <w:r>
              <w:rPr>
                <w:color w:val="auto"/>
              </w:rPr>
              <w:t>具备</w:t>
            </w:r>
            <w:r>
              <w:rPr>
                <w:rFonts w:hint="eastAsia"/>
                <w:color w:val="auto"/>
                <w:lang w:eastAsia="zh-CN"/>
              </w:rPr>
              <w:t>中级导游证书的得</w:t>
            </w:r>
            <w:r>
              <w:rPr>
                <w:rFonts w:hint="eastAsia"/>
                <w:color w:val="auto"/>
                <w:lang w:val="en-US" w:eastAsia="zh-CN"/>
              </w:rPr>
              <w:t>3分，</w:t>
            </w:r>
            <w:r>
              <w:rPr>
                <w:rFonts w:hint="eastAsia"/>
                <w:color w:val="auto"/>
                <w:lang w:eastAsia="zh-CN"/>
              </w:rPr>
              <w:t>否则</w:t>
            </w:r>
            <w:r>
              <w:rPr>
                <w:rFonts w:hint="eastAsia"/>
                <w:color w:val="auto"/>
                <w:lang w:val="en-US" w:eastAsia="zh-CN"/>
              </w:rPr>
              <w:t>不得分。本小项最高得5分。</w:t>
            </w:r>
          </w:p>
          <w:p w14:paraId="5427C679">
            <w:pPr>
              <w:numPr>
                <w:ilvl w:val="0"/>
                <w:numId w:val="0"/>
              </w:numPr>
              <w:ind w:left="0" w:leftChars="0" w:firstLine="0" w:firstLineChars="0"/>
              <w:jc w:val="left"/>
              <w:rPr>
                <w:color w:val="auto"/>
              </w:rPr>
            </w:pPr>
            <w:r>
              <w:rPr>
                <w:rFonts w:ascii="Times New Roman" w:hAnsi="Times New Roman" w:eastAsia="宋体" w:cs="Times New Roman"/>
                <w:color w:val="auto"/>
                <w:kern w:val="2"/>
                <w:sz w:val="21"/>
                <w:szCs w:val="24"/>
                <w:lang w:val="en-US" w:eastAsia="zh-CN" w:bidi="ar-SA"/>
              </w:rPr>
              <w:t>2</w:t>
            </w:r>
            <w:r>
              <w:rPr>
                <w:rFonts w:hint="eastAsia" w:cs="Times New Roman"/>
                <w:color w:val="auto"/>
                <w:kern w:val="2"/>
                <w:sz w:val="21"/>
                <w:szCs w:val="24"/>
                <w:lang w:val="en-US" w:eastAsia="zh-CN" w:bidi="ar-SA"/>
              </w:rPr>
              <w:t>.</w:t>
            </w:r>
            <w:r>
              <w:rPr>
                <w:color w:val="auto"/>
              </w:rPr>
              <w:t>除项目负责人外的</w:t>
            </w:r>
            <w:r>
              <w:rPr>
                <w:rFonts w:hint="eastAsia"/>
                <w:color w:val="auto"/>
                <w:lang w:eastAsia="zh-CN"/>
              </w:rPr>
              <w:t>导游工作人员，</w:t>
            </w:r>
            <w:r>
              <w:rPr>
                <w:color w:val="auto"/>
              </w:rPr>
              <w:t>具备</w:t>
            </w:r>
            <w:r>
              <w:rPr>
                <w:rFonts w:hint="eastAsia"/>
                <w:color w:val="auto"/>
                <w:lang w:eastAsia="zh-CN"/>
              </w:rPr>
              <w:t>导游</w:t>
            </w:r>
            <w:r>
              <w:rPr>
                <w:color w:val="auto"/>
              </w:rPr>
              <w:t>证书</w:t>
            </w:r>
            <w:r>
              <w:rPr>
                <w:rFonts w:hint="eastAsia"/>
                <w:color w:val="auto"/>
                <w:lang w:val="en-US" w:eastAsia="zh-CN"/>
              </w:rPr>
              <w:t>的</w:t>
            </w:r>
            <w:r>
              <w:rPr>
                <w:color w:val="auto"/>
              </w:rPr>
              <w:t>，每人得</w:t>
            </w:r>
            <w:r>
              <w:rPr>
                <w:rFonts w:hint="eastAsia"/>
                <w:color w:val="auto"/>
                <w:lang w:val="en-US" w:eastAsia="zh-CN"/>
              </w:rPr>
              <w:t>1</w:t>
            </w:r>
            <w:r>
              <w:rPr>
                <w:color w:val="auto"/>
              </w:rPr>
              <w:t>分，</w:t>
            </w:r>
            <w:r>
              <w:rPr>
                <w:rFonts w:hint="eastAsia"/>
                <w:color w:val="auto"/>
                <w:lang w:eastAsia="zh-CN"/>
              </w:rPr>
              <w:t>本小项</w:t>
            </w:r>
            <w:r>
              <w:rPr>
                <w:color w:val="auto"/>
              </w:rPr>
              <w:t>最高得</w:t>
            </w:r>
            <w:r>
              <w:rPr>
                <w:rFonts w:hint="eastAsia"/>
                <w:color w:val="auto"/>
                <w:lang w:val="en-US" w:eastAsia="zh-CN"/>
              </w:rPr>
              <w:t>5</w:t>
            </w:r>
            <w:r>
              <w:rPr>
                <w:color w:val="auto"/>
              </w:rPr>
              <w:t>分</w:t>
            </w:r>
            <w:r>
              <w:rPr>
                <w:rFonts w:hint="eastAsia"/>
                <w:color w:val="auto"/>
                <w:lang w:eastAsia="zh-CN"/>
              </w:rPr>
              <w:t>。</w:t>
            </w:r>
          </w:p>
          <w:p w14:paraId="0D2B5C18">
            <w:pPr>
              <w:numPr>
                <w:ilvl w:val="0"/>
                <w:numId w:val="0"/>
              </w:numPr>
              <w:jc w:val="left"/>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注：（1）同一人员不得重复得分；（2）提供以上人员的有效证书复印件，（3）提供由供应商为其购买的响应截止时间前近3个月任意1个月的社保证明文件复印件并加盖公章。如果供应商未能提供社保证明文件复印件的，可在响应文件中提供相关承诺(格式自拟，承诺书内容包括但不限于以下内容:若我单位成交，合同签订时保证按响应文件中所配备的人员到位并提供以上拟派人员的社保证明文件或劳务合同，否则视为我单位放弃成交资格)，视为满足社保评审要求。</w:t>
            </w:r>
          </w:p>
          <w:p w14:paraId="223F58B0">
            <w:pPr>
              <w:numPr>
                <w:ilvl w:val="0"/>
                <w:numId w:val="0"/>
              </w:numPr>
              <w:jc w:val="left"/>
              <w:rPr>
                <w:rFonts w:ascii="宋体" w:hAnsi="宋体" w:cs="宋体"/>
                <w:color w:val="auto"/>
                <w:sz w:val="21"/>
                <w:szCs w:val="21"/>
                <w:highlight w:val="none"/>
              </w:rPr>
            </w:pPr>
            <w:r>
              <w:rPr>
                <w:rFonts w:hint="eastAsia" w:ascii="Times New Roman" w:hAnsi="Times New Roman" w:eastAsia="宋体" w:cs="Times New Roman"/>
                <w:b/>
                <w:bCs/>
                <w:color w:val="auto"/>
                <w:kern w:val="2"/>
                <w:sz w:val="21"/>
                <w:szCs w:val="24"/>
                <w:lang w:val="en-US" w:eastAsia="zh-CN" w:bidi="ar-SA"/>
              </w:rPr>
              <w:t>未提供或未按上述要求提供相关证明材料的不得分。</w:t>
            </w:r>
          </w:p>
        </w:tc>
        <w:tc>
          <w:tcPr>
            <w:tcW w:w="853" w:type="dxa"/>
            <w:vAlign w:val="center"/>
          </w:tcPr>
          <w:p w14:paraId="181A2299">
            <w:pPr>
              <w:spacing w:line="360" w:lineRule="auto"/>
              <w:jc w:val="center"/>
              <w:rPr>
                <w:rFonts w:ascii="宋体" w:hAnsi="宋体" w:cs="宋体"/>
                <w:color w:val="auto"/>
                <w:highlight w:val="none"/>
              </w:rPr>
            </w:pPr>
            <w:r>
              <w:rPr>
                <w:rFonts w:hint="eastAsia"/>
                <w:color w:val="auto"/>
                <w:lang w:val="en-US" w:eastAsia="zh-CN"/>
              </w:rPr>
              <w:t>10</w:t>
            </w:r>
            <w:r>
              <w:rPr>
                <w:color w:val="auto"/>
              </w:rPr>
              <w:t>分</w:t>
            </w:r>
          </w:p>
        </w:tc>
      </w:tr>
      <w:tr w14:paraId="26C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16" w:type="dxa"/>
            <w:vMerge w:val="continue"/>
            <w:vAlign w:val="center"/>
          </w:tcPr>
          <w:p w14:paraId="50BDABEB">
            <w:pPr>
              <w:widowControl/>
              <w:spacing w:line="360" w:lineRule="auto"/>
              <w:jc w:val="center"/>
              <w:rPr>
                <w:rFonts w:hint="default" w:ascii="宋体" w:hAnsi="宋体" w:cs="宋体"/>
                <w:color w:val="auto"/>
                <w:spacing w:val="15"/>
                <w:kern w:val="0"/>
                <w:szCs w:val="21"/>
                <w:highlight w:val="none"/>
                <w:shd w:val="clear" w:color="auto" w:fill="FFFFFF"/>
                <w:lang w:val="en-US" w:eastAsia="zh-CN"/>
              </w:rPr>
            </w:pPr>
          </w:p>
        </w:tc>
        <w:tc>
          <w:tcPr>
            <w:tcW w:w="1087" w:type="dxa"/>
            <w:vAlign w:val="center"/>
          </w:tcPr>
          <w:p w14:paraId="350FE00F">
            <w:pPr>
              <w:jc w:val="center"/>
              <w:rPr>
                <w:rFonts w:hint="default" w:eastAsia="宋体"/>
                <w:color w:val="auto"/>
                <w:highlight w:val="none"/>
                <w:lang w:val="en-US" w:eastAsia="zh-CN"/>
              </w:rPr>
            </w:pPr>
            <w:r>
              <w:rPr>
                <w:color w:val="auto"/>
              </w:rPr>
              <w:t>同类项目业绩</w:t>
            </w:r>
          </w:p>
        </w:tc>
        <w:tc>
          <w:tcPr>
            <w:tcW w:w="6587" w:type="dxa"/>
            <w:vAlign w:val="top"/>
          </w:tcPr>
          <w:p w14:paraId="7703F318">
            <w:pPr>
              <w:jc w:val="left"/>
              <w:rPr>
                <w:color w:val="auto"/>
              </w:rPr>
            </w:pPr>
            <w:r>
              <w:rPr>
                <w:rFonts w:hint="eastAsia"/>
                <w:color w:val="auto"/>
                <w:lang w:eastAsia="zh-CN"/>
              </w:rPr>
              <w:t>供应商</w:t>
            </w:r>
            <w:r>
              <w:rPr>
                <w:color w:val="auto"/>
              </w:rPr>
              <w:t>自20</w:t>
            </w:r>
            <w:r>
              <w:rPr>
                <w:rFonts w:hint="eastAsia"/>
                <w:color w:val="auto"/>
                <w:lang w:val="en-US" w:eastAsia="zh-CN"/>
              </w:rPr>
              <w:t>22年1月1日</w:t>
            </w:r>
            <w:r>
              <w:rPr>
                <w:color w:val="auto"/>
              </w:rPr>
              <w:t>以来（以合同签订时间为准），</w:t>
            </w:r>
            <w:r>
              <w:rPr>
                <w:rFonts w:hint="eastAsia"/>
                <w:color w:val="auto"/>
                <w:lang w:val="en-US" w:eastAsia="zh-CN"/>
              </w:rPr>
              <w:t>承接过的同类业绩</w:t>
            </w:r>
            <w:r>
              <w:rPr>
                <w:color w:val="auto"/>
              </w:rPr>
              <w:t>，每具有一项得</w:t>
            </w:r>
            <w:r>
              <w:rPr>
                <w:rFonts w:hint="eastAsia"/>
                <w:color w:val="auto"/>
                <w:lang w:val="en-US" w:eastAsia="zh-CN"/>
              </w:rPr>
              <w:t>2</w:t>
            </w:r>
            <w:r>
              <w:rPr>
                <w:color w:val="auto"/>
              </w:rPr>
              <w:t>分，最高得</w:t>
            </w:r>
            <w:r>
              <w:rPr>
                <w:rFonts w:hint="eastAsia"/>
                <w:color w:val="auto"/>
                <w:lang w:val="en-US" w:eastAsia="zh-CN"/>
              </w:rPr>
              <w:t>10</w:t>
            </w:r>
            <w:r>
              <w:rPr>
                <w:color w:val="auto"/>
              </w:rPr>
              <w:t>分。</w:t>
            </w:r>
          </w:p>
          <w:p w14:paraId="3708E8CB">
            <w:pPr>
              <w:jc w:val="left"/>
              <w:rPr>
                <w:rFonts w:hint="eastAsia" w:ascii="宋体" w:hAnsi="宋体" w:eastAsia="宋体" w:cs="宋体"/>
                <w:b/>
                <w:bCs/>
                <w:color w:val="auto"/>
                <w:kern w:val="0"/>
                <w:sz w:val="20"/>
                <w:szCs w:val="20"/>
                <w:highlight w:val="none"/>
                <w:lang w:val="en-US" w:eastAsia="zh-CN" w:bidi="ar"/>
              </w:rPr>
            </w:pPr>
            <w:r>
              <w:rPr>
                <w:b/>
                <w:bCs/>
                <w:color w:val="auto"/>
              </w:rPr>
              <w:t>注：需提供合同</w:t>
            </w:r>
            <w:r>
              <w:rPr>
                <w:rFonts w:hint="eastAsia"/>
                <w:b/>
                <w:bCs/>
                <w:color w:val="auto"/>
                <w:lang w:val="en-US" w:eastAsia="zh-CN"/>
              </w:rPr>
              <w:t>关键页</w:t>
            </w:r>
            <w:r>
              <w:rPr>
                <w:rFonts w:hint="eastAsia"/>
                <w:b/>
                <w:bCs/>
                <w:color w:val="auto"/>
                <w:highlight w:val="none"/>
                <w:lang w:val="en-US" w:eastAsia="zh-CN"/>
              </w:rPr>
              <w:t>（包括但不限于合同首页、盖章页、项目内容）</w:t>
            </w:r>
            <w:r>
              <w:rPr>
                <w:b/>
                <w:bCs/>
                <w:color w:val="auto"/>
              </w:rPr>
              <w:t>复印件</w:t>
            </w:r>
            <w:r>
              <w:rPr>
                <w:rFonts w:hint="eastAsia"/>
                <w:b/>
                <w:bCs/>
                <w:color w:val="auto"/>
                <w:lang w:val="en-US" w:eastAsia="zh-CN"/>
              </w:rPr>
              <w:t>加盖公章</w:t>
            </w:r>
            <w:r>
              <w:rPr>
                <w:b/>
                <w:bCs/>
                <w:color w:val="auto"/>
              </w:rPr>
              <w:t>，</w:t>
            </w:r>
            <w:r>
              <w:rPr>
                <w:rFonts w:hint="eastAsia" w:ascii="宋体" w:hAnsi="宋体" w:cs="宋体"/>
                <w:b/>
                <w:bCs/>
                <w:color w:val="000000" w:themeColor="text1"/>
                <w:szCs w:val="21"/>
                <w:highlight w:val="none"/>
                <w:lang w:bidi="ar"/>
                <w14:textFill>
                  <w14:solidFill>
                    <w14:schemeClr w14:val="tx1"/>
                  </w14:solidFill>
                </w14:textFill>
              </w:rPr>
              <w:t>未提供或未按要求提供相关证明材料的不得分。</w:t>
            </w:r>
          </w:p>
        </w:tc>
        <w:tc>
          <w:tcPr>
            <w:tcW w:w="853" w:type="dxa"/>
            <w:vAlign w:val="center"/>
          </w:tcPr>
          <w:p w14:paraId="7FBC8424">
            <w:pPr>
              <w:spacing w:line="360" w:lineRule="auto"/>
              <w:jc w:val="center"/>
              <w:rPr>
                <w:rFonts w:hint="default" w:ascii="宋体" w:hAnsi="宋体" w:cs="宋体"/>
                <w:color w:val="auto"/>
                <w:szCs w:val="21"/>
                <w:highlight w:val="none"/>
                <w:lang w:val="en-US" w:eastAsia="zh-CN"/>
              </w:rPr>
            </w:pPr>
            <w:r>
              <w:rPr>
                <w:rFonts w:hint="eastAsia"/>
                <w:color w:val="auto"/>
                <w:lang w:val="en-US" w:eastAsia="zh-CN"/>
              </w:rPr>
              <w:t>10</w:t>
            </w:r>
            <w:r>
              <w:rPr>
                <w:color w:val="auto"/>
              </w:rPr>
              <w:t>分</w:t>
            </w:r>
          </w:p>
        </w:tc>
      </w:tr>
      <w:tr w14:paraId="11DC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16" w:type="dxa"/>
            <w:vMerge w:val="continue"/>
            <w:vAlign w:val="center"/>
          </w:tcPr>
          <w:p w14:paraId="097BCE25">
            <w:pPr>
              <w:widowControl/>
              <w:spacing w:line="360" w:lineRule="auto"/>
              <w:jc w:val="center"/>
              <w:rPr>
                <w:rFonts w:hint="default" w:ascii="宋体" w:hAnsi="宋体" w:cs="宋体"/>
                <w:color w:val="auto"/>
                <w:spacing w:val="15"/>
                <w:kern w:val="0"/>
                <w:szCs w:val="21"/>
                <w:highlight w:val="none"/>
                <w:shd w:val="clear" w:color="auto" w:fill="FFFFFF"/>
                <w:lang w:val="en-US" w:eastAsia="zh-CN"/>
              </w:rPr>
            </w:pPr>
          </w:p>
        </w:tc>
        <w:tc>
          <w:tcPr>
            <w:tcW w:w="1087" w:type="dxa"/>
            <w:vAlign w:val="center"/>
          </w:tcPr>
          <w:p w14:paraId="301EDA8F">
            <w:pPr>
              <w:jc w:val="center"/>
              <w:rPr>
                <w:rFonts w:hint="eastAsia"/>
                <w:highlight w:val="none"/>
                <w:lang w:val="en-US" w:eastAsia="zh-CN"/>
              </w:rPr>
            </w:pPr>
            <w:r>
              <w:t>客户评价情况</w:t>
            </w:r>
          </w:p>
        </w:tc>
        <w:tc>
          <w:tcPr>
            <w:tcW w:w="6587" w:type="dxa"/>
            <w:vAlign w:val="center"/>
          </w:tcPr>
          <w:p w14:paraId="5D9F27EE">
            <w:pPr>
              <w:jc w:val="left"/>
            </w:pPr>
            <w:r>
              <w:t>上述同类项目业绩获得用户意见的评价为优秀（满意）或评分为90分以上等证明评价的，每个得</w:t>
            </w:r>
            <w:r>
              <w:rPr>
                <w:rFonts w:hint="eastAsia"/>
                <w:lang w:val="en-US" w:eastAsia="zh-CN"/>
              </w:rPr>
              <w:t>2</w:t>
            </w:r>
            <w:r>
              <w:t>分，最高得</w:t>
            </w:r>
            <w:r>
              <w:rPr>
                <w:rFonts w:hint="eastAsia"/>
                <w:lang w:val="en-US" w:eastAsia="zh-CN"/>
              </w:rPr>
              <w:t>10</w:t>
            </w:r>
            <w:r>
              <w:t>分。</w:t>
            </w:r>
          </w:p>
          <w:p w14:paraId="51223C5E">
            <w:pPr>
              <w:jc w:val="left"/>
              <w:rPr>
                <w:rFonts w:hint="eastAsia"/>
                <w:highlight w:val="none"/>
                <w:lang w:val="en-US" w:eastAsia="zh-CN"/>
              </w:rPr>
            </w:pPr>
            <w:r>
              <w:rPr>
                <w:b/>
                <w:bCs/>
              </w:rPr>
              <w:t>注：须提供服务客户盖章的证明材料</w:t>
            </w:r>
            <w:r>
              <w:rPr>
                <w:rFonts w:hint="eastAsia"/>
                <w:b/>
                <w:bCs/>
                <w:lang w:eastAsia="zh-CN"/>
              </w:rPr>
              <w:t>，</w:t>
            </w:r>
            <w:r>
              <w:rPr>
                <w:rFonts w:hint="eastAsia"/>
                <w:b/>
                <w:bCs/>
                <w:lang w:val="en-US" w:eastAsia="zh-CN"/>
              </w:rPr>
              <w:t>否则不得分</w:t>
            </w:r>
            <w:r>
              <w:rPr>
                <w:b/>
                <w:bCs/>
              </w:rPr>
              <w:t>。</w:t>
            </w:r>
          </w:p>
        </w:tc>
        <w:tc>
          <w:tcPr>
            <w:tcW w:w="853" w:type="dxa"/>
            <w:vAlign w:val="center"/>
          </w:tcPr>
          <w:p w14:paraId="77B7B7A3">
            <w:pPr>
              <w:spacing w:line="360" w:lineRule="auto"/>
              <w:jc w:val="center"/>
              <w:rPr>
                <w:rFonts w:hint="eastAsia"/>
                <w:highlight w:val="none"/>
                <w:lang w:val="en-US" w:eastAsia="zh-CN"/>
              </w:rPr>
            </w:pPr>
            <w:r>
              <w:rPr>
                <w:rFonts w:hint="eastAsia"/>
                <w:lang w:val="en-US" w:eastAsia="zh-CN"/>
              </w:rPr>
              <w:t>10</w:t>
            </w:r>
            <w:r>
              <w:t>分</w:t>
            </w:r>
          </w:p>
        </w:tc>
      </w:tr>
      <w:tr w14:paraId="7B4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16" w:type="dxa"/>
            <w:vMerge w:val="continue"/>
            <w:vAlign w:val="center"/>
          </w:tcPr>
          <w:p w14:paraId="0B796B03">
            <w:pPr>
              <w:widowControl/>
              <w:spacing w:line="360" w:lineRule="auto"/>
              <w:jc w:val="center"/>
              <w:rPr>
                <w:rFonts w:hint="default" w:ascii="宋体" w:hAnsi="宋体" w:cs="宋体"/>
                <w:color w:val="auto"/>
                <w:spacing w:val="15"/>
                <w:kern w:val="0"/>
                <w:szCs w:val="21"/>
                <w:highlight w:val="none"/>
                <w:shd w:val="clear" w:color="auto" w:fill="FFFFFF"/>
                <w:lang w:val="en-US" w:eastAsia="zh-CN"/>
              </w:rPr>
            </w:pPr>
          </w:p>
        </w:tc>
        <w:tc>
          <w:tcPr>
            <w:tcW w:w="1087" w:type="dxa"/>
            <w:vAlign w:val="center"/>
          </w:tcPr>
          <w:p w14:paraId="70E702A5">
            <w:pPr>
              <w:jc w:val="center"/>
              <w:rPr>
                <w:rFonts w:hint="eastAsia"/>
                <w:lang w:val="en-US" w:eastAsia="zh-CN"/>
              </w:rPr>
            </w:pPr>
            <w:r>
              <w:rPr>
                <w:rFonts w:hint="eastAsia"/>
                <w:lang w:val="en-US" w:eastAsia="zh-CN"/>
              </w:rPr>
              <w:t>保险购买</w:t>
            </w:r>
          </w:p>
        </w:tc>
        <w:tc>
          <w:tcPr>
            <w:tcW w:w="6587" w:type="dxa"/>
            <w:vAlign w:val="top"/>
          </w:tcPr>
          <w:p w14:paraId="3D40F857">
            <w:pPr>
              <w:jc w:val="left"/>
              <w:rPr>
                <w:rFonts w:hint="eastAsia"/>
                <w:lang w:val="en-US" w:eastAsia="zh-CN"/>
              </w:rPr>
            </w:pPr>
            <w:r>
              <w:rPr>
                <w:rFonts w:hint="eastAsia"/>
                <w:lang w:val="en-US" w:eastAsia="zh-CN"/>
              </w:rPr>
              <w:t>供应商为秋游人员购买个人意外险</w:t>
            </w:r>
            <w:r>
              <w:rPr>
                <w:rFonts w:hint="eastAsia"/>
                <w:b/>
                <w:bCs/>
                <w:lang w:val="en-US" w:eastAsia="zh-CN"/>
              </w:rPr>
              <w:t>（提供承诺函）</w:t>
            </w:r>
            <w:r>
              <w:rPr>
                <w:rFonts w:hint="eastAsia"/>
                <w:lang w:val="en-US" w:eastAsia="zh-CN"/>
              </w:rPr>
              <w:t>。其中为采购人秋游人员购买的个人意外险赔付金额，达到50万元/人及以上得10分，达到40万元/人及以上得7分，20万元/人及以上得4分。</w:t>
            </w:r>
          </w:p>
          <w:p w14:paraId="6AA456D3">
            <w:pPr>
              <w:jc w:val="left"/>
              <w:rPr>
                <w:rFonts w:hint="eastAsia"/>
                <w:lang w:val="en-US" w:eastAsia="zh-CN"/>
              </w:rPr>
            </w:pPr>
            <w:r>
              <w:rPr>
                <w:rFonts w:hint="eastAsia"/>
                <w:b/>
                <w:bCs/>
                <w:lang w:val="en-US" w:eastAsia="zh-CN"/>
              </w:rPr>
              <w:t>注：其他情况或未按要求提供不得分。</w:t>
            </w:r>
          </w:p>
        </w:tc>
        <w:tc>
          <w:tcPr>
            <w:tcW w:w="853" w:type="dxa"/>
            <w:vAlign w:val="center"/>
          </w:tcPr>
          <w:p w14:paraId="28FDB309">
            <w:pPr>
              <w:jc w:val="center"/>
              <w:rPr>
                <w:rFonts w:hint="eastAsia"/>
                <w:lang w:val="en-US" w:eastAsia="zh-CN"/>
              </w:rPr>
            </w:pPr>
            <w:r>
              <w:rPr>
                <w:rFonts w:hint="eastAsia"/>
                <w:lang w:val="en-US" w:eastAsia="zh-CN"/>
              </w:rPr>
              <w:t>10分</w:t>
            </w:r>
          </w:p>
        </w:tc>
      </w:tr>
      <w:tr w14:paraId="5C31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44EAD2BB">
            <w:pPr>
              <w:widowControl/>
              <w:spacing w:line="360" w:lineRule="auto"/>
              <w:jc w:val="center"/>
              <w:rPr>
                <w:rFonts w:hint="default" w:ascii="宋体" w:hAnsi="宋体" w:cs="宋体"/>
                <w:color w:val="auto"/>
                <w:spacing w:val="15"/>
                <w:kern w:val="0"/>
                <w:szCs w:val="21"/>
                <w:highlight w:val="none"/>
                <w:shd w:val="clear" w:color="auto" w:fill="FFFFFF"/>
                <w:lang w:val="en-US" w:eastAsia="zh-CN"/>
              </w:rPr>
            </w:pPr>
            <w:r>
              <w:rPr>
                <w:rFonts w:hint="eastAsia" w:ascii="宋体" w:hAnsi="宋体" w:cs="宋体"/>
                <w:b/>
                <w:bCs/>
                <w:color w:val="auto"/>
                <w:spacing w:val="15"/>
                <w:kern w:val="0"/>
                <w:szCs w:val="21"/>
                <w:highlight w:val="none"/>
                <w:shd w:val="clear" w:color="auto" w:fill="FFFFFF"/>
                <w:lang w:val="en-US" w:eastAsia="zh-CN"/>
              </w:rPr>
              <w:t>价格部分</w:t>
            </w:r>
          </w:p>
        </w:tc>
        <w:tc>
          <w:tcPr>
            <w:tcW w:w="1087" w:type="dxa"/>
            <w:vAlign w:val="center"/>
          </w:tcPr>
          <w:p w14:paraId="05F4144E">
            <w:pPr>
              <w:jc w:val="center"/>
              <w:rPr>
                <w:rFonts w:hint="eastAsia"/>
                <w:color w:val="auto"/>
                <w:szCs w:val="21"/>
                <w:highlight w:val="none"/>
              </w:rPr>
            </w:pPr>
            <w:r>
              <w:rPr>
                <w:rFonts w:hint="eastAsia" w:ascii="宋体" w:hAnsi="宋体" w:eastAsia="宋体" w:cs="宋体"/>
                <w:color w:val="auto"/>
                <w:szCs w:val="21"/>
                <w:highlight w:val="none"/>
              </w:rPr>
              <w:t>响应报价</w:t>
            </w:r>
          </w:p>
        </w:tc>
        <w:tc>
          <w:tcPr>
            <w:tcW w:w="6587" w:type="dxa"/>
            <w:vAlign w:val="top"/>
          </w:tcPr>
          <w:p w14:paraId="77FBEB31">
            <w:pPr>
              <w:jc w:val="left"/>
              <w:rPr>
                <w:rFonts w:hint="eastAsia"/>
              </w:rPr>
            </w:pPr>
            <w:r>
              <w:rPr>
                <w:rFonts w:hint="eastAsia"/>
              </w:rPr>
              <w:t>响应报价得分＝（评审基准价/响应报价）×价格分值</w:t>
            </w:r>
          </w:p>
          <w:p w14:paraId="0B1F3653">
            <w:pPr>
              <w:jc w:val="left"/>
              <w:rPr>
                <w:rFonts w:hint="eastAsia"/>
                <w:lang w:val="en-US" w:eastAsia="zh-CN"/>
              </w:rPr>
            </w:pPr>
            <w:r>
              <w:rPr>
                <w:rFonts w:hint="eastAsia"/>
                <w:lang w:val="en-US" w:eastAsia="zh-CN"/>
              </w:rPr>
              <w:t>1.</w:t>
            </w:r>
            <w:r>
              <w:rPr>
                <w:rFonts w:hint="eastAsia"/>
              </w:rPr>
              <w:t>路线1：佛山美的鹭湖安纳希小镇---高明盈香心动乐园</w:t>
            </w:r>
            <w:r>
              <w:rPr>
                <w:rFonts w:hint="eastAsia"/>
                <w:lang w:eastAsia="zh-CN"/>
              </w:rPr>
              <w:t>响应报价分值</w:t>
            </w:r>
            <w:r>
              <w:rPr>
                <w:rFonts w:hint="eastAsia"/>
                <w:lang w:val="en-US" w:eastAsia="zh-CN"/>
              </w:rPr>
              <w:t>15分；</w:t>
            </w:r>
          </w:p>
          <w:p w14:paraId="6698134E">
            <w:pPr>
              <w:jc w:val="left"/>
              <w:rPr>
                <w:rFonts w:hint="default"/>
                <w:lang w:val="en-US" w:eastAsia="zh-CN"/>
              </w:rPr>
            </w:pPr>
            <w:r>
              <w:rPr>
                <w:rFonts w:hint="eastAsia"/>
                <w:lang w:val="en-US" w:eastAsia="zh-CN"/>
              </w:rPr>
              <w:t>2.路线2：深中通道---南沙天后宫---深圳欢乐港湾响应报价分值15分。</w:t>
            </w:r>
          </w:p>
          <w:p w14:paraId="0704D6BD">
            <w:pPr>
              <w:jc w:val="left"/>
              <w:rPr>
                <w:rFonts w:hint="eastAsia"/>
                <w:color w:val="auto"/>
                <w:highlight w:val="none"/>
                <w:lang w:val="en-US" w:eastAsia="zh-CN"/>
              </w:rPr>
            </w:pPr>
            <w:r>
              <w:rPr>
                <w:rFonts w:hint="eastAsia"/>
              </w:rPr>
              <w:t>（注：满足采购文件要求且响应价格最低的响应报价为评审基准价。最低报价不是成交的唯一依据。）</w:t>
            </w:r>
          </w:p>
        </w:tc>
        <w:tc>
          <w:tcPr>
            <w:tcW w:w="853" w:type="dxa"/>
            <w:vAlign w:val="center"/>
          </w:tcPr>
          <w:p w14:paraId="370A579B">
            <w:pPr>
              <w:jc w:val="center"/>
              <w:rPr>
                <w:rFonts w:hint="default" w:ascii="宋体" w:hAnsi="宋体" w:cs="宋体"/>
                <w:color w:val="auto"/>
                <w:szCs w:val="21"/>
                <w:highlight w:val="none"/>
                <w:lang w:val="en-US" w:eastAsia="zh-CN"/>
              </w:rPr>
            </w:pPr>
            <w:r>
              <w:rPr>
                <w:rFonts w:hint="eastAsia"/>
                <w:lang w:val="en-US" w:eastAsia="zh-CN"/>
              </w:rPr>
              <w:t>30分</w:t>
            </w:r>
          </w:p>
        </w:tc>
      </w:tr>
      <w:tr w14:paraId="194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90" w:type="dxa"/>
            <w:gridSpan w:val="3"/>
            <w:vAlign w:val="center"/>
          </w:tcPr>
          <w:p w14:paraId="51A0F741">
            <w:pPr>
              <w:spacing w:line="360" w:lineRule="auto"/>
              <w:jc w:val="center"/>
              <w:rPr>
                <w:rFonts w:ascii="宋体" w:hAnsi="宋体"/>
                <w:color w:val="auto"/>
                <w:szCs w:val="21"/>
                <w:highlight w:val="none"/>
              </w:rPr>
            </w:pPr>
            <w:r>
              <w:rPr>
                <w:rFonts w:hint="eastAsia" w:ascii="宋体" w:hAnsi="宋体"/>
                <w:color w:val="auto"/>
                <w:szCs w:val="21"/>
                <w:highlight w:val="none"/>
              </w:rPr>
              <w:t>合计</w:t>
            </w:r>
          </w:p>
        </w:tc>
        <w:tc>
          <w:tcPr>
            <w:tcW w:w="853" w:type="dxa"/>
            <w:vAlign w:val="center"/>
          </w:tcPr>
          <w:p w14:paraId="4145160E">
            <w:pPr>
              <w:jc w:val="center"/>
              <w:rPr>
                <w:rFonts w:hint="eastAsia" w:ascii="宋体" w:hAnsi="宋体" w:eastAsia="宋体"/>
                <w:color w:val="auto"/>
                <w:highlight w:val="none"/>
                <w:lang w:eastAsia="zh-CN"/>
              </w:rPr>
            </w:pPr>
            <w:r>
              <w:rPr>
                <w:rFonts w:hint="eastAsia"/>
                <w:lang w:val="en-US" w:eastAsia="zh-CN"/>
              </w:rPr>
              <w:t>100分</w:t>
            </w:r>
          </w:p>
        </w:tc>
      </w:tr>
      <w:bookmarkEnd w:id="0"/>
    </w:tbl>
    <w:p w14:paraId="4D5F0B7F">
      <w:pPr>
        <w:spacing w:line="360" w:lineRule="auto"/>
        <w:ind w:firstLine="420" w:firstLineChars="200"/>
        <w:rPr>
          <w:rFonts w:hint="eastAsia" w:ascii="宋体" w:hAnsi="宋体" w:cs="宋体"/>
          <w:szCs w:val="21"/>
          <w:lang w:eastAsia="zh-CN"/>
        </w:rPr>
      </w:pPr>
    </w:p>
    <w:p w14:paraId="33C1855A">
      <w:pPr>
        <w:spacing w:line="360" w:lineRule="auto"/>
        <w:ind w:firstLine="420" w:firstLineChars="200"/>
      </w:pPr>
    </w:p>
    <w:sectPr>
      <w:pgSz w:w="11906" w:h="16838"/>
      <w:pgMar w:top="873"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000000"/>
    <w:rsid w:val="00280D3D"/>
    <w:rsid w:val="004F7D60"/>
    <w:rsid w:val="005A2D64"/>
    <w:rsid w:val="00726F79"/>
    <w:rsid w:val="00E46AD2"/>
    <w:rsid w:val="00EB1C0E"/>
    <w:rsid w:val="0116312F"/>
    <w:rsid w:val="022632F0"/>
    <w:rsid w:val="03267819"/>
    <w:rsid w:val="045D1075"/>
    <w:rsid w:val="05BD6377"/>
    <w:rsid w:val="06E72E78"/>
    <w:rsid w:val="077B0190"/>
    <w:rsid w:val="07F53FC7"/>
    <w:rsid w:val="085C484A"/>
    <w:rsid w:val="08CD207F"/>
    <w:rsid w:val="09570229"/>
    <w:rsid w:val="09CF031F"/>
    <w:rsid w:val="0A4F1460"/>
    <w:rsid w:val="0A621193"/>
    <w:rsid w:val="0AA35A8D"/>
    <w:rsid w:val="0AC27E84"/>
    <w:rsid w:val="0ADF6709"/>
    <w:rsid w:val="0B031FF8"/>
    <w:rsid w:val="0B330D82"/>
    <w:rsid w:val="0B5252E0"/>
    <w:rsid w:val="0B5915B2"/>
    <w:rsid w:val="0BF63EFD"/>
    <w:rsid w:val="0C344DB1"/>
    <w:rsid w:val="0C871385"/>
    <w:rsid w:val="0D7C5016"/>
    <w:rsid w:val="0E3A4E39"/>
    <w:rsid w:val="0E5651F6"/>
    <w:rsid w:val="0E9B1118"/>
    <w:rsid w:val="0F0C1504"/>
    <w:rsid w:val="0FB36144"/>
    <w:rsid w:val="10001543"/>
    <w:rsid w:val="100B407B"/>
    <w:rsid w:val="106A2888"/>
    <w:rsid w:val="113F222E"/>
    <w:rsid w:val="11CC5193"/>
    <w:rsid w:val="120450DA"/>
    <w:rsid w:val="12055A41"/>
    <w:rsid w:val="12C9238F"/>
    <w:rsid w:val="13157E18"/>
    <w:rsid w:val="135E0B3D"/>
    <w:rsid w:val="138A175B"/>
    <w:rsid w:val="14121DAC"/>
    <w:rsid w:val="142E20E6"/>
    <w:rsid w:val="15396F94"/>
    <w:rsid w:val="16012AC5"/>
    <w:rsid w:val="16AA0397"/>
    <w:rsid w:val="16B167CC"/>
    <w:rsid w:val="16C57D67"/>
    <w:rsid w:val="170610F8"/>
    <w:rsid w:val="17070B85"/>
    <w:rsid w:val="172211AC"/>
    <w:rsid w:val="18664ECD"/>
    <w:rsid w:val="198164B4"/>
    <w:rsid w:val="1A710F7F"/>
    <w:rsid w:val="1CA71492"/>
    <w:rsid w:val="1CA90EA4"/>
    <w:rsid w:val="1CB17D58"/>
    <w:rsid w:val="1CEB5018"/>
    <w:rsid w:val="1D090252"/>
    <w:rsid w:val="1D4F1A4B"/>
    <w:rsid w:val="1E85324A"/>
    <w:rsid w:val="2000702C"/>
    <w:rsid w:val="20531559"/>
    <w:rsid w:val="206C4D0A"/>
    <w:rsid w:val="20E47C7B"/>
    <w:rsid w:val="21251678"/>
    <w:rsid w:val="21507B40"/>
    <w:rsid w:val="21636166"/>
    <w:rsid w:val="2182320C"/>
    <w:rsid w:val="21B73ED8"/>
    <w:rsid w:val="22291947"/>
    <w:rsid w:val="22596E88"/>
    <w:rsid w:val="22F524FB"/>
    <w:rsid w:val="23234A89"/>
    <w:rsid w:val="236F4525"/>
    <w:rsid w:val="23955CDE"/>
    <w:rsid w:val="23E83B9F"/>
    <w:rsid w:val="24406F1A"/>
    <w:rsid w:val="24791DF7"/>
    <w:rsid w:val="25A11649"/>
    <w:rsid w:val="25A8494F"/>
    <w:rsid w:val="25CD5C03"/>
    <w:rsid w:val="26E03714"/>
    <w:rsid w:val="27B64475"/>
    <w:rsid w:val="27B91B08"/>
    <w:rsid w:val="27EA6359"/>
    <w:rsid w:val="28104DCD"/>
    <w:rsid w:val="29CC4423"/>
    <w:rsid w:val="29D67FA4"/>
    <w:rsid w:val="2A2B739C"/>
    <w:rsid w:val="2A432D46"/>
    <w:rsid w:val="2A7169DD"/>
    <w:rsid w:val="2A9F7BB6"/>
    <w:rsid w:val="2ACD0453"/>
    <w:rsid w:val="2AEF13BE"/>
    <w:rsid w:val="2D0F545C"/>
    <w:rsid w:val="2D216834"/>
    <w:rsid w:val="2DB84096"/>
    <w:rsid w:val="2E3B05C3"/>
    <w:rsid w:val="2E6C4562"/>
    <w:rsid w:val="2EAB0AAB"/>
    <w:rsid w:val="2F1E2C53"/>
    <w:rsid w:val="300915AF"/>
    <w:rsid w:val="304C1E1A"/>
    <w:rsid w:val="30D0400A"/>
    <w:rsid w:val="30D140CD"/>
    <w:rsid w:val="31BC4D7D"/>
    <w:rsid w:val="32227B7F"/>
    <w:rsid w:val="32B85545"/>
    <w:rsid w:val="32FC4A8D"/>
    <w:rsid w:val="32FC6616"/>
    <w:rsid w:val="330557AD"/>
    <w:rsid w:val="33A672FD"/>
    <w:rsid w:val="34403A44"/>
    <w:rsid w:val="346534DC"/>
    <w:rsid w:val="347E456C"/>
    <w:rsid w:val="352761F5"/>
    <w:rsid w:val="35EA1EB9"/>
    <w:rsid w:val="364D069A"/>
    <w:rsid w:val="36CD5A73"/>
    <w:rsid w:val="37AD6244"/>
    <w:rsid w:val="37C568B0"/>
    <w:rsid w:val="380A3FE7"/>
    <w:rsid w:val="381454F7"/>
    <w:rsid w:val="38370059"/>
    <w:rsid w:val="38404012"/>
    <w:rsid w:val="391159AF"/>
    <w:rsid w:val="396A7391"/>
    <w:rsid w:val="3A1A6AE5"/>
    <w:rsid w:val="3A2636DC"/>
    <w:rsid w:val="3ABB3E24"/>
    <w:rsid w:val="3BC136BC"/>
    <w:rsid w:val="3BDE4E43"/>
    <w:rsid w:val="3C2E0CC5"/>
    <w:rsid w:val="3CE33BBF"/>
    <w:rsid w:val="3DB2047D"/>
    <w:rsid w:val="3E141CB2"/>
    <w:rsid w:val="3E570EC6"/>
    <w:rsid w:val="3F283A52"/>
    <w:rsid w:val="3F6D1374"/>
    <w:rsid w:val="4024246B"/>
    <w:rsid w:val="40607ABC"/>
    <w:rsid w:val="40640ABA"/>
    <w:rsid w:val="413A60AB"/>
    <w:rsid w:val="44836A49"/>
    <w:rsid w:val="45AC718B"/>
    <w:rsid w:val="45ED50AE"/>
    <w:rsid w:val="45F95539"/>
    <w:rsid w:val="469E110E"/>
    <w:rsid w:val="46D149CF"/>
    <w:rsid w:val="479C6D8B"/>
    <w:rsid w:val="48364026"/>
    <w:rsid w:val="488241D3"/>
    <w:rsid w:val="49A60395"/>
    <w:rsid w:val="49D62A28"/>
    <w:rsid w:val="4A9C1907"/>
    <w:rsid w:val="4AF97CB6"/>
    <w:rsid w:val="4B6C4CC7"/>
    <w:rsid w:val="4BCB40E3"/>
    <w:rsid w:val="4BE5617B"/>
    <w:rsid w:val="4CA330E7"/>
    <w:rsid w:val="4CB07713"/>
    <w:rsid w:val="4CCD0706"/>
    <w:rsid w:val="4CF5766A"/>
    <w:rsid w:val="4CF87DD7"/>
    <w:rsid w:val="4DE84AD8"/>
    <w:rsid w:val="4E70527E"/>
    <w:rsid w:val="4E9B4F76"/>
    <w:rsid w:val="4EA10947"/>
    <w:rsid w:val="4F700B2E"/>
    <w:rsid w:val="509A1A07"/>
    <w:rsid w:val="51120D76"/>
    <w:rsid w:val="528E29ED"/>
    <w:rsid w:val="52901F11"/>
    <w:rsid w:val="529B480F"/>
    <w:rsid w:val="52F83F51"/>
    <w:rsid w:val="530C74BB"/>
    <w:rsid w:val="53121B8E"/>
    <w:rsid w:val="536F17F8"/>
    <w:rsid w:val="53C47D96"/>
    <w:rsid w:val="548B08B3"/>
    <w:rsid w:val="54B6171E"/>
    <w:rsid w:val="55200C41"/>
    <w:rsid w:val="55706356"/>
    <w:rsid w:val="55D30AF4"/>
    <w:rsid w:val="565F4ABA"/>
    <w:rsid w:val="568961D0"/>
    <w:rsid w:val="5733709E"/>
    <w:rsid w:val="574A05B2"/>
    <w:rsid w:val="574A1CB5"/>
    <w:rsid w:val="579059CE"/>
    <w:rsid w:val="57C36037"/>
    <w:rsid w:val="57C55E8A"/>
    <w:rsid w:val="57F66416"/>
    <w:rsid w:val="584F2B32"/>
    <w:rsid w:val="58937570"/>
    <w:rsid w:val="58DF2F7C"/>
    <w:rsid w:val="5A183E5F"/>
    <w:rsid w:val="5AF8598C"/>
    <w:rsid w:val="5B1213E7"/>
    <w:rsid w:val="5B231A45"/>
    <w:rsid w:val="5BB3149D"/>
    <w:rsid w:val="5C594DF3"/>
    <w:rsid w:val="5C6202FE"/>
    <w:rsid w:val="5D0766E2"/>
    <w:rsid w:val="5D5B20F3"/>
    <w:rsid w:val="5D5F7676"/>
    <w:rsid w:val="5DAB3A7E"/>
    <w:rsid w:val="5DC46F3E"/>
    <w:rsid w:val="5E525F9E"/>
    <w:rsid w:val="5E58282F"/>
    <w:rsid w:val="5E9216C5"/>
    <w:rsid w:val="5EC23ABB"/>
    <w:rsid w:val="5ECC67C9"/>
    <w:rsid w:val="5F075202"/>
    <w:rsid w:val="5F571ABE"/>
    <w:rsid w:val="5FA31F5D"/>
    <w:rsid w:val="5FF852C4"/>
    <w:rsid w:val="608D6F8C"/>
    <w:rsid w:val="60A54AAB"/>
    <w:rsid w:val="60B06A3A"/>
    <w:rsid w:val="60C8402D"/>
    <w:rsid w:val="62031A89"/>
    <w:rsid w:val="62061579"/>
    <w:rsid w:val="621C6FEF"/>
    <w:rsid w:val="62E775FD"/>
    <w:rsid w:val="62EA49F7"/>
    <w:rsid w:val="633B400F"/>
    <w:rsid w:val="63634DBE"/>
    <w:rsid w:val="63F91396"/>
    <w:rsid w:val="645962D8"/>
    <w:rsid w:val="64942E0C"/>
    <w:rsid w:val="65683BA3"/>
    <w:rsid w:val="65D900EA"/>
    <w:rsid w:val="6614650E"/>
    <w:rsid w:val="66A90E26"/>
    <w:rsid w:val="68332C5A"/>
    <w:rsid w:val="68886757"/>
    <w:rsid w:val="690B6A33"/>
    <w:rsid w:val="6B0F149F"/>
    <w:rsid w:val="6B1D49E9"/>
    <w:rsid w:val="6C663340"/>
    <w:rsid w:val="6CCA5F8C"/>
    <w:rsid w:val="6D2A25C0"/>
    <w:rsid w:val="6D5D0BE7"/>
    <w:rsid w:val="6D61071B"/>
    <w:rsid w:val="6D9863E0"/>
    <w:rsid w:val="6E42305D"/>
    <w:rsid w:val="6F286276"/>
    <w:rsid w:val="6F413BF1"/>
    <w:rsid w:val="6F433E0D"/>
    <w:rsid w:val="6F490CF7"/>
    <w:rsid w:val="6F491DD6"/>
    <w:rsid w:val="6FA7189D"/>
    <w:rsid w:val="6FC54822"/>
    <w:rsid w:val="6FD21F6F"/>
    <w:rsid w:val="70301438"/>
    <w:rsid w:val="70CC398E"/>
    <w:rsid w:val="70EF3AEB"/>
    <w:rsid w:val="71266A01"/>
    <w:rsid w:val="716D2988"/>
    <w:rsid w:val="72801080"/>
    <w:rsid w:val="72A262B6"/>
    <w:rsid w:val="72B34E05"/>
    <w:rsid w:val="72C74D55"/>
    <w:rsid w:val="72CD743C"/>
    <w:rsid w:val="735A02FF"/>
    <w:rsid w:val="73644F94"/>
    <w:rsid w:val="73777E96"/>
    <w:rsid w:val="739E1612"/>
    <w:rsid w:val="74F160B9"/>
    <w:rsid w:val="76790114"/>
    <w:rsid w:val="767A253F"/>
    <w:rsid w:val="76E23F0B"/>
    <w:rsid w:val="77D2097C"/>
    <w:rsid w:val="78281DF2"/>
    <w:rsid w:val="785C061A"/>
    <w:rsid w:val="78743289"/>
    <w:rsid w:val="7932248D"/>
    <w:rsid w:val="79366790"/>
    <w:rsid w:val="79E077E8"/>
    <w:rsid w:val="7A416DDF"/>
    <w:rsid w:val="7A6D7F90"/>
    <w:rsid w:val="7A97325F"/>
    <w:rsid w:val="7BBC35D3"/>
    <w:rsid w:val="7C023E77"/>
    <w:rsid w:val="7C232FFC"/>
    <w:rsid w:val="7C8415C1"/>
    <w:rsid w:val="7DDD71DA"/>
    <w:rsid w:val="7E114FDF"/>
    <w:rsid w:val="7E171E3C"/>
    <w:rsid w:val="7E3E26F6"/>
    <w:rsid w:val="7F51685D"/>
    <w:rsid w:val="7F8C2C66"/>
    <w:rsid w:val="7F945FBF"/>
    <w:rsid w:val="7FAE00C1"/>
    <w:rsid w:val="7FBD0A47"/>
    <w:rsid w:val="FED6F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460" w:lineRule="exact"/>
    </w:pPr>
    <w:rPr>
      <w:rFonts w:ascii="宋体" w:hAnsi="宋体" w:eastAsia="宋体"/>
      <w:sz w:val="21"/>
    </w:rPr>
  </w:style>
  <w:style w:type="paragraph" w:styleId="4">
    <w:name w:val="toc 5"/>
    <w:basedOn w:val="1"/>
    <w:next w:val="1"/>
    <w:qFormat/>
    <w:uiPriority w:val="0"/>
    <w:pPr>
      <w:ind w:left="840"/>
      <w:jc w:val="left"/>
    </w:pPr>
    <w:rPr>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9">
    <w:name w:val="表格文字"/>
    <w:basedOn w:val="1"/>
    <w:qFormat/>
    <w:uiPriority w:val="0"/>
    <w:pPr>
      <w:spacing w:before="25" w:beforeLines="0" w:after="25" w:afterLines="0"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1884</Words>
  <Characters>1935</Characters>
  <Lines>0</Lines>
  <Paragraphs>0</Paragraphs>
  <TotalTime>6</TotalTime>
  <ScaleCrop>false</ScaleCrop>
  <LinksUpToDate>false</LinksUpToDate>
  <CharactersWithSpaces>1954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2024-07-26T16:44:00Z</dcterms:created>
  <dc:creator>Administrator</dc:creator>
  <cp:lastModifiedBy>Mitty</cp:lastModifiedBy>
  <dcterms:modified xsi:type="dcterms:W3CDTF">2025-10-20T02:58:52Z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4F1133552B564FCC84811C1CD6B6ADA8_13</vt:lpwstr>
  </property>
  <property fmtid="{D5CDD505-2E9C-101B-9397-08002B2CF9AE}" pid="4" name="KSOTemplateDocerSaveRecord">
    <vt:lpwstr>eyJoZGlkIjoiMjAyNDk0OTM5ZjE2MDUwMDJiMWIwZGQwMjQwZjRmZDAiLCJ1c2VySWQiOiI0NDc4NzM5NzgifQ==</vt:lpwstr>
  </property>
</Properties>
</file>