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Calibri" w:hAnsi="Calibri" w:eastAsia="宋体" w:cs="Times New Roman"/>
          <w:b/>
          <w:sz w:val="28"/>
          <w:szCs w:val="28"/>
        </w:rPr>
      </w:pPr>
      <w:r>
        <w:rPr>
          <w:rFonts w:hint="eastAsia" w:ascii="Calibri" w:hAnsi="Calibri" w:eastAsia="宋体" w:cs="Times New Roman"/>
          <w:b/>
          <w:sz w:val="28"/>
          <w:szCs w:val="28"/>
        </w:rPr>
        <w:t>附件</w:t>
      </w:r>
      <w:r>
        <w:rPr>
          <w:rFonts w:hint="eastAsia" w:asciiTheme="minorEastAsia" w:hAnsiTheme="minorEastAsia" w:cstheme="minorEastAsia"/>
          <w:b/>
          <w:sz w:val="28"/>
          <w:szCs w:val="28"/>
        </w:rPr>
        <w:t>1</w:t>
      </w:r>
      <w:r>
        <w:rPr>
          <w:rFonts w:hint="eastAsia" w:ascii="Calibri" w:hAnsi="Calibri" w:eastAsia="宋体" w:cs="Times New Roman"/>
          <w:b/>
          <w:sz w:val="28"/>
          <w:szCs w:val="28"/>
        </w:rPr>
        <w:t>：</w:t>
      </w:r>
    </w:p>
    <w:p>
      <w:pPr>
        <w:spacing w:line="560" w:lineRule="exact"/>
        <w:jc w:val="center"/>
      </w:pPr>
      <w:r>
        <w:rPr>
          <w:rFonts w:hint="eastAsia" w:ascii="Calibri" w:hAnsi="Calibri" w:eastAsia="宋体" w:cs="Times New Roman"/>
          <w:b/>
          <w:sz w:val="36"/>
          <w:szCs w:val="36"/>
        </w:rPr>
        <w:t>用户需求书</w:t>
      </w:r>
    </w:p>
    <w:p>
      <w:pPr>
        <w:pStyle w:val="2"/>
        <w:rPr>
          <w:rFonts w:hint="eastAsia"/>
          <w:lang w:val="en-US" w:eastAsia="zh-CN"/>
        </w:rPr>
      </w:pPr>
    </w:p>
    <w:p>
      <w:pPr>
        <w:pStyle w:val="15"/>
        <w:ind w:firstLine="0" w:firstLineChars="0"/>
        <w:rPr>
          <w:b/>
          <w:color w:val="auto"/>
          <w:highlight w:val="none"/>
        </w:rPr>
      </w:pPr>
      <w:r>
        <w:rPr>
          <w:rFonts w:hint="eastAsia"/>
          <w:b/>
          <w:color w:val="auto"/>
          <w:highlight w:val="none"/>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kern w:val="2"/>
          <w:sz w:val="36"/>
          <w:szCs w:val="36"/>
          <w:lang w:val="en-US" w:eastAsia="zh-CN" w:bidi="ar-SA"/>
        </w:rPr>
      </w:pPr>
      <w:r>
        <w:rPr>
          <w:rFonts w:hint="eastAsia"/>
          <w:color w:val="auto"/>
          <w:highlight w:val="none"/>
        </w:rPr>
        <w:t>1、《用户需求书》中凡有“★”标识的内容条款(如有)被视为实质性响应项目、指标；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w:t>
      </w:r>
    </w:p>
    <w:p>
      <w:pPr>
        <w:widowControl w:val="0"/>
        <w:spacing w:beforeLines="0" w:after="0" w:line="360" w:lineRule="auto"/>
        <w:ind w:firstLine="0" w:firstLineChars="0"/>
        <w:jc w:val="left"/>
        <w:rPr>
          <w:rFonts w:hint="eastAsia" w:ascii="Times New Roman" w:hAnsi="Times New Roman" w:eastAsia="宋体" w:cs="Times New Roman"/>
          <w:b/>
          <w:bCs w:val="0"/>
          <w:color w:val="auto"/>
          <w:kern w:val="2"/>
          <w:sz w:val="24"/>
          <w:szCs w:val="24"/>
          <w:highlight w:val="none"/>
          <w:lang w:val="zh-CN" w:eastAsia="zh-CN" w:bidi="ar-SA"/>
        </w:rPr>
      </w:pPr>
      <w:r>
        <w:rPr>
          <w:rFonts w:hint="eastAsia" w:ascii="Times New Roman" w:hAnsi="Times New Roman" w:eastAsia="宋体" w:cs="Times New Roman"/>
          <w:b/>
          <w:bCs w:val="0"/>
          <w:color w:val="auto"/>
          <w:kern w:val="2"/>
          <w:sz w:val="24"/>
          <w:szCs w:val="24"/>
          <w:highlight w:val="none"/>
          <w:lang w:val="zh-CN" w:eastAsia="zh-CN" w:bidi="ar-SA"/>
        </w:rPr>
        <w:t>一、项目名称：中山市黄圃人民医院制剂科粉碎机采购项目。</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b/>
          <w:bCs w:val="0"/>
          <w:color w:val="auto"/>
          <w:kern w:val="2"/>
          <w:sz w:val="24"/>
          <w:szCs w:val="24"/>
          <w:highlight w:val="none"/>
          <w:lang w:val="zh-CN" w:eastAsia="zh-CN" w:bidi="ar-SA"/>
        </w:rPr>
      </w:pPr>
      <w:r>
        <w:rPr>
          <w:rFonts w:hint="eastAsia" w:ascii="Times New Roman" w:hAnsi="Times New Roman" w:eastAsia="宋体" w:cs="Times New Roman"/>
          <w:b/>
          <w:bCs w:val="0"/>
          <w:color w:val="auto"/>
          <w:kern w:val="2"/>
          <w:sz w:val="24"/>
          <w:szCs w:val="24"/>
          <w:highlight w:val="none"/>
          <w:lang w:val="zh-CN" w:eastAsia="zh-CN" w:bidi="ar-SA"/>
        </w:rPr>
        <w:t>二、项目内容及要求：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(一)采购内容：</w:t>
      </w:r>
    </w:p>
    <w:tbl>
      <w:tblPr>
        <w:tblStyle w:val="8"/>
        <w:tblW w:w="83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600"/>
        <w:gridCol w:w="600"/>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4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货物名称</w:t>
            </w:r>
          </w:p>
        </w:tc>
        <w:tc>
          <w:tcPr>
            <w:tcW w:w="60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数量</w:t>
            </w:r>
          </w:p>
        </w:tc>
        <w:tc>
          <w:tcPr>
            <w:tcW w:w="60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单位</w:t>
            </w:r>
          </w:p>
        </w:tc>
        <w:tc>
          <w:tcPr>
            <w:tcW w:w="6031"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cs="宋体"/>
                <w:b/>
                <w:bCs/>
                <w:color w:val="auto"/>
                <w:sz w:val="24"/>
                <w:szCs w:val="24"/>
                <w:lang w:eastAsia="zh-CN"/>
              </w:rPr>
            </w:pPr>
            <w:r>
              <w:rPr>
                <w:rFonts w:hint="eastAsia" w:ascii="宋体" w:hAnsi="宋体" w:cs="宋体"/>
                <w:b/>
                <w:bCs/>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5"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cs="宋体"/>
                <w:color w:val="auto"/>
                <w:sz w:val="24"/>
                <w:szCs w:val="24"/>
                <w:lang w:val="en-US" w:eastAsia="zh-CN"/>
              </w:rPr>
            </w:pPr>
            <w:r>
              <w:rPr>
                <w:rFonts w:hint="eastAsia" w:asciiTheme="minorHAnsi" w:hAnsiTheme="minorHAnsi" w:cstheme="minorBidi"/>
                <w:color w:val="auto"/>
                <w:kern w:val="2"/>
                <w:sz w:val="21"/>
                <w:szCs w:val="21"/>
                <w:lang w:eastAsia="zh-CN"/>
              </w:rPr>
              <w:t>粉碎机</w:t>
            </w:r>
          </w:p>
        </w:tc>
        <w:tc>
          <w:tcPr>
            <w:tcW w:w="60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widowControl/>
              <w:kinsoku/>
              <w:overflowPunct/>
              <w:topLinePunct w:val="0"/>
              <w:bidi w:val="0"/>
              <w:adjustRightInd w:val="0"/>
              <w:snapToGrid w:val="0"/>
              <w:spacing w:line="360" w:lineRule="auto"/>
              <w:ind w:right="0" w:rightChars="0"/>
              <w:jc w:val="center"/>
              <w:rPr>
                <w:rFonts w:hint="eastAsia" w:ascii="宋体" w:hAnsi="宋体" w:eastAsia="宋体" w:cs="宋体"/>
                <w:color w:val="auto"/>
                <w:sz w:val="24"/>
                <w:szCs w:val="24"/>
                <w:highlight w:val="none"/>
                <w:lang w:eastAsia="zh-CN"/>
              </w:rPr>
            </w:pPr>
            <w:r>
              <w:rPr>
                <w:rFonts w:hint="eastAsia" w:asciiTheme="minorHAnsi" w:hAnsiTheme="minorHAnsi" w:eastAsiaTheme="minorEastAsia" w:cstheme="minorBidi"/>
                <w:color w:val="auto"/>
                <w:kern w:val="2"/>
                <w:sz w:val="21"/>
                <w:szCs w:val="21"/>
                <w:highlight w:val="none"/>
                <w:lang w:val="en-US" w:eastAsia="zh-CN"/>
              </w:rPr>
              <w:t>1</w:t>
            </w:r>
          </w:p>
        </w:tc>
        <w:tc>
          <w:tcPr>
            <w:tcW w:w="600" w:type="dxa"/>
            <w:tcBorders>
              <w:top w:val="single" w:color="auto" w:sz="4" w:space="0"/>
              <w:left w:val="single" w:color="auto" w:sz="4" w:space="0"/>
              <w:bottom w:val="single" w:color="auto" w:sz="4" w:space="0"/>
              <w:right w:val="single" w:color="auto" w:sz="4" w:space="0"/>
            </w:tcBorders>
            <w:vAlign w:val="center"/>
          </w:tcPr>
          <w:p>
            <w:pPr>
              <w:pStyle w:val="16"/>
              <w:keepNext w:val="0"/>
              <w:keepLines w:val="0"/>
              <w:pageBreakBefore w:val="0"/>
              <w:kinsoku/>
              <w:overflowPunct/>
              <w:topLinePunct w:val="0"/>
              <w:bidi w:val="0"/>
              <w:adjustRightInd w:val="0"/>
              <w:snapToGrid w:val="0"/>
              <w:spacing w:line="360" w:lineRule="auto"/>
              <w:ind w:right="0" w:rightChars="0"/>
              <w:jc w:val="center"/>
              <w:rPr>
                <w:rFonts w:hint="eastAsia" w:ascii="宋体" w:hAnsi="宋体" w:eastAsia="宋体" w:cs="宋体"/>
                <w:color w:val="auto"/>
                <w:sz w:val="24"/>
                <w:szCs w:val="24"/>
                <w:highlight w:val="none"/>
                <w:lang w:val="en-US" w:eastAsia="zh-CN"/>
              </w:rPr>
            </w:pPr>
            <w:r>
              <w:rPr>
                <w:rFonts w:hint="eastAsia" w:asciiTheme="minorHAnsi" w:hAnsiTheme="minorHAnsi" w:eastAsiaTheme="minorEastAsia" w:cstheme="minorBidi"/>
                <w:color w:val="auto"/>
                <w:kern w:val="2"/>
                <w:sz w:val="21"/>
                <w:szCs w:val="21"/>
                <w:highlight w:val="none"/>
                <w:lang w:eastAsia="zh-CN"/>
              </w:rPr>
              <w:t>台</w:t>
            </w:r>
          </w:p>
        </w:tc>
        <w:tc>
          <w:tcPr>
            <w:tcW w:w="603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szCs w:val="21"/>
                <w:lang w:val="en-US" w:eastAsia="zh-CN"/>
              </w:rPr>
            </w:pPr>
            <w:r>
              <w:rPr>
                <w:rFonts w:hint="eastAsia"/>
                <w:color w:val="auto"/>
                <w:highlight w:val="none"/>
              </w:rPr>
              <w:t>★</w:t>
            </w:r>
            <w:r>
              <w:rPr>
                <w:rFonts w:hint="eastAsia"/>
                <w:color w:val="auto"/>
                <w:highlight w:val="none"/>
                <w:lang w:val="en-US" w:eastAsia="zh-CN"/>
              </w:rPr>
              <w:t>1.</w:t>
            </w:r>
            <w:r>
              <w:rPr>
                <w:rFonts w:hint="eastAsia"/>
                <w:szCs w:val="21"/>
                <w:lang w:val="en-US" w:eastAsia="zh-CN"/>
              </w:rPr>
              <w:t>材质：不锈钢</w:t>
            </w:r>
            <w:r>
              <w:rPr>
                <w:szCs w:val="21"/>
              </w:rPr>
              <w:t>304</w:t>
            </w:r>
            <w:r>
              <w:rPr>
                <w:rFonts w:hint="eastAsia"/>
                <w:szCs w:val="21"/>
                <w:lang w:val="en-US" w:eastAsia="zh-CN"/>
              </w:rPr>
              <w:t>级别且符合</w:t>
            </w:r>
            <w:r>
              <w:rPr>
                <w:rFonts w:hint="eastAsia"/>
                <w:szCs w:val="21"/>
              </w:rPr>
              <w:t>于制药行业的物料粉碎，</w:t>
            </w:r>
            <w:r>
              <w:rPr>
                <w:rFonts w:hint="eastAsia"/>
                <w:szCs w:val="21"/>
                <w:lang w:val="en-US" w:eastAsia="zh-CN"/>
              </w:rPr>
              <w:t>具有</w:t>
            </w:r>
            <w:r>
              <w:rPr>
                <w:rFonts w:hint="eastAsia"/>
                <w:szCs w:val="21"/>
              </w:rPr>
              <w:t>粉碎与吸尘</w:t>
            </w:r>
            <w:r>
              <w:rPr>
                <w:rFonts w:hint="eastAsia"/>
                <w:szCs w:val="21"/>
                <w:lang w:val="en-US" w:eastAsia="zh-CN"/>
              </w:rPr>
              <w:t>功能,</w:t>
            </w:r>
            <w:r>
              <w:rPr>
                <w:rFonts w:hint="eastAsia"/>
                <w:szCs w:val="21"/>
              </w:rPr>
              <w:t>除尘效率</w:t>
            </w:r>
            <w:r>
              <w:rPr>
                <w:rFonts w:hint="eastAsia"/>
                <w:szCs w:val="21"/>
                <w:lang w:eastAsia="zh-CN"/>
              </w:rPr>
              <w:t>不</w:t>
            </w:r>
            <w:r>
              <w:rPr>
                <w:rFonts w:hint="eastAsia"/>
                <w:szCs w:val="21"/>
                <w:lang w:val="en-US" w:eastAsia="zh-CN"/>
              </w:rPr>
              <w:t>低于</w:t>
            </w:r>
            <w:r>
              <w:rPr>
                <w:rFonts w:hint="eastAsia"/>
                <w:szCs w:val="21"/>
              </w:rPr>
              <w:t>99.</w:t>
            </w:r>
            <w:r>
              <w:rPr>
                <w:rFonts w:hint="eastAsia"/>
                <w:szCs w:val="21"/>
                <w:lang w:val="en-US" w:eastAsia="zh-CN"/>
              </w:rPr>
              <w:t>0</w:t>
            </w:r>
            <w:r>
              <w:rPr>
                <w:rFonts w:hint="eastAsia"/>
                <w:szCs w:val="21"/>
              </w:rPr>
              <w:t>%</w:t>
            </w:r>
            <w:r>
              <w:rPr>
                <w:rFonts w:hint="eastAsia"/>
                <w:szCs w:val="21"/>
                <w:lang w:eastAsia="zh-CN"/>
              </w:rPr>
              <w:t>，</w:t>
            </w:r>
            <w:r>
              <w:rPr>
                <w:rFonts w:hint="eastAsia"/>
                <w:szCs w:val="21"/>
              </w:rPr>
              <w:t>电源</w:t>
            </w:r>
            <w:r>
              <w:rPr>
                <w:szCs w:val="21"/>
              </w:rPr>
              <w:t>380V</w:t>
            </w:r>
            <w:r>
              <w:rPr>
                <w:rFonts w:hint="eastAsia"/>
                <w:szCs w:val="21"/>
                <w:lang w:eastAsia="zh-CN"/>
              </w:rPr>
              <w:t>；</w:t>
            </w:r>
          </w:p>
          <w:p>
            <w:pPr>
              <w:spacing w:line="360" w:lineRule="auto"/>
              <w:rPr>
                <w:szCs w:val="21"/>
              </w:rPr>
            </w:pPr>
            <w:r>
              <w:rPr>
                <w:rFonts w:hint="eastAsia"/>
                <w:color w:val="auto"/>
                <w:highlight w:val="none"/>
              </w:rPr>
              <w:t>★</w:t>
            </w:r>
            <w:r>
              <w:rPr>
                <w:rFonts w:hint="eastAsia"/>
                <w:szCs w:val="21"/>
                <w:lang w:val="en-US" w:eastAsia="zh-CN"/>
              </w:rPr>
              <w:t>2.</w:t>
            </w:r>
            <w:r>
              <w:rPr>
                <w:rFonts w:hint="eastAsia"/>
                <w:szCs w:val="21"/>
              </w:rPr>
              <w:t>主电机</w:t>
            </w:r>
            <w:r>
              <w:rPr>
                <w:rFonts w:hint="eastAsia"/>
                <w:szCs w:val="21"/>
                <w:lang w:val="en-US" w:eastAsia="zh-CN"/>
              </w:rPr>
              <w:t>不低于：</w:t>
            </w:r>
            <w:r>
              <w:rPr>
                <w:szCs w:val="21"/>
              </w:rPr>
              <w:t>7.5KW</w:t>
            </w:r>
            <w:r>
              <w:rPr>
                <w:szCs w:val="21"/>
              </w:rPr>
              <w:tab/>
            </w:r>
            <w:r>
              <w:rPr>
                <w:rFonts w:hint="eastAsia"/>
                <w:szCs w:val="21"/>
                <w:lang w:eastAsia="zh-CN"/>
              </w:rPr>
              <w:t>；</w:t>
            </w:r>
            <w:r>
              <w:rPr>
                <w:szCs w:val="21"/>
              </w:rPr>
              <w:t xml:space="preserve"> </w:t>
            </w:r>
          </w:p>
          <w:p>
            <w:pPr>
              <w:spacing w:line="360" w:lineRule="auto"/>
              <w:rPr>
                <w:szCs w:val="21"/>
              </w:rPr>
            </w:pPr>
            <w:r>
              <w:rPr>
                <w:rFonts w:hint="eastAsia"/>
                <w:color w:val="auto"/>
                <w:highlight w:val="none"/>
              </w:rPr>
              <w:t>★</w:t>
            </w:r>
            <w:r>
              <w:rPr>
                <w:rFonts w:hint="eastAsia"/>
                <w:szCs w:val="21"/>
                <w:lang w:val="en-US" w:eastAsia="zh-CN"/>
              </w:rPr>
              <w:t>3.</w:t>
            </w:r>
            <w:r>
              <w:rPr>
                <w:rFonts w:hint="eastAsia"/>
                <w:szCs w:val="21"/>
              </w:rPr>
              <w:t>吸尘风机</w:t>
            </w:r>
            <w:r>
              <w:rPr>
                <w:rFonts w:hint="eastAsia"/>
                <w:szCs w:val="21"/>
                <w:lang w:val="en-US" w:eastAsia="zh-CN"/>
              </w:rPr>
              <w:t>不低于：</w:t>
            </w:r>
            <w:r>
              <w:rPr>
                <w:szCs w:val="21"/>
              </w:rPr>
              <w:t>1.5KW</w:t>
            </w:r>
            <w:r>
              <w:rPr>
                <w:rFonts w:hint="eastAsia"/>
                <w:szCs w:val="21"/>
                <w:lang w:eastAsia="zh-CN"/>
              </w:rPr>
              <w:t>；</w:t>
            </w:r>
            <w:r>
              <w:rPr>
                <w:szCs w:val="21"/>
              </w:rPr>
              <w:tab/>
            </w:r>
          </w:p>
          <w:p>
            <w:pPr>
              <w:spacing w:line="360" w:lineRule="auto"/>
              <w:rPr>
                <w:rFonts w:hint="eastAsia"/>
                <w:szCs w:val="21"/>
                <w:lang w:eastAsia="zh-CN"/>
              </w:rPr>
            </w:pPr>
            <w:r>
              <w:rPr>
                <w:rFonts w:hint="eastAsia"/>
                <w:color w:val="auto"/>
                <w:highlight w:val="none"/>
              </w:rPr>
              <w:t>★</w:t>
            </w:r>
            <w:r>
              <w:rPr>
                <w:rFonts w:hint="eastAsia"/>
                <w:szCs w:val="21"/>
                <w:lang w:val="en-US" w:eastAsia="zh-CN"/>
              </w:rPr>
              <w:t>4.</w:t>
            </w:r>
            <w:r>
              <w:rPr>
                <w:rFonts w:hint="eastAsia"/>
                <w:szCs w:val="21"/>
              </w:rPr>
              <w:t>主轴转速</w:t>
            </w:r>
            <w:r>
              <w:rPr>
                <w:rFonts w:hint="eastAsia"/>
                <w:szCs w:val="21"/>
                <w:lang w:val="en-US" w:eastAsia="zh-CN"/>
              </w:rPr>
              <w:t>不少于</w:t>
            </w:r>
            <w:r>
              <w:rPr>
                <w:rFonts w:hint="eastAsia"/>
                <w:szCs w:val="21"/>
              </w:rPr>
              <w:t>：</w:t>
            </w:r>
            <w:r>
              <w:rPr>
                <w:szCs w:val="21"/>
              </w:rPr>
              <w:t>3800r/min</w:t>
            </w:r>
            <w:r>
              <w:rPr>
                <w:rFonts w:hint="eastAsia"/>
                <w:szCs w:val="21"/>
                <w:lang w:eastAsia="zh-CN"/>
              </w:rPr>
              <w:t>；</w:t>
            </w:r>
          </w:p>
          <w:p>
            <w:pPr>
              <w:spacing w:line="360" w:lineRule="auto"/>
              <w:rPr>
                <w:rFonts w:hint="eastAsia"/>
                <w:szCs w:val="21"/>
                <w:lang w:eastAsia="zh-CN"/>
              </w:rPr>
            </w:pPr>
            <w:r>
              <w:rPr>
                <w:rFonts w:hint="eastAsia"/>
                <w:color w:val="auto"/>
                <w:highlight w:val="none"/>
              </w:rPr>
              <w:t>★</w:t>
            </w:r>
            <w:r>
              <w:rPr>
                <w:szCs w:val="21"/>
              </w:rPr>
              <w:t>4</w:t>
            </w:r>
            <w:r>
              <w:rPr>
                <w:rFonts w:hint="eastAsia"/>
                <w:szCs w:val="21"/>
                <w:lang w:val="en-US" w:eastAsia="zh-CN"/>
              </w:rPr>
              <w:t>.</w:t>
            </w:r>
            <w:r>
              <w:rPr>
                <w:rFonts w:hint="eastAsia"/>
                <w:szCs w:val="21"/>
              </w:rPr>
              <w:t>生产能力：</w:t>
            </w:r>
            <w:r>
              <w:rPr>
                <w:szCs w:val="21"/>
              </w:rPr>
              <w:t>160-800kg/H</w:t>
            </w:r>
            <w:r>
              <w:rPr>
                <w:rFonts w:hint="eastAsia"/>
                <w:szCs w:val="21"/>
                <w:lang w:eastAsia="zh-CN"/>
              </w:rPr>
              <w:t>；</w:t>
            </w:r>
          </w:p>
          <w:p>
            <w:pPr>
              <w:spacing w:line="360" w:lineRule="auto"/>
              <w:rPr>
                <w:szCs w:val="21"/>
              </w:rPr>
            </w:pPr>
            <w:r>
              <w:rPr>
                <w:rFonts w:hint="eastAsia"/>
                <w:color w:val="auto"/>
                <w:highlight w:val="none"/>
              </w:rPr>
              <w:t>★</w:t>
            </w:r>
            <w:r>
              <w:rPr>
                <w:rFonts w:hint="eastAsia"/>
                <w:szCs w:val="21"/>
                <w:lang w:val="en-US" w:eastAsia="zh-CN"/>
              </w:rPr>
              <w:t>5.</w:t>
            </w:r>
            <w:r>
              <w:rPr>
                <w:rFonts w:hint="eastAsia"/>
                <w:szCs w:val="21"/>
              </w:rPr>
              <w:t>粉碎</w:t>
            </w:r>
            <w:r>
              <w:rPr>
                <w:rFonts w:hint="eastAsia"/>
                <w:szCs w:val="21"/>
                <w:lang w:val="en-US" w:eastAsia="zh-CN"/>
              </w:rPr>
              <w:t>范围</w:t>
            </w:r>
            <w:r>
              <w:rPr>
                <w:rFonts w:hint="eastAsia"/>
                <w:szCs w:val="21"/>
              </w:rPr>
              <w:t>：1</w:t>
            </w:r>
            <w:r>
              <w:rPr>
                <w:szCs w:val="21"/>
              </w:rPr>
              <w:t>0-120</w:t>
            </w:r>
            <w:r>
              <w:rPr>
                <w:rFonts w:hint="eastAsia"/>
                <w:szCs w:val="21"/>
              </w:rPr>
              <w:t>目</w:t>
            </w:r>
            <w:r>
              <w:rPr>
                <w:rFonts w:hint="eastAsia"/>
                <w:szCs w:val="21"/>
                <w:lang w:eastAsia="zh-CN"/>
              </w:rPr>
              <w:t>；</w:t>
            </w:r>
          </w:p>
          <w:p>
            <w:pPr>
              <w:pStyle w:val="16"/>
              <w:keepNext w:val="0"/>
              <w:keepLines w:val="0"/>
              <w:pageBreakBefore w:val="0"/>
              <w:widowControl/>
              <w:kinsoku/>
              <w:overflowPunct/>
              <w:topLinePunct w:val="0"/>
              <w:bidi w:val="0"/>
              <w:adjustRightInd/>
              <w:snapToGrid/>
              <w:spacing w:line="360" w:lineRule="auto"/>
              <w:ind w:right="0" w:rightChars="0"/>
              <w:jc w:val="left"/>
              <w:rPr>
                <w:rFonts w:hint="eastAsia" w:ascii="宋体" w:hAnsi="宋体" w:cs="宋体"/>
                <w:color w:val="auto"/>
                <w:sz w:val="24"/>
                <w:szCs w:val="24"/>
                <w:lang w:eastAsia="zh-CN"/>
              </w:rPr>
            </w:pPr>
            <w:r>
              <w:rPr>
                <w:rFonts w:hint="eastAsia"/>
                <w:color w:val="auto"/>
                <w:highlight w:val="none"/>
              </w:rPr>
              <w:t>★</w:t>
            </w:r>
            <w:r>
              <w:rPr>
                <w:rFonts w:hint="eastAsia"/>
                <w:szCs w:val="21"/>
                <w:lang w:val="en-US" w:eastAsia="zh-CN"/>
              </w:rPr>
              <w:t>6.</w:t>
            </w:r>
            <w:r>
              <w:rPr>
                <w:rFonts w:hint="eastAsia"/>
                <w:szCs w:val="21"/>
              </w:rPr>
              <w:t>外型尺寸：</w:t>
            </w:r>
            <w:r>
              <w:rPr>
                <w:rFonts w:hint="eastAsia"/>
                <w:szCs w:val="21"/>
                <w:lang w:val="en-US" w:eastAsia="zh-CN"/>
              </w:rPr>
              <w:t>宽不大于8</w:t>
            </w:r>
            <w:r>
              <w:rPr>
                <w:szCs w:val="21"/>
              </w:rPr>
              <w:t>00</w:t>
            </w:r>
            <w:r>
              <w:rPr>
                <w:rFonts w:hint="eastAsia"/>
                <w:szCs w:val="21"/>
                <w:lang w:val="en-US" w:eastAsia="zh-CN"/>
              </w:rPr>
              <w:t>cm</w:t>
            </w:r>
            <w:r>
              <w:rPr>
                <w:rFonts w:hint="eastAsia"/>
                <w:szCs w:val="21"/>
                <w:lang w:eastAsia="zh-CN"/>
              </w:rPr>
              <w:t>，</w:t>
            </w:r>
            <w:r>
              <w:rPr>
                <w:rFonts w:hint="eastAsia"/>
                <w:szCs w:val="21"/>
                <w:lang w:val="en-US" w:eastAsia="zh-CN"/>
              </w:rPr>
              <w:t>高不大于</w:t>
            </w:r>
            <w:r>
              <w:rPr>
                <w:szCs w:val="21"/>
              </w:rPr>
              <w:t>1</w:t>
            </w:r>
            <w:r>
              <w:rPr>
                <w:rFonts w:hint="eastAsia"/>
                <w:szCs w:val="21"/>
                <w:lang w:val="en-US" w:eastAsia="zh-CN"/>
              </w:rPr>
              <w:t>8</w:t>
            </w:r>
            <w:r>
              <w:rPr>
                <w:szCs w:val="21"/>
              </w:rPr>
              <w:t>00</w:t>
            </w:r>
            <w:r>
              <w:rPr>
                <w:rFonts w:hint="eastAsia"/>
                <w:szCs w:val="21"/>
                <w:lang w:val="en-US" w:eastAsia="zh-CN"/>
              </w:rPr>
              <w:t>cm，长不大于2000cm。</w:t>
            </w:r>
          </w:p>
        </w:tc>
      </w:tr>
    </w:tbl>
    <w:p>
      <w:pPr>
        <w:widowControl w:val="0"/>
        <w:spacing w:line="360" w:lineRule="auto"/>
        <w:ind w:firstLine="0" w:firstLineChars="0"/>
        <w:jc w:val="both"/>
        <w:rPr>
          <w:rFonts w:hint="eastAsia" w:ascii="Times New Roman" w:hAnsi="Times New Roman" w:eastAsia="宋体" w:cs="Times New Roman"/>
          <w:b/>
          <w:bCs w:val="0"/>
          <w:color w:val="auto"/>
          <w:sz w:val="24"/>
          <w:szCs w:val="24"/>
          <w:highlight w:val="none"/>
          <w:lang w:val="zh-CN"/>
        </w:rPr>
      </w:pPr>
      <w:r>
        <w:rPr>
          <w:rFonts w:hint="eastAsia" w:ascii="Times New Roman" w:hAnsi="Times New Roman" w:eastAsia="宋体" w:cs="Times New Roman"/>
          <w:b/>
          <w:bCs w:val="0"/>
          <w:color w:val="auto"/>
          <w:sz w:val="24"/>
          <w:szCs w:val="24"/>
          <w:highlight w:val="none"/>
          <w:lang w:val="zh-CN" w:eastAsia="zh-CN"/>
        </w:rPr>
        <w:t>三</w:t>
      </w:r>
      <w:r>
        <w:rPr>
          <w:rFonts w:hint="eastAsia" w:ascii="Times New Roman" w:hAnsi="Times New Roman" w:eastAsia="宋体" w:cs="Times New Roman"/>
          <w:b/>
          <w:bCs w:val="0"/>
          <w:color w:val="auto"/>
          <w:sz w:val="24"/>
          <w:szCs w:val="24"/>
          <w:highlight w:val="none"/>
          <w:lang w:val="zh-CN"/>
        </w:rPr>
        <w:t>、报价说明</w:t>
      </w:r>
    </w:p>
    <w:p>
      <w:pPr>
        <w:spacing w:line="560" w:lineRule="exact"/>
        <w:ind w:firstLine="240" w:firstLineChars="100"/>
        <w:rPr>
          <w:rFonts w:hint="eastAsia" w:asciiTheme="minorEastAsia" w:hAnsiTheme="minorEastAsia" w:cstheme="minorEastAsia"/>
          <w:sz w:val="24"/>
          <w:szCs w:val="24"/>
        </w:rPr>
      </w:pPr>
      <w:r>
        <w:rPr>
          <w:rFonts w:hint="eastAsia" w:asciiTheme="minorEastAsia" w:hAnsiTheme="minorEastAsia" w:cstheme="minorEastAsia"/>
          <w:sz w:val="24"/>
          <w:szCs w:val="24"/>
          <w:lang w:eastAsia="zh-CN"/>
        </w:rPr>
        <w:t>（一）</w:t>
      </w:r>
      <w:r>
        <w:rPr>
          <w:rFonts w:hint="eastAsia" w:asciiTheme="minorEastAsia" w:hAnsiTheme="minorEastAsia" w:cstheme="minorEastAsia"/>
          <w:sz w:val="24"/>
          <w:szCs w:val="24"/>
        </w:rPr>
        <w:t>供应商的报价为包含本项目所需的一切费用，到货全包价、含税价，承担交货前的所有费用，包括但不限于运输费、途中保险费、装车费、途中损耗与损失费及货物运送至交货地点后的卸车费等及合同实施过程中的一切可预见和不可预见费用。</w:t>
      </w:r>
    </w:p>
    <w:p>
      <w:pPr>
        <w:widowControl/>
        <w:spacing w:line="5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eastAsia="zh-CN"/>
        </w:rPr>
        <w:t>（二）</w:t>
      </w:r>
      <w:r>
        <w:rPr>
          <w:rFonts w:hint="eastAsia" w:asciiTheme="minorEastAsia" w:hAnsiTheme="minorEastAsia" w:cstheme="minorEastAsia"/>
          <w:sz w:val="24"/>
          <w:szCs w:val="24"/>
        </w:rPr>
        <w:t>供应商须对所有内容进行报价，不得漏项，否则视为无效报价。</w:t>
      </w:r>
      <w:r>
        <w:rPr>
          <w:rFonts w:hint="eastAsia" w:asciiTheme="minorEastAsia" w:hAnsiTheme="minorEastAsia" w:cstheme="minorEastAsia"/>
          <w:b/>
          <w:bCs/>
          <w:sz w:val="24"/>
          <w:szCs w:val="24"/>
        </w:rPr>
        <w:t>（格式详见附件2）</w:t>
      </w:r>
    </w:p>
    <w:p>
      <w:pPr>
        <w:widowControl w:val="0"/>
        <w:spacing w:line="360" w:lineRule="auto"/>
        <w:ind w:left="0" w:leftChars="0" w:firstLine="0" w:firstLineChars="0"/>
        <w:jc w:val="both"/>
        <w:rPr>
          <w:rFonts w:hint="eastAsia" w:ascii="Times New Roman" w:hAnsi="Times New Roman" w:eastAsia="宋体" w:cs="Times New Roman"/>
          <w:b/>
          <w:bCs w:val="0"/>
          <w:color w:val="auto"/>
          <w:kern w:val="2"/>
          <w:sz w:val="24"/>
          <w:szCs w:val="24"/>
          <w:highlight w:val="none"/>
          <w:lang w:val="zh-CN"/>
        </w:rPr>
      </w:pPr>
      <w:r>
        <w:rPr>
          <w:rFonts w:hint="eastAsia" w:ascii="Times New Roman" w:hAnsi="Times New Roman" w:eastAsia="宋体" w:cs="Times New Roman"/>
          <w:b/>
          <w:bCs w:val="0"/>
          <w:color w:val="auto"/>
          <w:kern w:val="2"/>
          <w:sz w:val="24"/>
          <w:szCs w:val="24"/>
          <w:highlight w:val="none"/>
          <w:lang w:val="zh-CN" w:eastAsia="zh-CN"/>
        </w:rPr>
        <w:t>四</w:t>
      </w:r>
      <w:r>
        <w:rPr>
          <w:rFonts w:hint="eastAsia" w:ascii="Times New Roman" w:hAnsi="Times New Roman" w:eastAsia="宋体" w:cs="Times New Roman"/>
          <w:b/>
          <w:bCs w:val="0"/>
          <w:color w:val="auto"/>
          <w:kern w:val="2"/>
          <w:sz w:val="24"/>
          <w:szCs w:val="24"/>
          <w:highlight w:val="none"/>
          <w:lang w:val="zh-CN"/>
        </w:rPr>
        <w:t>、付款方式</w:t>
      </w:r>
    </w:p>
    <w:p>
      <w:pPr>
        <w:pStyle w:val="15"/>
        <w:pageBreakBefore w:val="0"/>
        <w:kinsoku/>
        <w:overflowPunct/>
        <w:bidi w:val="0"/>
        <w:spacing w:line="360" w:lineRule="auto"/>
        <w:ind w:left="0" w:leftChars="0" w:firstLine="480" w:firstLineChars="20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cstheme="minorEastAsia"/>
          <w:sz w:val="24"/>
          <w:szCs w:val="24"/>
          <w:lang w:eastAsia="zh-CN"/>
        </w:rPr>
        <w:t>（一）</w:t>
      </w:r>
      <w:r>
        <w:rPr>
          <w:rFonts w:hint="eastAsia" w:asciiTheme="minorEastAsia" w:hAnsiTheme="minorEastAsia" w:eastAsiaTheme="minorEastAsia" w:cstheme="minorEastAsia"/>
          <w:b w:val="0"/>
          <w:bCs w:val="0"/>
          <w:color w:val="auto"/>
          <w:kern w:val="2"/>
          <w:sz w:val="24"/>
          <w:szCs w:val="24"/>
          <w:highlight w:val="none"/>
          <w:lang w:val="en-US" w:eastAsia="zh-CN" w:bidi="ar-SA"/>
        </w:rPr>
        <w:t>本合同的款项以人民币</w:t>
      </w:r>
      <w:r>
        <w:rPr>
          <w:rFonts w:hint="eastAsia" w:asciiTheme="minorEastAsia" w:hAnsiTheme="minorEastAsia" w:cstheme="minorEastAsia"/>
          <w:b w:val="0"/>
          <w:bCs w:val="0"/>
          <w:color w:val="auto"/>
          <w:kern w:val="2"/>
          <w:sz w:val="24"/>
          <w:szCs w:val="24"/>
          <w:highlight w:val="none"/>
          <w:lang w:val="en-US" w:eastAsia="zh-CN" w:bidi="ar-SA"/>
        </w:rPr>
        <w:t>银行转账</w:t>
      </w:r>
      <w:r>
        <w:rPr>
          <w:rFonts w:hint="eastAsia" w:asciiTheme="minorEastAsia" w:hAnsiTheme="minorEastAsia" w:eastAsiaTheme="minorEastAsia" w:cstheme="minorEastAsia"/>
          <w:b w:val="0"/>
          <w:bCs w:val="0"/>
          <w:color w:val="auto"/>
          <w:kern w:val="2"/>
          <w:sz w:val="24"/>
          <w:szCs w:val="24"/>
          <w:highlight w:val="none"/>
          <w:lang w:val="en-US" w:eastAsia="zh-CN" w:bidi="ar-SA"/>
        </w:rPr>
        <w:t>方式支付；成交供应商在配送安装、验收完成后，采购人在收到成交供应商的验收单、发票</w:t>
      </w:r>
      <w:r>
        <w:rPr>
          <w:rFonts w:hint="eastAsia" w:asciiTheme="minorEastAsia" w:hAnsiTheme="minorEastAsia" w:cstheme="minorEastAsia"/>
          <w:b w:val="0"/>
          <w:bCs w:val="0"/>
          <w:color w:val="auto"/>
          <w:kern w:val="2"/>
          <w:sz w:val="24"/>
          <w:szCs w:val="24"/>
          <w:highlight w:val="none"/>
          <w:lang w:val="en-US" w:eastAsia="zh-CN" w:bidi="ar-SA"/>
        </w:rPr>
        <w:t>等资料</w:t>
      </w:r>
      <w:r>
        <w:rPr>
          <w:rFonts w:hint="eastAsia" w:asciiTheme="minorEastAsia" w:hAnsiTheme="minorEastAsia" w:eastAsiaTheme="minorEastAsia" w:cstheme="minorEastAsia"/>
          <w:b w:val="0"/>
          <w:bCs w:val="0"/>
          <w:color w:val="auto"/>
          <w:kern w:val="2"/>
          <w:sz w:val="24"/>
          <w:szCs w:val="24"/>
          <w:highlight w:val="none"/>
          <w:lang w:val="en-US" w:eastAsia="zh-CN" w:bidi="ar-SA"/>
        </w:rPr>
        <w:t>且核对无误后60天内向成交供应商支付款项；因采购人使用的是财政资金，申请汇款审批之日视为付款之日，若审批延迟则相应货款到账延迟，且不视为采购人违约。</w:t>
      </w:r>
    </w:p>
    <w:p>
      <w:pPr>
        <w:widowControl w:val="0"/>
        <w:spacing w:line="360" w:lineRule="auto"/>
        <w:ind w:firstLine="0" w:firstLineChars="0"/>
        <w:rPr>
          <w:rFonts w:hint="eastAsia"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eastAsia="zh-CN"/>
        </w:rPr>
        <w:t>五</w:t>
      </w:r>
      <w:r>
        <w:rPr>
          <w:rFonts w:hint="eastAsia" w:ascii="Times New Roman" w:hAnsi="Times New Roman" w:eastAsia="宋体" w:cs="Times New Roman"/>
          <w:b/>
          <w:color w:val="auto"/>
          <w:sz w:val="24"/>
          <w:szCs w:val="24"/>
          <w:highlight w:val="none"/>
          <w:lang w:val="zh-CN"/>
        </w:rPr>
        <w:t>、质量要求</w:t>
      </w:r>
    </w:p>
    <w:p>
      <w:pPr>
        <w:pStyle w:val="17"/>
        <w:pageBreakBefore w:val="0"/>
        <w:numPr>
          <w:ilvl w:val="0"/>
          <w:numId w:val="0"/>
        </w:numPr>
        <w:kinsoku/>
        <w:overflowPunct/>
        <w:bidi w:val="0"/>
        <w:spacing w:line="360" w:lineRule="auto"/>
        <w:ind w:firstLine="480" w:firstLineChars="200"/>
        <w:jc w:val="left"/>
        <w:rPr>
          <w:rFonts w:hint="eastAsia" w:asciiTheme="minorEastAsia" w:hAnsiTheme="minorEastAsia" w:eastAsiaTheme="minorEastAsia" w:cstheme="minorEastAsia"/>
          <w:b w:val="0"/>
          <w:bCs w:val="0"/>
          <w:color w:val="auto"/>
          <w:kern w:val="2"/>
          <w:sz w:val="24"/>
          <w:szCs w:val="24"/>
          <w:highlight w:val="none"/>
          <w:lang w:eastAsia="zh-CN"/>
        </w:rPr>
      </w:pPr>
      <w:r>
        <w:rPr>
          <w:rFonts w:hint="eastAsia" w:asciiTheme="minorEastAsia" w:hAnsiTheme="minorEastAsia" w:cstheme="minorEastAsia"/>
          <w:sz w:val="24"/>
          <w:szCs w:val="24"/>
          <w:lang w:eastAsia="zh-CN"/>
        </w:rPr>
        <w:t>（一）</w:t>
      </w:r>
      <w:r>
        <w:rPr>
          <w:rFonts w:hint="eastAsia" w:cs="Tahoma"/>
          <w:b w:val="0"/>
          <w:bCs/>
          <w:color w:val="000000"/>
          <w:kern w:val="28"/>
          <w:sz w:val="21"/>
          <w:szCs w:val="21"/>
          <w:highlight w:val="none"/>
          <w:lang w:val="en-US" w:eastAsia="zh-CN"/>
        </w:rPr>
        <w:t xml:space="preserve"> </w:t>
      </w:r>
      <w:r>
        <w:rPr>
          <w:rFonts w:hint="eastAsia" w:asciiTheme="minorEastAsia" w:hAnsiTheme="minorEastAsia" w:eastAsiaTheme="minorEastAsia" w:cstheme="minorEastAsia"/>
          <w:b w:val="0"/>
          <w:bCs w:val="0"/>
          <w:color w:val="auto"/>
          <w:kern w:val="2"/>
          <w:sz w:val="24"/>
          <w:szCs w:val="24"/>
          <w:highlight w:val="none"/>
          <w:lang w:eastAsia="zh-CN"/>
        </w:rPr>
        <w:t>质保期：整机质保期≥</w:t>
      </w:r>
      <w:r>
        <w:rPr>
          <w:rFonts w:hint="eastAsia" w:asciiTheme="minorEastAsia" w:hAnsiTheme="minorEastAsia" w:eastAsiaTheme="minorEastAsia" w:cstheme="minorEastAsia"/>
          <w:b w:val="0"/>
          <w:bCs w:val="0"/>
          <w:color w:val="auto"/>
          <w:kern w:val="2"/>
          <w:sz w:val="24"/>
          <w:szCs w:val="24"/>
          <w:highlight w:val="none"/>
          <w:lang w:val="en-US" w:eastAsia="zh-CN"/>
        </w:rPr>
        <w:t>3</w:t>
      </w:r>
      <w:r>
        <w:rPr>
          <w:rFonts w:hint="eastAsia" w:asciiTheme="minorEastAsia" w:hAnsiTheme="minorEastAsia" w:eastAsiaTheme="minorEastAsia" w:cstheme="minorEastAsia"/>
          <w:b w:val="0"/>
          <w:bCs w:val="0"/>
          <w:color w:val="auto"/>
          <w:kern w:val="2"/>
          <w:sz w:val="24"/>
          <w:szCs w:val="24"/>
          <w:highlight w:val="none"/>
          <w:lang w:eastAsia="zh-CN"/>
        </w:rPr>
        <w:t>年。质保期内非因采购人的人为原因而出现产品质量及安装问题，由成交供应商负责包修、包换或包退，并承担因此而产生的一切费用。</w:t>
      </w:r>
    </w:p>
    <w:p>
      <w:pPr>
        <w:widowControl/>
        <w:spacing w:line="560" w:lineRule="exact"/>
        <w:ind w:firstLine="480" w:firstLineChars="20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sz w:val="24"/>
          <w:szCs w:val="24"/>
          <w:lang w:eastAsia="zh-CN"/>
        </w:rPr>
        <w:t>（二）</w:t>
      </w:r>
      <w:r>
        <w:rPr>
          <w:rFonts w:hint="eastAsia" w:asciiTheme="minorEastAsia" w:hAnsiTheme="minorEastAsia" w:eastAsiaTheme="minorEastAsia" w:cstheme="minorEastAsia"/>
          <w:b w:val="0"/>
          <w:bCs w:val="0"/>
          <w:color w:val="auto"/>
          <w:kern w:val="2"/>
          <w:sz w:val="24"/>
          <w:szCs w:val="24"/>
          <w:highlight w:val="none"/>
          <w:lang w:val="en-US" w:eastAsia="zh-CN"/>
        </w:rPr>
        <w:t>退换货要求：</w:t>
      </w:r>
      <w:r>
        <w:rPr>
          <w:rFonts w:hint="eastAsia" w:asciiTheme="minorEastAsia" w:hAnsiTheme="minorEastAsia" w:eastAsiaTheme="minorEastAsia" w:cstheme="minorEastAsia"/>
          <w:b w:val="0"/>
          <w:bCs w:val="0"/>
          <w:color w:val="auto"/>
          <w:kern w:val="2"/>
          <w:sz w:val="24"/>
          <w:szCs w:val="24"/>
          <w:lang w:val="en-US" w:eastAsia="zh-CN" w:bidi="ar-SA"/>
        </w:rPr>
        <w:t>成交供应商所配送的产品（品牌、规格、生产厂家、质量等）不符合或达不到采购人所规定的要求的，采购人可拒绝收货并要求进行换货。换货应为全新并符合采购文件和响应文件规定的品质、规格等。若换货仍不能达到质量要求，采购人有权要求退货，并由</w:t>
      </w:r>
      <w:r>
        <w:rPr>
          <w:rFonts w:hint="eastAsia" w:asciiTheme="minorEastAsia" w:hAnsiTheme="minorEastAsia" w:cstheme="minorEastAsia"/>
          <w:sz w:val="24"/>
          <w:szCs w:val="24"/>
          <w:lang w:eastAsia="zh-CN"/>
        </w:rPr>
        <w:t>成交</w:t>
      </w:r>
      <w:r>
        <w:rPr>
          <w:rFonts w:hint="eastAsia" w:asciiTheme="minorEastAsia" w:hAnsiTheme="minorEastAsia" w:eastAsiaTheme="minorEastAsia" w:cstheme="minorEastAsia"/>
          <w:b w:val="0"/>
          <w:bCs w:val="0"/>
          <w:color w:val="auto"/>
          <w:kern w:val="2"/>
          <w:sz w:val="24"/>
          <w:szCs w:val="24"/>
          <w:lang w:val="en-US" w:eastAsia="zh-CN" w:bidi="ar-SA"/>
        </w:rPr>
        <w:t>供应商承担因此而产生的一切费用和采购人遭受的一切损失。</w:t>
      </w:r>
    </w:p>
    <w:p>
      <w:pPr>
        <w:widowControl w:val="0"/>
        <w:spacing w:line="360" w:lineRule="auto"/>
        <w:ind w:firstLine="0" w:firstLineChars="0"/>
        <w:jc w:val="both"/>
        <w:rPr>
          <w:rFonts w:hint="eastAsia" w:ascii="Times New Roman" w:hAnsi="Times New Roman" w:eastAsia="宋体" w:cs="Times New Roman"/>
          <w:b/>
          <w:bCs w:val="0"/>
          <w:color w:val="auto"/>
          <w:kern w:val="2"/>
          <w:sz w:val="24"/>
          <w:szCs w:val="24"/>
          <w:highlight w:val="none"/>
          <w:lang w:val="zh-CN"/>
        </w:rPr>
      </w:pPr>
      <w:r>
        <w:rPr>
          <w:rFonts w:hint="eastAsia" w:ascii="Times New Roman" w:hAnsi="Times New Roman" w:eastAsia="宋体" w:cs="Times New Roman"/>
          <w:b/>
          <w:bCs w:val="0"/>
          <w:color w:val="auto"/>
          <w:kern w:val="2"/>
          <w:sz w:val="24"/>
          <w:szCs w:val="24"/>
          <w:highlight w:val="none"/>
          <w:lang w:val="zh-CN" w:eastAsia="zh-CN"/>
        </w:rPr>
        <w:t>六</w:t>
      </w:r>
      <w:r>
        <w:rPr>
          <w:rFonts w:hint="eastAsia" w:ascii="Times New Roman" w:hAnsi="Times New Roman" w:eastAsia="宋体" w:cs="Times New Roman"/>
          <w:b/>
          <w:bCs w:val="0"/>
          <w:color w:val="auto"/>
          <w:kern w:val="2"/>
          <w:sz w:val="24"/>
          <w:szCs w:val="24"/>
          <w:highlight w:val="none"/>
          <w:lang w:val="zh-CN"/>
        </w:rPr>
        <w:t>、包装及运输</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（一）成交</w:t>
      </w:r>
      <w:r>
        <w:rPr>
          <w:rFonts w:hint="eastAsia" w:asciiTheme="minorEastAsia" w:hAnsiTheme="minorEastAsia" w:cstheme="minorEastAsia"/>
          <w:b w:val="0"/>
          <w:bCs/>
          <w:sz w:val="24"/>
          <w:szCs w:val="24"/>
          <w:lang w:val="zh-CN"/>
        </w:rPr>
        <w:t>供应商应保证合同项下所供货物是全新的、符合采购人要求的。</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（二）</w:t>
      </w:r>
      <w:r>
        <w:rPr>
          <w:rFonts w:hint="eastAsia" w:asciiTheme="minorEastAsia" w:hAnsiTheme="minorEastAsia" w:cstheme="minorEastAsia"/>
          <w:b w:val="0"/>
          <w:bCs/>
          <w:sz w:val="24"/>
          <w:szCs w:val="24"/>
          <w:lang w:val="zh-CN"/>
        </w:rPr>
        <w:t>货物的包装必须是制造商原厂包装，其包装均应有良好的防湿、防锈、防潮、防雨、防腐及防碰撞的措施。凡由于包装不良造成的损失和由此产生的费用均由</w:t>
      </w:r>
      <w:r>
        <w:rPr>
          <w:rFonts w:hint="eastAsia" w:asciiTheme="minorEastAsia" w:hAnsiTheme="minorEastAsia" w:cstheme="minorEastAsia"/>
          <w:sz w:val="24"/>
          <w:szCs w:val="24"/>
          <w:lang w:eastAsia="zh-CN"/>
        </w:rPr>
        <w:t>成交</w:t>
      </w:r>
      <w:r>
        <w:rPr>
          <w:rFonts w:hint="eastAsia" w:asciiTheme="minorEastAsia" w:hAnsiTheme="minorEastAsia" w:cstheme="minorEastAsia"/>
          <w:b w:val="0"/>
          <w:bCs/>
          <w:sz w:val="24"/>
          <w:szCs w:val="24"/>
          <w:lang w:val="zh-CN"/>
        </w:rPr>
        <w:t xml:space="preserve">供应商承担。 </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（三）成交</w:t>
      </w:r>
      <w:r>
        <w:rPr>
          <w:rFonts w:hint="eastAsia" w:asciiTheme="minorEastAsia" w:hAnsiTheme="minorEastAsia" w:cstheme="minorEastAsia"/>
          <w:b w:val="0"/>
          <w:bCs/>
          <w:sz w:val="24"/>
          <w:szCs w:val="24"/>
          <w:lang w:val="zh-CN"/>
        </w:rPr>
        <w:t xml:space="preserve">供应商负责将货物送到现场过程中的全部运输，包括装卸车、货物现场的搬运，费用均由成交供应商承担。 </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（四）</w:t>
      </w:r>
      <w:r>
        <w:rPr>
          <w:rFonts w:hint="eastAsia" w:asciiTheme="minorEastAsia" w:hAnsiTheme="minorEastAsia" w:cstheme="minorEastAsia"/>
          <w:b w:val="0"/>
          <w:bCs/>
          <w:sz w:val="24"/>
          <w:szCs w:val="24"/>
          <w:lang w:val="zh-CN"/>
        </w:rPr>
        <w:t>货物至采购人指定的使用现场的包装、保险及发运等环节和费用均由成交供应商负责。</w:t>
      </w:r>
    </w:p>
    <w:p>
      <w:pPr>
        <w:widowControl w:val="0"/>
        <w:spacing w:line="360" w:lineRule="auto"/>
        <w:ind w:firstLine="0" w:firstLineChars="0"/>
        <w:rPr>
          <w:rFonts w:hint="eastAsia" w:ascii="Times New Roman" w:hAnsi="Times New Roman" w:eastAsia="宋体" w:cs="Times New Roman"/>
          <w:b/>
          <w:color w:val="auto"/>
          <w:sz w:val="24"/>
          <w:szCs w:val="24"/>
          <w:highlight w:val="none"/>
          <w:lang w:val="zh-CN"/>
        </w:rPr>
      </w:pPr>
      <w:r>
        <w:rPr>
          <w:rFonts w:hint="eastAsia" w:ascii="Times New Roman" w:hAnsi="Times New Roman" w:eastAsia="宋体" w:cs="Times New Roman"/>
          <w:b/>
          <w:color w:val="auto"/>
          <w:sz w:val="24"/>
          <w:szCs w:val="24"/>
          <w:highlight w:val="none"/>
          <w:lang w:val="zh-CN"/>
        </w:rPr>
        <w:t>七、验收要求</w:t>
      </w:r>
    </w:p>
    <w:p>
      <w:pPr>
        <w:widowControl/>
        <w:numPr>
          <w:ilvl w:val="-1"/>
          <w:numId w:val="0"/>
        </w:numPr>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（一）</w:t>
      </w:r>
      <w:r>
        <w:rPr>
          <w:rFonts w:hint="eastAsia" w:asciiTheme="minorEastAsia" w:hAnsiTheme="minorEastAsia" w:cstheme="minorEastAsia"/>
          <w:b w:val="0"/>
          <w:bCs/>
          <w:sz w:val="24"/>
          <w:szCs w:val="24"/>
          <w:lang w:val="zh-CN"/>
        </w:rPr>
        <w:t>各种货物必须提供装箱清单，按装箱清单验收货物。</w:t>
      </w:r>
      <w:r>
        <w:rPr>
          <w:rFonts w:hint="eastAsia" w:asciiTheme="minorEastAsia" w:hAnsiTheme="minorEastAsia" w:cstheme="minorEastAsia"/>
          <w:b w:val="0"/>
          <w:bCs/>
          <w:sz w:val="24"/>
          <w:szCs w:val="24"/>
        </w:rPr>
        <w:t>当</w:t>
      </w:r>
      <w:r>
        <w:rPr>
          <w:rFonts w:hint="eastAsia" w:asciiTheme="minorEastAsia" w:hAnsiTheme="minorEastAsia" w:cstheme="minorEastAsia"/>
          <w:b w:val="0"/>
          <w:bCs/>
          <w:sz w:val="24"/>
          <w:szCs w:val="24"/>
          <w:lang w:eastAsia="zh-CN"/>
        </w:rPr>
        <w:t>货物</w:t>
      </w:r>
      <w:r>
        <w:rPr>
          <w:rFonts w:hint="eastAsia" w:asciiTheme="minorEastAsia" w:hAnsiTheme="minorEastAsia" w:cstheme="minorEastAsia"/>
          <w:b w:val="0"/>
          <w:bCs/>
          <w:sz w:val="24"/>
          <w:szCs w:val="24"/>
        </w:rPr>
        <w:t>到达指定地点后，</w:t>
      </w:r>
      <w:r>
        <w:rPr>
          <w:rFonts w:hint="eastAsia" w:asciiTheme="minorEastAsia" w:hAnsiTheme="minorEastAsia" w:cstheme="minorEastAsia"/>
          <w:b w:val="0"/>
          <w:bCs/>
          <w:sz w:val="24"/>
          <w:szCs w:val="24"/>
          <w:lang w:eastAsia="zh-CN"/>
        </w:rPr>
        <w:t>采购</w:t>
      </w:r>
      <w:r>
        <w:rPr>
          <w:rFonts w:hint="eastAsia" w:asciiTheme="minorEastAsia" w:hAnsiTheme="minorEastAsia" w:cstheme="minorEastAsia"/>
          <w:b w:val="0"/>
          <w:bCs/>
          <w:sz w:val="24"/>
          <w:szCs w:val="24"/>
        </w:rPr>
        <w:t>人和</w:t>
      </w:r>
      <w:r>
        <w:rPr>
          <w:rFonts w:hint="eastAsia" w:asciiTheme="minorEastAsia" w:hAnsiTheme="minorEastAsia" w:cstheme="minorEastAsia"/>
          <w:b w:val="0"/>
          <w:bCs/>
          <w:sz w:val="24"/>
          <w:szCs w:val="24"/>
          <w:lang w:val="zh-CN"/>
        </w:rPr>
        <w:t>成交</w:t>
      </w:r>
      <w:r>
        <w:rPr>
          <w:rFonts w:hint="eastAsia" w:asciiTheme="minorEastAsia" w:hAnsiTheme="minorEastAsia" w:cstheme="minorEastAsia"/>
          <w:b w:val="0"/>
          <w:bCs/>
          <w:sz w:val="24"/>
          <w:szCs w:val="24"/>
          <w:lang w:eastAsia="zh-CN"/>
        </w:rPr>
        <w:t>供应商</w:t>
      </w:r>
      <w:r>
        <w:rPr>
          <w:rFonts w:hint="eastAsia" w:asciiTheme="minorEastAsia" w:hAnsiTheme="minorEastAsia" w:cstheme="minorEastAsia"/>
          <w:b w:val="0"/>
          <w:bCs/>
          <w:sz w:val="24"/>
          <w:szCs w:val="24"/>
        </w:rPr>
        <w:t>依据</w:t>
      </w:r>
      <w:r>
        <w:rPr>
          <w:rFonts w:hint="eastAsia" w:asciiTheme="minorEastAsia" w:hAnsiTheme="minorEastAsia" w:cstheme="minorEastAsia"/>
          <w:b w:val="0"/>
          <w:bCs/>
          <w:sz w:val="24"/>
          <w:szCs w:val="24"/>
          <w:lang w:eastAsia="zh-CN"/>
        </w:rPr>
        <w:t>装箱</w:t>
      </w:r>
      <w:r>
        <w:rPr>
          <w:rFonts w:hint="eastAsia" w:asciiTheme="minorEastAsia" w:hAnsiTheme="minorEastAsia" w:cstheme="minorEastAsia"/>
          <w:b w:val="0"/>
          <w:bCs/>
          <w:sz w:val="24"/>
          <w:szCs w:val="24"/>
        </w:rPr>
        <w:t>清单共同对</w:t>
      </w:r>
      <w:r>
        <w:rPr>
          <w:rFonts w:hint="eastAsia" w:asciiTheme="minorEastAsia" w:hAnsiTheme="minorEastAsia" w:cstheme="minorEastAsia"/>
          <w:b w:val="0"/>
          <w:bCs/>
          <w:sz w:val="24"/>
          <w:szCs w:val="24"/>
          <w:lang w:eastAsia="zh-CN"/>
        </w:rPr>
        <w:t>货物</w:t>
      </w:r>
      <w:r>
        <w:rPr>
          <w:rFonts w:hint="eastAsia" w:asciiTheme="minorEastAsia" w:hAnsiTheme="minorEastAsia" w:cstheme="minorEastAsia"/>
          <w:b w:val="0"/>
          <w:bCs/>
          <w:sz w:val="24"/>
          <w:szCs w:val="24"/>
        </w:rPr>
        <w:t>进行检验，并按合同及有关附件要求对货物及其规格、数量、外观、包装、资料文件（如出库单、检验合格证书等）进行验收，</w:t>
      </w:r>
      <w:r>
        <w:rPr>
          <w:rFonts w:hint="eastAsia" w:asciiTheme="minorEastAsia" w:hAnsiTheme="minorEastAsia" w:cstheme="minorEastAsia"/>
          <w:b w:val="0"/>
          <w:bCs/>
          <w:sz w:val="24"/>
          <w:szCs w:val="24"/>
          <w:lang w:val="zh-CN"/>
        </w:rPr>
        <w:t>验收以采购人的验收为准，应满足采购人的货物参数设置要求。</w:t>
      </w:r>
      <w:r>
        <w:rPr>
          <w:rFonts w:hint="eastAsia" w:asciiTheme="minorEastAsia" w:hAnsiTheme="minorEastAsia" w:cstheme="minorEastAsia"/>
          <w:b w:val="0"/>
          <w:bCs/>
          <w:sz w:val="24"/>
          <w:szCs w:val="24"/>
        </w:rPr>
        <w:t xml:space="preserve">对不符合合同要求的，采购人有权拒绝接收。 </w:t>
      </w:r>
    </w:p>
    <w:p>
      <w:pPr>
        <w:widowControl/>
        <w:spacing w:line="560" w:lineRule="exact"/>
        <w:ind w:firstLine="480" w:firstLineChars="200"/>
        <w:rPr>
          <w:rFonts w:hint="eastAsia" w:asciiTheme="minorEastAsia" w:hAnsiTheme="minorEastAsia" w:cstheme="minorEastAsia"/>
          <w:b w:val="0"/>
          <w:bCs/>
          <w:sz w:val="24"/>
          <w:szCs w:val="24"/>
        </w:rPr>
      </w:pPr>
      <w:r>
        <w:rPr>
          <w:rFonts w:hint="eastAsia" w:asciiTheme="minorEastAsia" w:hAnsiTheme="minorEastAsia" w:cstheme="minorEastAsia"/>
          <w:sz w:val="24"/>
          <w:szCs w:val="24"/>
          <w:lang w:eastAsia="zh-CN"/>
        </w:rPr>
        <w:t>（二）</w:t>
      </w:r>
      <w:r>
        <w:rPr>
          <w:rFonts w:hint="eastAsia" w:asciiTheme="minorEastAsia" w:hAnsiTheme="minorEastAsia" w:cstheme="minorEastAsia"/>
          <w:b w:val="0"/>
          <w:bCs/>
          <w:sz w:val="24"/>
          <w:szCs w:val="24"/>
        </w:rPr>
        <w:t>验收由招标人、</w:t>
      </w:r>
      <w:r>
        <w:rPr>
          <w:rFonts w:hint="eastAsia" w:asciiTheme="minorEastAsia" w:hAnsiTheme="minorEastAsia" w:cstheme="minorEastAsia"/>
          <w:b w:val="0"/>
          <w:bCs/>
          <w:sz w:val="24"/>
          <w:szCs w:val="24"/>
          <w:lang w:val="zh-CN"/>
        </w:rPr>
        <w:t>成交</w:t>
      </w:r>
      <w:r>
        <w:rPr>
          <w:rFonts w:hint="eastAsia" w:asciiTheme="minorEastAsia" w:hAnsiTheme="minorEastAsia" w:cstheme="minorEastAsia"/>
          <w:b w:val="0"/>
          <w:bCs/>
          <w:sz w:val="24"/>
          <w:szCs w:val="24"/>
          <w:lang w:eastAsia="zh-CN"/>
        </w:rPr>
        <w:t>供应商</w:t>
      </w:r>
      <w:r>
        <w:rPr>
          <w:rFonts w:hint="eastAsia" w:asciiTheme="minorEastAsia" w:hAnsiTheme="minorEastAsia" w:cstheme="minorEastAsia"/>
          <w:b w:val="0"/>
          <w:bCs/>
          <w:sz w:val="24"/>
          <w:szCs w:val="24"/>
        </w:rPr>
        <w:t>及相关人员依照国家有关标准、合同及有关附件要求进行。</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（三）</w:t>
      </w:r>
      <w:r>
        <w:rPr>
          <w:rFonts w:hint="eastAsia" w:asciiTheme="minorEastAsia" w:hAnsiTheme="minorEastAsia" w:cstheme="minorEastAsia"/>
          <w:b w:val="0"/>
          <w:bCs/>
          <w:sz w:val="24"/>
          <w:szCs w:val="24"/>
        </w:rPr>
        <w:t>验收完毕由招标人及</w:t>
      </w:r>
      <w:r>
        <w:rPr>
          <w:rFonts w:hint="eastAsia" w:asciiTheme="minorEastAsia" w:hAnsiTheme="minorEastAsia" w:cstheme="minorEastAsia"/>
          <w:b w:val="0"/>
          <w:bCs/>
          <w:sz w:val="24"/>
          <w:szCs w:val="24"/>
          <w:lang w:val="zh-CN"/>
        </w:rPr>
        <w:t>成交</w:t>
      </w:r>
      <w:r>
        <w:rPr>
          <w:rFonts w:hint="eastAsia" w:asciiTheme="minorEastAsia" w:hAnsiTheme="minorEastAsia" w:cstheme="minorEastAsia"/>
          <w:b w:val="0"/>
          <w:bCs/>
          <w:sz w:val="24"/>
          <w:szCs w:val="24"/>
          <w:lang w:eastAsia="zh-CN"/>
        </w:rPr>
        <w:t>供应商</w:t>
      </w:r>
      <w:r>
        <w:rPr>
          <w:rFonts w:hint="eastAsia" w:asciiTheme="minorEastAsia" w:hAnsiTheme="minorEastAsia" w:cstheme="minorEastAsia"/>
          <w:b w:val="0"/>
          <w:bCs/>
          <w:sz w:val="24"/>
          <w:szCs w:val="24"/>
        </w:rPr>
        <w:t>在送货单上签名。</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（四）</w:t>
      </w:r>
      <w:r>
        <w:rPr>
          <w:rFonts w:hint="eastAsia" w:asciiTheme="minorEastAsia" w:hAnsiTheme="minorEastAsia" w:cstheme="minorEastAsia"/>
          <w:b w:val="0"/>
          <w:bCs/>
          <w:sz w:val="24"/>
          <w:szCs w:val="24"/>
          <w:lang w:val="zh-CN"/>
        </w:rPr>
        <w:t xml:space="preserve">货物在现场的保管由成交供应商负责，直至项目验收完毕。 </w:t>
      </w:r>
    </w:p>
    <w:p>
      <w:pPr>
        <w:widowControl/>
        <w:spacing w:line="560" w:lineRule="exact"/>
        <w:ind w:firstLine="480" w:firstLineChars="200"/>
        <w:rPr>
          <w:rFonts w:hint="eastAsia" w:asciiTheme="minorEastAsia" w:hAnsiTheme="minorEastAsia" w:cstheme="minorEastAsia"/>
          <w:b w:val="0"/>
          <w:bCs/>
          <w:sz w:val="24"/>
          <w:szCs w:val="24"/>
          <w:lang w:val="zh-CN"/>
        </w:rPr>
      </w:pPr>
      <w:r>
        <w:rPr>
          <w:rFonts w:hint="eastAsia" w:asciiTheme="minorEastAsia" w:hAnsiTheme="minorEastAsia" w:cstheme="minorEastAsia"/>
          <w:sz w:val="24"/>
          <w:szCs w:val="24"/>
          <w:lang w:eastAsia="zh-CN"/>
        </w:rPr>
        <w:t>（五）</w:t>
      </w:r>
      <w:r>
        <w:rPr>
          <w:rFonts w:hint="eastAsia" w:asciiTheme="minorEastAsia" w:hAnsiTheme="minorEastAsia" w:cstheme="minorEastAsia"/>
          <w:b w:val="0"/>
          <w:bCs/>
          <w:sz w:val="24"/>
          <w:szCs w:val="24"/>
          <w:lang w:val="zh-CN"/>
        </w:rPr>
        <w:t xml:space="preserve">货物在验收合格前的保险由成交供应商负责，成交供应商负责其派出的现场服务人员人身意外保险。 </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642"/>
    <w:rsid w:val="000239B0"/>
    <w:rsid w:val="004F393C"/>
    <w:rsid w:val="005069FA"/>
    <w:rsid w:val="00721A71"/>
    <w:rsid w:val="00790F48"/>
    <w:rsid w:val="008647D1"/>
    <w:rsid w:val="00981AC7"/>
    <w:rsid w:val="00C12642"/>
    <w:rsid w:val="00D009FF"/>
    <w:rsid w:val="00D12001"/>
    <w:rsid w:val="00F860F1"/>
    <w:rsid w:val="01B6046E"/>
    <w:rsid w:val="02335CD8"/>
    <w:rsid w:val="0306245E"/>
    <w:rsid w:val="031E0F2C"/>
    <w:rsid w:val="04504BAA"/>
    <w:rsid w:val="057B348D"/>
    <w:rsid w:val="06E710CA"/>
    <w:rsid w:val="0ADF7042"/>
    <w:rsid w:val="0D6003B9"/>
    <w:rsid w:val="0D8D29CB"/>
    <w:rsid w:val="0D935B07"/>
    <w:rsid w:val="0DC42165"/>
    <w:rsid w:val="0DD44D78"/>
    <w:rsid w:val="10757746"/>
    <w:rsid w:val="10A1053B"/>
    <w:rsid w:val="10E01064"/>
    <w:rsid w:val="10FC6693"/>
    <w:rsid w:val="11D53BF0"/>
    <w:rsid w:val="11FF7667"/>
    <w:rsid w:val="13170C3D"/>
    <w:rsid w:val="13BB7B66"/>
    <w:rsid w:val="13F4757F"/>
    <w:rsid w:val="17397720"/>
    <w:rsid w:val="18F002B2"/>
    <w:rsid w:val="190806FD"/>
    <w:rsid w:val="19EA4D01"/>
    <w:rsid w:val="1A55661F"/>
    <w:rsid w:val="1AF062E4"/>
    <w:rsid w:val="1BF027DF"/>
    <w:rsid w:val="1C4061A9"/>
    <w:rsid w:val="1DCD471E"/>
    <w:rsid w:val="20F60C21"/>
    <w:rsid w:val="22D3057B"/>
    <w:rsid w:val="23447230"/>
    <w:rsid w:val="235F22BC"/>
    <w:rsid w:val="25710FF8"/>
    <w:rsid w:val="26D8108A"/>
    <w:rsid w:val="2AD94979"/>
    <w:rsid w:val="2D970F00"/>
    <w:rsid w:val="2E1212F9"/>
    <w:rsid w:val="2E2F0B69"/>
    <w:rsid w:val="2FCC6F2B"/>
    <w:rsid w:val="30EA597E"/>
    <w:rsid w:val="31397470"/>
    <w:rsid w:val="31B82C24"/>
    <w:rsid w:val="325D20BC"/>
    <w:rsid w:val="34F9247A"/>
    <w:rsid w:val="36CE17DB"/>
    <w:rsid w:val="37FC2378"/>
    <w:rsid w:val="38130D92"/>
    <w:rsid w:val="38853B85"/>
    <w:rsid w:val="394144E6"/>
    <w:rsid w:val="394F0285"/>
    <w:rsid w:val="397F500E"/>
    <w:rsid w:val="3A3A18C9"/>
    <w:rsid w:val="3A480BD6"/>
    <w:rsid w:val="3BD17677"/>
    <w:rsid w:val="3D1A117F"/>
    <w:rsid w:val="3D4D2D2E"/>
    <w:rsid w:val="3E8F2C24"/>
    <w:rsid w:val="41717932"/>
    <w:rsid w:val="42B51AA1"/>
    <w:rsid w:val="44D37FBC"/>
    <w:rsid w:val="45C456A9"/>
    <w:rsid w:val="46EB5A91"/>
    <w:rsid w:val="48500C62"/>
    <w:rsid w:val="48736294"/>
    <w:rsid w:val="488A34EE"/>
    <w:rsid w:val="494B0A69"/>
    <w:rsid w:val="49793828"/>
    <w:rsid w:val="4C7402D7"/>
    <w:rsid w:val="4E200716"/>
    <w:rsid w:val="4E99593D"/>
    <w:rsid w:val="50327C8D"/>
    <w:rsid w:val="503E6C32"/>
    <w:rsid w:val="57EF4CB5"/>
    <w:rsid w:val="5BA858A7"/>
    <w:rsid w:val="5D812854"/>
    <w:rsid w:val="5DF5208E"/>
    <w:rsid w:val="5E4964AB"/>
    <w:rsid w:val="5E587A58"/>
    <w:rsid w:val="5EBE3549"/>
    <w:rsid w:val="628E1C9B"/>
    <w:rsid w:val="62E775FD"/>
    <w:rsid w:val="62FA61D5"/>
    <w:rsid w:val="635B58F5"/>
    <w:rsid w:val="63CF256B"/>
    <w:rsid w:val="63EE4B46"/>
    <w:rsid w:val="649E7673"/>
    <w:rsid w:val="69B85106"/>
    <w:rsid w:val="6AD9782B"/>
    <w:rsid w:val="6AF1726A"/>
    <w:rsid w:val="6BC51690"/>
    <w:rsid w:val="6C6E1938"/>
    <w:rsid w:val="6DF80910"/>
    <w:rsid w:val="6E462E93"/>
    <w:rsid w:val="6EF47329"/>
    <w:rsid w:val="6FF349D5"/>
    <w:rsid w:val="704F233D"/>
    <w:rsid w:val="70671D7D"/>
    <w:rsid w:val="70CE575B"/>
    <w:rsid w:val="744D4DE6"/>
    <w:rsid w:val="749E2AA0"/>
    <w:rsid w:val="75E17EDC"/>
    <w:rsid w:val="764C17F9"/>
    <w:rsid w:val="776D5ECB"/>
    <w:rsid w:val="7B4E2BC8"/>
    <w:rsid w:val="7D3E79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宋体" w:hAnsi="宋体"/>
      <w:color w:val="0000FF"/>
      <w:sz w:val="28"/>
    </w:rPr>
  </w:style>
  <w:style w:type="paragraph" w:styleId="3">
    <w:name w:val="table of authorities"/>
    <w:basedOn w:val="1"/>
    <w:next w:val="1"/>
    <w:qFormat/>
    <w:uiPriority w:val="99"/>
    <w:pPr>
      <w:ind w:left="420" w:leftChars="200"/>
    </w:pPr>
  </w:style>
  <w:style w:type="paragraph" w:styleId="4">
    <w:name w:val="annotation text"/>
    <w:basedOn w:val="1"/>
    <w:semiHidden/>
    <w:unhideWhenUsed/>
    <w:qFormat/>
    <w:uiPriority w:val="99"/>
    <w:pPr>
      <w:jc w:val="left"/>
    </w:p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character" w:customStyle="1" w:styleId="10">
    <w:name w:val="页眉 Char"/>
    <w:basedOn w:val="7"/>
    <w:link w:val="6"/>
    <w:semiHidden/>
    <w:qFormat/>
    <w:uiPriority w:val="99"/>
    <w:rPr>
      <w:sz w:val="18"/>
      <w:szCs w:val="18"/>
    </w:rPr>
  </w:style>
  <w:style w:type="character" w:customStyle="1" w:styleId="11">
    <w:name w:val="页脚 Char"/>
    <w:basedOn w:val="7"/>
    <w:link w:val="5"/>
    <w:semiHidden/>
    <w:qFormat/>
    <w:uiPriority w:val="99"/>
    <w:rPr>
      <w:sz w:val="18"/>
      <w:szCs w:val="18"/>
    </w:rPr>
  </w:style>
  <w:style w:type="character" w:customStyle="1" w:styleId="12">
    <w:name w:val="mh-abstract-text"/>
    <w:basedOn w:val="7"/>
    <w:qFormat/>
    <w:uiPriority w:val="0"/>
  </w:style>
  <w:style w:type="paragraph" w:customStyle="1" w:styleId="13">
    <w:name w:val="正文内容"/>
    <w:basedOn w:val="14"/>
    <w:qFormat/>
    <w:uiPriority w:val="0"/>
    <w:pPr>
      <w:widowControl w:val="0"/>
      <w:spacing w:beforeLines="50" w:beforeAutospacing="0" w:afterLines="50" w:afterAutospacing="0" w:line="360" w:lineRule="auto"/>
      <w:ind w:firstLine="480" w:firstLineChars="200"/>
      <w:jc w:val="both"/>
    </w:pPr>
    <w:rPr>
      <w:rFonts w:ascii="Times New Roman" w:hAnsi="Times New Roman" w:cs="Times New Roman"/>
      <w:b w:val="0"/>
      <w:bCs w:val="0"/>
      <w:sz w:val="24"/>
      <w:szCs w:val="20"/>
    </w:rPr>
  </w:style>
  <w:style w:type="paragraph" w:customStyle="1" w:styleId="14">
    <w:name w:val="xl1789"/>
    <w:basedOn w:val="1"/>
    <w:qFormat/>
    <w:uiPriority w:val="0"/>
    <w:pPr>
      <w:widowControl/>
      <w:spacing w:before="100" w:beforeAutospacing="1" w:after="100" w:afterAutospacing="1"/>
      <w:jc w:val="center"/>
    </w:pPr>
    <w:rPr>
      <w:rFonts w:ascii="宋体" w:hAnsi="宋体" w:cs="宋体"/>
      <w:b/>
      <w:bCs/>
      <w:kern w:val="0"/>
      <w:sz w:val="36"/>
      <w:szCs w:val="36"/>
    </w:rPr>
  </w:style>
  <w:style w:type="paragraph" w:customStyle="1" w:styleId="15">
    <w:name w:val="投标正文小四"/>
    <w:basedOn w:val="1"/>
    <w:qFormat/>
    <w:uiPriority w:val="0"/>
    <w:pPr>
      <w:spacing w:line="360" w:lineRule="auto"/>
      <w:ind w:firstLine="200" w:firstLineChars="200"/>
    </w:pPr>
    <w:rPr>
      <w:sz w:val="24"/>
    </w:rPr>
  </w:style>
  <w:style w:type="paragraph" w:customStyle="1" w:styleId="16">
    <w:name w:val="Normal"/>
    <w:qFormat/>
    <w:uiPriority w:val="0"/>
    <w:pPr>
      <w:widowControl w:val="0"/>
      <w:jc w:val="both"/>
    </w:pPr>
    <w:rPr>
      <w:rFonts w:ascii="Calibri" w:hAnsi="Calibri" w:eastAsiaTheme="minorEastAsia" w:cstheme="minorBidi"/>
      <w:sz w:val="21"/>
      <w:szCs w:val="22"/>
      <w:lang w:val="en-US" w:eastAsia="zh-CN" w:bidi="ar-SA"/>
    </w:rPr>
  </w:style>
  <w:style w:type="paragraph" w:customStyle="1" w:styleId="17">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1374</Words>
  <Characters>1460</Characters>
  <Lines>10</Lines>
  <Paragraphs>2</Paragraphs>
  <TotalTime>0</TotalTime>
  <ScaleCrop>false</ScaleCrop>
  <LinksUpToDate>false</LinksUpToDate>
  <CharactersWithSpaces>1469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2022-01-14T07:42:00Z</dcterms:created>
  <dc:creator>黎凤婵</dc:creator>
  <cp:lastModifiedBy>李铜光</cp:lastModifiedBy>
  <cp:lastPrinted>2023-03-06T08:33:00Z</cp:lastPrinted>
  <dcterms:modified xsi:type="dcterms:W3CDTF">2025-09-28T03:44:15Z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4103E1C92116451BA5EC5D604DD297AE_13</vt:lpwstr>
  </property>
  <property fmtid="{D5CDD505-2E9C-101B-9397-08002B2CF9AE}" pid="4" name="KSOTemplateDocerSaveRecord">
    <vt:lpwstr>eyJoZGlkIjoiMzEwNmE2ODQyM2Q1MWY5ZDJmNGY5Mjg0OWRjNzIwYTQiLCJ1c2VySWQiOiI0MjYzMjA0MjMifQ==</vt:lpwstr>
  </property>
</Properties>
</file>