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5FE0">
      <w:pPr>
        <w:pStyle w:val="6"/>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附件3：</w:t>
      </w:r>
    </w:p>
    <w:p w14:paraId="2710AFFE">
      <w:pPr>
        <w:spacing w:line="360" w:lineRule="auto"/>
        <w:ind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评审方案</w:t>
      </w:r>
    </w:p>
    <w:p w14:paraId="4AF6CE1F">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1、评审步骤：</w:t>
      </w:r>
      <w:r>
        <w:rPr>
          <w:rFonts w:hint="eastAsia" w:ascii="宋体" w:hAnsi="宋体"/>
          <w:color w:val="000000" w:themeColor="text1"/>
          <w:szCs w:val="21"/>
          <w:highlight w:val="none"/>
          <w14:textFill>
            <w14:solidFill>
              <w14:schemeClr w14:val="tx1"/>
            </w14:solidFill>
          </w14:textFill>
        </w:rPr>
        <w:t>评审小组对响应文件的评审分为初审（资格性和符合性审查，详见响应文件模版参考内容）和详细评审，初审通过才进入详细评审环节。</w:t>
      </w:r>
    </w:p>
    <w:p w14:paraId="794E595E">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4DC770BF">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3、评审总得分＝商务技术得分+响应报价得分　　</w:t>
      </w:r>
      <w:bookmarkStart w:id="0" w:name="_GoBack"/>
      <w:bookmarkEnd w:id="0"/>
    </w:p>
    <w:p w14:paraId="773D2421">
      <w:pPr>
        <w:pStyle w:val="10"/>
        <w:shd w:val="clear" w:color="auto" w:fill="FFFFFF"/>
        <w:spacing w:before="0" w:beforeAutospacing="0" w:after="150" w:afterAutospacing="0" w:line="560" w:lineRule="exact"/>
        <w:ind w:firstLine="422" w:firstLineChars="200"/>
        <w:jc w:val="both"/>
        <w:rPr>
          <w:rFonts w:hint="eastAsia" w:cs="Times New Roman"/>
          <w:color w:val="000000" w:themeColor="text1"/>
          <w:kern w:val="2"/>
          <w:sz w:val="21"/>
          <w:szCs w:val="21"/>
          <w:highlight w:val="none"/>
          <w14:textFill>
            <w14:solidFill>
              <w14:schemeClr w14:val="tx1"/>
            </w14:solidFill>
          </w14:textFill>
        </w:rPr>
      </w:pPr>
      <w:r>
        <w:rPr>
          <w:rFonts w:hint="eastAsia" w:cs="Times New Roman"/>
          <w:b/>
          <w:bCs/>
          <w:color w:val="000000" w:themeColor="text1"/>
          <w:kern w:val="2"/>
          <w:sz w:val="21"/>
          <w:szCs w:val="21"/>
          <w:highlight w:val="none"/>
          <w14:textFill>
            <w14:solidFill>
              <w14:schemeClr w14:val="tx1"/>
            </w14:solidFill>
          </w14:textFill>
        </w:rPr>
        <w:t>4、</w:t>
      </w:r>
      <w:r>
        <w:rPr>
          <w:rFonts w:hint="eastAsia" w:cs="Times New Roman"/>
          <w:color w:val="000000" w:themeColor="text1"/>
          <w:kern w:val="2"/>
          <w:sz w:val="21"/>
          <w:szCs w:val="21"/>
          <w:highlight w:val="none"/>
          <w14:textFill>
            <w14:solidFill>
              <w14:schemeClr w14:val="tx1"/>
            </w14:solidFill>
          </w14:textFill>
        </w:rPr>
        <w:t>评审小组按评审得分由高到低进行排序，排名第一的推荐为第一成交候选人，排名第二的供应商为第二成交候选人，排名第三的供应商为第三成交候选人。出现综合总得分并列时，按下列顺序比较确定：（1）报价（由低到高）；（2）商务技术评分（由高到低）。如以上都相同的，由全体评审专家投票确定名次。</w:t>
      </w:r>
    </w:p>
    <w:p w14:paraId="7F9FF088">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5、响应文件的澄清</w:t>
      </w:r>
    </w:p>
    <w:p w14:paraId="35DB9D0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期间，对响应文件中含义不明确、同类问题表述不一致或者有明显文字和计算错误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14:paraId="4522CBC3">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评审专家按照总得分由高到低的顺序推荐中选人名单。排名第一的推荐为第一成交候选人。如果推荐的成交供应商向采购人来书面函退出或违反采购文件规定或不能履行合同的，则采购人视为该成交供应商放弃成交资格。则采购人在法律法规允许的情况下可按中选人排名顺序依次确定递补中选人资格，或重新组织采购。</w:t>
      </w:r>
    </w:p>
    <w:p w14:paraId="59019F1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B5EBBCC">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4AFC49DB">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5396DADE">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687D4DA0">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1EB14A5A">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0FB56E07">
      <w:pPr>
        <w:pStyle w:val="7"/>
        <w:ind w:left="0"/>
        <w:jc w:val="center"/>
        <w:rPr>
          <w:rFonts w:hint="eastAsia" w:ascii="宋体" w:hAnsi="宋体" w:cs="宋体"/>
          <w:b/>
          <w:bCs/>
          <w:color w:val="000000" w:themeColor="text1"/>
          <w:sz w:val="24"/>
          <w:szCs w:val="24"/>
          <w:highlight w:val="none"/>
          <w14:textFill>
            <w14:solidFill>
              <w14:schemeClr w14:val="tx1"/>
            </w14:solidFill>
          </w14:textFill>
        </w:rPr>
      </w:pPr>
    </w:p>
    <w:p w14:paraId="76164321">
      <w:pPr>
        <w:pStyle w:val="7"/>
        <w:ind w:left="0"/>
        <w:jc w:val="both"/>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附表：</w:t>
      </w:r>
    </w:p>
    <w:p w14:paraId="4A5DA49F">
      <w:pPr>
        <w:pStyle w:val="7"/>
        <w:ind w:left="0"/>
        <w:rPr>
          <w:b/>
          <w:color w:val="000000" w:themeColor="text1"/>
          <w:sz w:val="24"/>
          <w:szCs w:val="24"/>
          <w:highlight w:val="none"/>
          <w14:textFill>
            <w14:solidFill>
              <w14:schemeClr w14:val="tx1"/>
            </w14:solidFill>
          </w14:textFill>
        </w:rPr>
      </w:pPr>
    </w:p>
    <w:p w14:paraId="3C80D3DB">
      <w:pPr>
        <w:pStyle w:val="7"/>
        <w:ind w:left="0"/>
        <w:jc w:val="center"/>
        <w:rPr>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中山市黄圃人民医院</w:t>
      </w:r>
      <w:r>
        <w:rPr>
          <w:rFonts w:hint="eastAsia" w:ascii="宋体" w:hAnsi="宋体"/>
          <w:b/>
          <w:bCs/>
          <w:color w:val="000000" w:themeColor="text1"/>
          <w:sz w:val="30"/>
          <w:szCs w:val="30"/>
          <w:highlight w:val="none"/>
          <w:u w:val="none"/>
          <w:lang w:eastAsia="zh-CN"/>
          <w14:textFill>
            <w14:solidFill>
              <w14:schemeClr w14:val="tx1"/>
            </w14:solidFill>
          </w14:textFill>
        </w:rPr>
        <w:t>变配电房安装七氟丙烷自动灭火系统</w:t>
      </w:r>
      <w:r>
        <w:rPr>
          <w:rFonts w:hint="eastAsia"/>
          <w:b/>
          <w:color w:val="000000" w:themeColor="text1"/>
          <w:sz w:val="30"/>
          <w:szCs w:val="30"/>
          <w:highlight w:val="none"/>
          <w14:textFill>
            <w14:solidFill>
              <w14:schemeClr w14:val="tx1"/>
            </w14:solidFill>
          </w14:textFill>
        </w:rPr>
        <w:t>项目</w:t>
      </w:r>
      <w:r>
        <w:rPr>
          <w:rFonts w:hint="eastAsia" w:ascii="宋体" w:hAnsi="宋体" w:cs="宋体"/>
          <w:b/>
          <w:bCs/>
          <w:color w:val="000000" w:themeColor="text1"/>
          <w:sz w:val="30"/>
          <w:szCs w:val="30"/>
          <w:highlight w:val="none"/>
          <w14:textFill>
            <w14:solidFill>
              <w14:schemeClr w14:val="tx1"/>
            </w14:solidFill>
          </w14:textFill>
        </w:rPr>
        <w:t>评分表</w:t>
      </w:r>
    </w:p>
    <w:tbl>
      <w:tblPr>
        <w:tblStyle w:val="1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087"/>
        <w:gridCol w:w="6443"/>
        <w:gridCol w:w="809"/>
      </w:tblGrid>
      <w:tr w14:paraId="5ABA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087" w:type="dxa"/>
            <w:vAlign w:val="center"/>
          </w:tcPr>
          <w:p w14:paraId="3628FDD4">
            <w:pPr>
              <w:pStyle w:val="8"/>
              <w:tabs>
                <w:tab w:val="clear" w:pos="4153"/>
                <w:tab w:val="clear" w:pos="8306"/>
              </w:tabs>
              <w:snapToGrid/>
              <w:spacing w:line="360" w:lineRule="auto"/>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项目</w:t>
            </w:r>
          </w:p>
        </w:tc>
        <w:tc>
          <w:tcPr>
            <w:tcW w:w="1087" w:type="dxa"/>
            <w:vAlign w:val="center"/>
          </w:tcPr>
          <w:p w14:paraId="41677062">
            <w:pPr>
              <w:pStyle w:val="8"/>
              <w:tabs>
                <w:tab w:val="clear" w:pos="4153"/>
                <w:tab w:val="clear" w:pos="8306"/>
              </w:tabs>
              <w:snapToGrid/>
              <w:spacing w:line="360" w:lineRule="auto"/>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6443" w:type="dxa"/>
            <w:vAlign w:val="center"/>
          </w:tcPr>
          <w:p w14:paraId="48506DF7">
            <w:pPr>
              <w:pStyle w:val="8"/>
              <w:tabs>
                <w:tab w:val="clear" w:pos="4153"/>
                <w:tab w:val="clear" w:pos="8306"/>
              </w:tabs>
              <w:snapToGrid/>
              <w:spacing w:line="360" w:lineRule="auto"/>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评分细则</w:t>
            </w:r>
          </w:p>
        </w:tc>
        <w:tc>
          <w:tcPr>
            <w:tcW w:w="809" w:type="dxa"/>
            <w:vAlign w:val="center"/>
          </w:tcPr>
          <w:p w14:paraId="61AAEC60">
            <w:pPr>
              <w:pStyle w:val="8"/>
              <w:tabs>
                <w:tab w:val="clear" w:pos="4153"/>
                <w:tab w:val="clear" w:pos="8306"/>
              </w:tabs>
              <w:snapToGrid/>
              <w:spacing w:line="360" w:lineRule="auto"/>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分值</w:t>
            </w:r>
          </w:p>
        </w:tc>
      </w:tr>
      <w:tr w14:paraId="68E0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087" w:type="dxa"/>
            <w:vMerge w:val="restart"/>
            <w:vAlign w:val="center"/>
          </w:tcPr>
          <w:p w14:paraId="07E3F974">
            <w:pPr>
              <w:tabs>
                <w:tab w:val="decimal" w:pos="315"/>
                <w:tab w:val="left" w:pos="630"/>
              </w:tabs>
              <w:spacing w:line="276" w:lineRule="auto"/>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商务</w:t>
            </w:r>
            <w:r>
              <w:rPr>
                <w:rFonts w:hint="eastAsia"/>
                <w:b/>
                <w:bCs/>
                <w:color w:val="000000" w:themeColor="text1"/>
                <w:highlight w:val="none"/>
                <w14:textFill>
                  <w14:solidFill>
                    <w14:schemeClr w14:val="tx1"/>
                  </w14:solidFill>
                </w14:textFill>
              </w:rPr>
              <w:t>技术</w:t>
            </w:r>
            <w:r>
              <w:rPr>
                <w:b/>
                <w:bCs/>
                <w:color w:val="000000" w:themeColor="text1"/>
                <w:highlight w:val="none"/>
                <w14:textFill>
                  <w14:solidFill>
                    <w14:schemeClr w14:val="tx1"/>
                  </w14:solidFill>
                </w14:textFill>
              </w:rPr>
              <w:t>部分</w:t>
            </w:r>
          </w:p>
        </w:tc>
        <w:tc>
          <w:tcPr>
            <w:tcW w:w="1087" w:type="dxa"/>
            <w:vAlign w:val="center"/>
          </w:tcPr>
          <w:p w14:paraId="5E7872A1">
            <w:pPr>
              <w:widowControl/>
              <w:jc w:val="center"/>
              <w:textAlignment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重要条款响应程度</w:t>
            </w:r>
          </w:p>
        </w:tc>
        <w:tc>
          <w:tcPr>
            <w:tcW w:w="6443" w:type="dxa"/>
            <w:vAlign w:val="center"/>
          </w:tcPr>
          <w:p w14:paraId="2FC8B88A">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全部满足用户需求书【</w:t>
            </w:r>
            <w:r>
              <w:rPr>
                <w:rFonts w:hint="eastAsia" w:ascii="宋体" w:hAnsi="宋体" w:cs="宋体"/>
                <w:color w:val="000000" w:themeColor="text1"/>
                <w:szCs w:val="21"/>
                <w:highlight w:val="none"/>
                <w:lang w:val="en-US" w:eastAsia="zh-CN" w:bidi="ar"/>
                <w14:textFill>
                  <w14:solidFill>
                    <w14:schemeClr w14:val="tx1"/>
                  </w14:solidFill>
                </w14:textFill>
              </w:rPr>
              <w:t>三</w:t>
            </w: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lang w:val="en-US" w:eastAsia="zh-CN" w:bidi="ar"/>
                <w14:textFill>
                  <w14:solidFill>
                    <w14:schemeClr w14:val="tx1"/>
                  </w14:solidFill>
                </w14:textFill>
              </w:rPr>
              <w:t>采购清单及参数要求</w:t>
            </w:r>
            <w:r>
              <w:rPr>
                <w:rFonts w:hint="eastAsia" w:ascii="宋体" w:hAnsi="宋体" w:cs="宋体"/>
                <w:color w:val="000000" w:themeColor="text1"/>
                <w:szCs w:val="21"/>
                <w:highlight w:val="none"/>
                <w:lang w:bidi="ar"/>
                <w14:textFill>
                  <w14:solidFill>
                    <w14:schemeClr w14:val="tx1"/>
                  </w14:solidFill>
                </w14:textFill>
              </w:rPr>
              <w:t>】中带▲号的重要技术参数，得</w:t>
            </w:r>
            <w:r>
              <w:rPr>
                <w:rFonts w:hint="eastAsia" w:ascii="宋体" w:hAnsi="宋体" w:cs="宋体"/>
                <w:color w:val="000000" w:themeColor="text1"/>
                <w:szCs w:val="21"/>
                <w:highlight w:val="none"/>
                <w:lang w:val="en-US" w:eastAsia="zh-CN" w:bidi="ar"/>
                <w14:textFill>
                  <w14:solidFill>
                    <w14:schemeClr w14:val="tx1"/>
                  </w14:solidFill>
                </w14:textFill>
              </w:rPr>
              <w:t>32</w:t>
            </w:r>
            <w:r>
              <w:rPr>
                <w:rFonts w:hint="eastAsia" w:ascii="宋体" w:hAnsi="宋体" w:cs="宋体"/>
                <w:color w:val="000000" w:themeColor="text1"/>
                <w:szCs w:val="21"/>
                <w:highlight w:val="none"/>
                <w:lang w:bidi="ar"/>
                <w14:textFill>
                  <w14:solidFill>
                    <w14:schemeClr w14:val="tx1"/>
                  </w14:solidFill>
                </w14:textFill>
              </w:rPr>
              <w:t>分；每出现一处带▲号的重要技术参数负偏离，扣</w:t>
            </w:r>
            <w:r>
              <w:rPr>
                <w:rFonts w:hint="eastAsia" w:ascii="宋体" w:hAnsi="宋体" w:cs="宋体"/>
                <w:color w:val="000000" w:themeColor="text1"/>
                <w:szCs w:val="21"/>
                <w:highlight w:val="none"/>
                <w:lang w:eastAsia="zh-CN" w:bidi="ar"/>
                <w14:textFill>
                  <w14:solidFill>
                    <w14:schemeClr w14:val="tx1"/>
                  </w14:solidFill>
                </w14:textFill>
              </w:rPr>
              <w:t>4</w:t>
            </w:r>
            <w:r>
              <w:rPr>
                <w:rFonts w:hint="eastAsia" w:ascii="宋体" w:hAnsi="宋体" w:cs="宋体"/>
                <w:color w:val="000000" w:themeColor="text1"/>
                <w:szCs w:val="21"/>
                <w:highlight w:val="none"/>
                <w:lang w:bidi="ar"/>
                <w14:textFill>
                  <w14:solidFill>
                    <w14:schemeClr w14:val="tx1"/>
                  </w14:solidFill>
                </w14:textFill>
              </w:rPr>
              <w:t>分，最低得0分（本项目共</w:t>
            </w:r>
            <w:r>
              <w:rPr>
                <w:rFonts w:hint="eastAsia" w:ascii="宋体" w:hAnsi="宋体" w:cs="宋体"/>
                <w:color w:val="000000" w:themeColor="text1"/>
                <w:szCs w:val="21"/>
                <w:highlight w:val="none"/>
                <w:lang w:val="en-US" w:eastAsia="zh-CN" w:bidi="ar"/>
                <w14:textFill>
                  <w14:solidFill>
                    <w14:schemeClr w14:val="tx1"/>
                  </w14:solidFill>
                </w14:textFill>
              </w:rPr>
              <w:t>8</w:t>
            </w:r>
            <w:r>
              <w:rPr>
                <w:rFonts w:hint="eastAsia" w:ascii="宋体" w:hAnsi="宋体" w:cs="宋体"/>
                <w:color w:val="000000" w:themeColor="text1"/>
                <w:szCs w:val="21"/>
                <w:highlight w:val="none"/>
                <w:lang w:bidi="ar"/>
                <w14:textFill>
                  <w14:solidFill>
                    <w14:schemeClr w14:val="tx1"/>
                  </w14:solidFill>
                </w14:textFill>
              </w:rPr>
              <w:t>个带▲号的重要技术参数）。</w:t>
            </w:r>
          </w:p>
          <w:p w14:paraId="0F4EDF8C">
            <w:pPr>
              <w:widowControl/>
              <w:spacing w:line="360" w:lineRule="auto"/>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注：（1）评审依据以供应商响应文件中响应表填写内容为准，未填写的视为负偏离；（2）如采购需求中有明确要求提供具体证明资料的，必须按采购需求单独（额外）提供，如评审小组无法从所提供资料中判断其响应内容是否符合要求的，视为负偏离。</w:t>
            </w:r>
          </w:p>
          <w:p w14:paraId="152048DA">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未提供或未按上述要求提供相关证明材料的不得分。</w:t>
            </w:r>
          </w:p>
        </w:tc>
        <w:tc>
          <w:tcPr>
            <w:tcW w:w="809" w:type="dxa"/>
            <w:vAlign w:val="center"/>
          </w:tcPr>
          <w:p w14:paraId="5B364E5A">
            <w:pPr>
              <w:tabs>
                <w:tab w:val="decimal" w:pos="315"/>
                <w:tab w:val="left" w:pos="630"/>
              </w:tabs>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32</w:t>
            </w:r>
            <w:r>
              <w:rPr>
                <w:rFonts w:hint="eastAsia"/>
                <w:color w:val="000000" w:themeColor="text1"/>
                <w:highlight w:val="none"/>
                <w14:textFill>
                  <w14:solidFill>
                    <w14:schemeClr w14:val="tx1"/>
                  </w14:solidFill>
                </w14:textFill>
              </w:rPr>
              <w:t>分</w:t>
            </w:r>
          </w:p>
        </w:tc>
      </w:tr>
      <w:tr w14:paraId="61D4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087" w:type="dxa"/>
            <w:vMerge w:val="continue"/>
            <w:vAlign w:val="center"/>
          </w:tcPr>
          <w:p w14:paraId="7436D00D">
            <w:pPr>
              <w:tabs>
                <w:tab w:val="decimal" w:pos="315"/>
                <w:tab w:val="left" w:pos="630"/>
              </w:tabs>
              <w:spacing w:line="276" w:lineRule="auto"/>
              <w:jc w:val="center"/>
              <w:rPr>
                <w:b/>
                <w:bCs/>
                <w:color w:val="000000" w:themeColor="text1"/>
                <w:highlight w:val="none"/>
                <w14:textFill>
                  <w14:solidFill>
                    <w14:schemeClr w14:val="tx1"/>
                  </w14:solidFill>
                </w14:textFill>
              </w:rPr>
            </w:pPr>
          </w:p>
        </w:tc>
        <w:tc>
          <w:tcPr>
            <w:tcW w:w="1087" w:type="dxa"/>
            <w:vAlign w:val="center"/>
          </w:tcPr>
          <w:p w14:paraId="61B919C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一般条款响应程度</w:t>
            </w:r>
          </w:p>
        </w:tc>
        <w:tc>
          <w:tcPr>
            <w:tcW w:w="6443" w:type="dxa"/>
            <w:vAlign w:val="center"/>
          </w:tcPr>
          <w:p w14:paraId="69A9252E">
            <w:pPr>
              <w:widowControl/>
              <w:spacing w:line="360" w:lineRule="auto"/>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完全满足用户需求书【二、技术要求】中不带▲号不带★号的一般技术参数（每条条款最小一级序号均以一项计算），得</w:t>
            </w:r>
            <w:r>
              <w:rPr>
                <w:rFonts w:hint="eastAsia" w:ascii="宋体" w:hAnsi="宋体" w:cs="宋体"/>
                <w:color w:val="000000" w:themeColor="text1"/>
                <w:szCs w:val="21"/>
                <w:highlight w:val="none"/>
                <w:lang w:val="en-US" w:eastAsia="zh-CN" w:bidi="ar"/>
                <w14:textFill>
                  <w14:solidFill>
                    <w14:schemeClr w14:val="tx1"/>
                  </w14:solidFill>
                </w14:textFill>
              </w:rPr>
              <w:t>7</w:t>
            </w:r>
            <w:r>
              <w:rPr>
                <w:rFonts w:hint="eastAsia" w:ascii="宋体" w:hAnsi="宋体" w:cs="宋体"/>
                <w:color w:val="000000" w:themeColor="text1"/>
                <w:szCs w:val="21"/>
                <w:highlight w:val="none"/>
                <w:lang w:bidi="ar"/>
                <w14:textFill>
                  <w14:solidFill>
                    <w14:schemeClr w14:val="tx1"/>
                  </w14:solidFill>
                </w14:textFill>
              </w:rPr>
              <w:t>分；每出现一处不带▲号不带★号一般技术参数负偏离，扣</w:t>
            </w:r>
            <w:r>
              <w:rPr>
                <w:rFonts w:hint="eastAsia" w:ascii="宋体" w:hAnsi="宋体" w:cs="宋体"/>
                <w:color w:val="000000" w:themeColor="text1"/>
                <w:szCs w:val="21"/>
                <w:highlight w:val="none"/>
                <w:lang w:val="en-US" w:eastAsia="zh-CN" w:bidi="ar"/>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分，最低得0分（本项目共</w:t>
            </w:r>
            <w:r>
              <w:rPr>
                <w:rFonts w:hint="eastAsia" w:ascii="宋体" w:hAnsi="宋体" w:cs="宋体"/>
                <w:color w:val="000000" w:themeColor="text1"/>
                <w:szCs w:val="21"/>
                <w:highlight w:val="none"/>
                <w:lang w:val="en-US" w:eastAsia="zh-CN" w:bidi="ar"/>
                <w14:textFill>
                  <w14:solidFill>
                    <w14:schemeClr w14:val="tx1"/>
                  </w14:solidFill>
                </w14:textFill>
              </w:rPr>
              <w:t>7</w:t>
            </w:r>
            <w:r>
              <w:rPr>
                <w:rFonts w:hint="eastAsia" w:ascii="宋体" w:hAnsi="宋体" w:cs="宋体"/>
                <w:color w:val="000000" w:themeColor="text1"/>
                <w:szCs w:val="21"/>
                <w:highlight w:val="none"/>
                <w:lang w:bidi="ar"/>
                <w14:textFill>
                  <w14:solidFill>
                    <w14:schemeClr w14:val="tx1"/>
                  </w14:solidFill>
                </w14:textFill>
              </w:rPr>
              <w:t>个不带▲号不带★号的一般技术参数）。</w:t>
            </w:r>
          </w:p>
          <w:p w14:paraId="0ACF6594">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注：评审依据以供应商响应文件中响应表填写内容为准，未填写的视为负偏离，不得分。</w:t>
            </w:r>
          </w:p>
        </w:tc>
        <w:tc>
          <w:tcPr>
            <w:tcW w:w="809" w:type="dxa"/>
            <w:vAlign w:val="center"/>
          </w:tcPr>
          <w:p w14:paraId="4B049293">
            <w:pPr>
              <w:tabs>
                <w:tab w:val="decimal" w:pos="315"/>
                <w:tab w:val="left" w:pos="630"/>
              </w:tabs>
              <w:spacing w:line="276"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分</w:t>
            </w:r>
          </w:p>
        </w:tc>
      </w:tr>
      <w:tr w14:paraId="4ED8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vAlign w:val="center"/>
          </w:tcPr>
          <w:p w14:paraId="182D2020">
            <w:pPr>
              <w:tabs>
                <w:tab w:val="decimal" w:pos="315"/>
                <w:tab w:val="left" w:pos="630"/>
              </w:tabs>
              <w:spacing w:line="276" w:lineRule="auto"/>
              <w:jc w:val="center"/>
              <w:rPr>
                <w:color w:val="000000" w:themeColor="text1"/>
                <w:highlight w:val="none"/>
                <w14:textFill>
                  <w14:solidFill>
                    <w14:schemeClr w14:val="tx1"/>
                  </w14:solidFill>
                </w14:textFill>
              </w:rPr>
            </w:pPr>
          </w:p>
        </w:tc>
        <w:tc>
          <w:tcPr>
            <w:tcW w:w="1087" w:type="dxa"/>
            <w:vAlign w:val="center"/>
          </w:tcPr>
          <w:p w14:paraId="2891C6C5">
            <w:pPr>
              <w:widowControl/>
              <w:jc w:val="center"/>
              <w:textAlignment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同类项目业绩</w:t>
            </w:r>
          </w:p>
        </w:tc>
        <w:tc>
          <w:tcPr>
            <w:tcW w:w="6443" w:type="dxa"/>
            <w:vAlign w:val="center"/>
          </w:tcPr>
          <w:p w14:paraId="25DE767E">
            <w:pPr>
              <w:widowControl/>
              <w:spacing w:line="360" w:lineRule="auto"/>
              <w:textAlignment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供应商自 2022年1月1日以来（以合同签订时间或供货单时间为准）完成的所投项目（</w:t>
            </w:r>
            <w:r>
              <w:rPr>
                <w:rFonts w:hint="eastAsia" w:ascii="宋体" w:hAnsi="宋体" w:cs="宋体"/>
                <w:color w:val="000000" w:themeColor="text1"/>
                <w:szCs w:val="21"/>
                <w:highlight w:val="none"/>
                <w:lang w:val="en-US" w:eastAsia="zh-CN" w:bidi="ar"/>
                <w14:textFill>
                  <w14:solidFill>
                    <w14:schemeClr w14:val="tx1"/>
                  </w14:solidFill>
                </w14:textFill>
              </w:rPr>
              <w:t>消防类</w:t>
            </w:r>
            <w:r>
              <w:rPr>
                <w:rFonts w:hint="eastAsia" w:ascii="宋体" w:hAnsi="宋体" w:cs="宋体"/>
                <w:color w:val="000000" w:themeColor="text1"/>
                <w:szCs w:val="21"/>
                <w:highlight w:val="none"/>
                <w:lang w:bidi="ar"/>
                <w14:textFill>
                  <w14:solidFill>
                    <w14:schemeClr w14:val="tx1"/>
                  </w14:solidFill>
                </w14:textFill>
              </w:rPr>
              <w:t>）的</w:t>
            </w:r>
            <w:r>
              <w:rPr>
                <w:rFonts w:hint="eastAsia" w:ascii="宋体" w:hAnsi="宋体" w:cs="宋体"/>
                <w:color w:val="000000" w:themeColor="text1"/>
                <w:szCs w:val="21"/>
                <w:highlight w:val="none"/>
                <w:lang w:val="en-US" w:eastAsia="zh-CN" w:bidi="ar"/>
                <w14:textFill>
                  <w14:solidFill>
                    <w14:schemeClr w14:val="tx1"/>
                  </w14:solidFill>
                </w14:textFill>
              </w:rPr>
              <w:t>同类</w:t>
            </w:r>
            <w:r>
              <w:rPr>
                <w:rFonts w:hint="eastAsia" w:ascii="宋体" w:hAnsi="宋体" w:cs="宋体"/>
                <w:color w:val="000000" w:themeColor="text1"/>
                <w:szCs w:val="21"/>
                <w:highlight w:val="none"/>
                <w:lang w:bidi="ar"/>
                <w14:textFill>
                  <w14:solidFill>
                    <w14:schemeClr w14:val="tx1"/>
                  </w14:solidFill>
                </w14:textFill>
              </w:rPr>
              <w:t>业绩，相同购买方限1个业绩，每提供1个得</w:t>
            </w:r>
            <w:r>
              <w:rPr>
                <w:rFonts w:hint="eastAsia" w:ascii="宋体" w:hAnsi="宋体" w:cs="宋体"/>
                <w:color w:val="000000" w:themeColor="text1"/>
                <w:szCs w:val="21"/>
                <w:highlight w:val="none"/>
                <w:lang w:val="en-US" w:eastAsia="zh-CN" w:bidi="ar"/>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分，最高得</w:t>
            </w:r>
            <w:r>
              <w:rPr>
                <w:rFonts w:hint="eastAsia" w:ascii="宋体" w:hAnsi="宋体" w:cs="宋体"/>
                <w:color w:val="000000" w:themeColor="text1"/>
                <w:szCs w:val="21"/>
                <w:highlight w:val="none"/>
                <w:lang w:val="en-US" w:eastAsia="zh-CN" w:bidi="ar"/>
                <w14:textFill>
                  <w14:solidFill>
                    <w14:schemeClr w14:val="tx1"/>
                  </w14:solidFill>
                </w14:textFill>
              </w:rPr>
              <w:t>3</w:t>
            </w:r>
            <w:r>
              <w:rPr>
                <w:rFonts w:hint="eastAsia" w:ascii="宋体" w:hAnsi="宋体" w:cs="宋体"/>
                <w:color w:val="000000" w:themeColor="text1"/>
                <w:szCs w:val="21"/>
                <w:highlight w:val="none"/>
                <w:lang w:bidi="ar"/>
                <w14:textFill>
                  <w14:solidFill>
                    <w14:schemeClr w14:val="tx1"/>
                  </w14:solidFill>
                </w14:textFill>
              </w:rPr>
              <w:t>分。</w:t>
            </w:r>
            <w:r>
              <w:rPr>
                <w:rFonts w:hint="eastAsia" w:ascii="宋体" w:hAnsi="宋体" w:cs="宋体"/>
                <w:color w:val="000000" w:themeColor="text1"/>
                <w:szCs w:val="21"/>
                <w:highlight w:val="none"/>
                <w:lang w:bidi="ar"/>
                <w14:textFill>
                  <w14:solidFill>
                    <w14:schemeClr w14:val="tx1"/>
                  </w14:solidFill>
                </w14:textFill>
              </w:rPr>
              <w:br w:type="textWrapping"/>
            </w:r>
            <w:r>
              <w:rPr>
                <w:rFonts w:hint="eastAsia" w:ascii="宋体" w:hAnsi="宋体" w:cs="宋体"/>
                <w:color w:val="000000" w:themeColor="text1"/>
                <w:szCs w:val="21"/>
                <w:highlight w:val="none"/>
                <w:lang w:bidi="ar"/>
                <w14:textFill>
                  <w14:solidFill>
                    <w14:schemeClr w14:val="tx1"/>
                  </w14:solidFill>
                </w14:textFill>
              </w:rPr>
              <w:t>注：提供合同复印件或供货单复印件（</w:t>
            </w:r>
            <w:r>
              <w:rPr>
                <w:rFonts w:hint="eastAsia" w:ascii="宋体" w:hAnsi="宋体" w:cs="宋体"/>
                <w:b/>
                <w:bCs/>
                <w:color w:val="000000" w:themeColor="text1"/>
                <w:szCs w:val="21"/>
                <w:highlight w:val="none"/>
                <w:lang w:bidi="ar"/>
                <w14:textFill>
                  <w14:solidFill>
                    <w14:schemeClr w14:val="tx1"/>
                  </w14:solidFill>
                </w14:textFill>
              </w:rPr>
              <w:t>加盖公章</w:t>
            </w:r>
            <w:r>
              <w:rPr>
                <w:rFonts w:hint="eastAsia" w:ascii="宋体" w:hAnsi="宋体" w:cs="宋体"/>
                <w:color w:val="000000" w:themeColor="text1"/>
                <w:szCs w:val="21"/>
                <w:highlight w:val="none"/>
                <w:lang w:bidi="ar"/>
                <w14:textFill>
                  <w14:solidFill>
                    <w14:schemeClr w14:val="tx1"/>
                  </w14:solidFill>
                </w14:textFill>
              </w:rPr>
              <w:t>），未提供或未按要求提供相关证明材料的不得分。</w:t>
            </w:r>
          </w:p>
        </w:tc>
        <w:tc>
          <w:tcPr>
            <w:tcW w:w="809" w:type="dxa"/>
            <w:vAlign w:val="center"/>
          </w:tcPr>
          <w:p w14:paraId="58E021FB">
            <w:pPr>
              <w:tabs>
                <w:tab w:val="decimal" w:pos="315"/>
                <w:tab w:val="left" w:pos="630"/>
              </w:tabs>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p>
        </w:tc>
      </w:tr>
      <w:tr w14:paraId="593E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vAlign w:val="center"/>
          </w:tcPr>
          <w:p w14:paraId="48F4113A">
            <w:pPr>
              <w:tabs>
                <w:tab w:val="decimal" w:pos="315"/>
                <w:tab w:val="left" w:pos="630"/>
              </w:tabs>
              <w:spacing w:line="276"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w:t>
            </w:r>
          </w:p>
        </w:tc>
        <w:tc>
          <w:tcPr>
            <w:tcW w:w="1087" w:type="dxa"/>
            <w:vAlign w:val="center"/>
          </w:tcPr>
          <w:p w14:paraId="675DF352">
            <w:pPr>
              <w:widowControl/>
              <w:jc w:val="center"/>
              <w:textAlignment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实施人员要求</w:t>
            </w:r>
          </w:p>
        </w:tc>
        <w:tc>
          <w:tcPr>
            <w:tcW w:w="6443" w:type="dxa"/>
            <w:vAlign w:val="center"/>
          </w:tcPr>
          <w:p w14:paraId="094353FC">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供应商</w:t>
            </w:r>
            <w:r>
              <w:rPr>
                <w:rFonts w:hint="eastAsia" w:ascii="宋体" w:hAnsi="宋体" w:cs="宋体"/>
                <w:color w:val="000000" w:themeColor="text1"/>
                <w:szCs w:val="21"/>
                <w:highlight w:val="none"/>
                <w:lang w:val="en-US" w:eastAsia="zh-CN" w:bidi="ar"/>
                <w14:textFill>
                  <w14:solidFill>
                    <w14:schemeClr w14:val="tx1"/>
                  </w14:solidFill>
                </w14:textFill>
              </w:rPr>
              <w:t>持</w:t>
            </w:r>
            <w:r>
              <w:rPr>
                <w:rFonts w:hint="eastAsia" w:ascii="宋体" w:hAnsi="宋体" w:cs="宋体"/>
                <w:color w:val="000000" w:themeColor="text1"/>
                <w:szCs w:val="21"/>
                <w:highlight w:val="none"/>
                <w:lang w:bidi="ar"/>
                <w14:textFill>
                  <w14:solidFill>
                    <w14:schemeClr w14:val="tx1"/>
                  </w14:solidFill>
                </w14:textFill>
              </w:rPr>
              <w:t>有低压电工作业证、</w:t>
            </w:r>
            <w:r>
              <w:rPr>
                <w:rFonts w:hint="eastAsia" w:ascii="宋体" w:hAnsi="宋体" w:cs="宋体"/>
                <w:color w:val="000000" w:themeColor="text1"/>
                <w:szCs w:val="21"/>
                <w:highlight w:val="none"/>
                <w:lang w:val="en-US" w:eastAsia="zh-CN" w:bidi="ar"/>
                <w14:textFill>
                  <w14:solidFill>
                    <w14:schemeClr w14:val="tx1"/>
                  </w14:solidFill>
                </w14:textFill>
              </w:rPr>
              <w:t>中级消防设施操作员证</w:t>
            </w:r>
            <w:r>
              <w:rPr>
                <w:rFonts w:hint="eastAsia" w:ascii="宋体" w:hAnsi="宋体" w:cs="宋体"/>
                <w:color w:val="000000" w:themeColor="text1"/>
                <w:szCs w:val="21"/>
                <w:highlight w:val="none"/>
                <w:lang w:bidi="ar"/>
                <w14:textFill>
                  <w14:solidFill>
                    <w14:schemeClr w14:val="tx1"/>
                  </w14:solidFill>
                </w14:textFill>
              </w:rPr>
              <w:t>服务人员：双证同时</w:t>
            </w:r>
            <w:r>
              <w:rPr>
                <w:rFonts w:hint="eastAsia" w:ascii="宋体" w:hAnsi="宋体" w:cs="宋体"/>
                <w:color w:val="000000" w:themeColor="text1"/>
                <w:szCs w:val="21"/>
                <w:highlight w:val="none"/>
                <w:lang w:val="en-US" w:eastAsia="zh-CN" w:bidi="ar"/>
                <w14:textFill>
                  <w14:solidFill>
                    <w14:schemeClr w14:val="tx1"/>
                  </w14:solidFill>
                </w14:textFill>
              </w:rPr>
              <w:t>持</w:t>
            </w:r>
            <w:r>
              <w:rPr>
                <w:rFonts w:hint="eastAsia" w:ascii="宋体" w:hAnsi="宋体" w:cs="宋体"/>
                <w:color w:val="000000" w:themeColor="text1"/>
                <w:szCs w:val="21"/>
                <w:highlight w:val="none"/>
                <w:lang w:bidi="ar"/>
                <w14:textFill>
                  <w14:solidFill>
                    <w14:schemeClr w14:val="tx1"/>
                  </w14:solidFill>
                </w14:textFill>
              </w:rPr>
              <w:t>有每提供1名得4分；只持单证（低压电工作业证或中级消防设施操作员证）每提供1名得</w:t>
            </w:r>
            <w:r>
              <w:rPr>
                <w:rFonts w:hint="eastAsia" w:ascii="宋体" w:hAnsi="宋体" w:cs="宋体"/>
                <w:color w:val="000000" w:themeColor="text1"/>
                <w:szCs w:val="21"/>
                <w:highlight w:val="none"/>
                <w:lang w:val="en-US" w:eastAsia="zh-CN" w:bidi="ar"/>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分；本项最高得10分；</w:t>
            </w:r>
          </w:p>
          <w:p w14:paraId="1D621144">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注：（1）同一人员不得重复得分；(2)提供上述有效证件复印件（加盖公章）；（3）提供由供应商为其购买的响应截止时间前近3个月</w:t>
            </w:r>
            <w:r>
              <w:rPr>
                <w:rFonts w:hint="eastAsia" w:ascii="宋体" w:hAnsi="宋体" w:cs="宋体"/>
                <w:color w:val="000000" w:themeColor="text1"/>
                <w:szCs w:val="21"/>
                <w:highlight w:val="none"/>
                <w:lang w:bidi="zh-CN"/>
                <w14:textFill>
                  <w14:solidFill>
                    <w14:schemeClr w14:val="tx1"/>
                  </w14:solidFill>
                </w14:textFill>
              </w:rPr>
              <w:t>任意1个月</w:t>
            </w:r>
            <w:r>
              <w:rPr>
                <w:rFonts w:hint="eastAsia" w:ascii="宋体" w:hAnsi="宋体" w:cs="宋体"/>
                <w:color w:val="000000" w:themeColor="text1"/>
                <w:szCs w:val="21"/>
                <w:highlight w:val="none"/>
                <w:lang w:bidi="ar"/>
                <w14:textFill>
                  <w14:solidFill>
                    <w14:schemeClr w14:val="tx1"/>
                  </w14:solidFill>
                </w14:textFill>
              </w:rPr>
              <w:t>的社保证明文件复印件并加盖公章。如果供应商未能提供社保证明文件复印件的，可在响应文件中提供相关承诺(格式自拟，承诺书内容包括但不限于以下内容:若我单位成交，合同签订时保证按响应文件中所配备的人员到位并提供以上拟派人员的社保证明文件或劳务合同，否则视为我单位放弃成交资格)，视为满足社保评审要求。</w:t>
            </w:r>
          </w:p>
          <w:p w14:paraId="62BBB5B4">
            <w:pPr>
              <w:widowControl/>
              <w:spacing w:line="360" w:lineRule="auto"/>
              <w:textAlignment w:val="center"/>
              <w:rPr>
                <w:rFonts w:ascii="Calibri" w:hAnsi="Calibri"/>
                <w:color w:val="000000" w:themeColor="text1"/>
                <w:highlight w:val="none"/>
                <w:lang w:val="zh-CN" w:eastAsia="zh-Hans"/>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未提供或未按上述要求提供相关证明材料的不得分。</w:t>
            </w:r>
          </w:p>
        </w:tc>
        <w:tc>
          <w:tcPr>
            <w:tcW w:w="809" w:type="dxa"/>
            <w:vAlign w:val="center"/>
          </w:tcPr>
          <w:p w14:paraId="003F5A9D">
            <w:pPr>
              <w:tabs>
                <w:tab w:val="decimal" w:pos="315"/>
                <w:tab w:val="left" w:pos="630"/>
              </w:tabs>
              <w:spacing w:line="276"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14:paraId="006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vAlign w:val="center"/>
          </w:tcPr>
          <w:p w14:paraId="74688846">
            <w:pPr>
              <w:tabs>
                <w:tab w:val="decimal" w:pos="315"/>
                <w:tab w:val="left" w:pos="630"/>
              </w:tabs>
              <w:spacing w:line="276" w:lineRule="auto"/>
              <w:jc w:val="center"/>
              <w:rPr>
                <w:color w:val="000000" w:themeColor="text1"/>
                <w:highlight w:val="none"/>
                <w14:textFill>
                  <w14:solidFill>
                    <w14:schemeClr w14:val="tx1"/>
                  </w14:solidFill>
                </w14:textFill>
              </w:rPr>
            </w:pPr>
          </w:p>
        </w:tc>
        <w:tc>
          <w:tcPr>
            <w:tcW w:w="1087" w:type="dxa"/>
            <w:vAlign w:val="center"/>
          </w:tcPr>
          <w:p w14:paraId="7724706A">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售后服务方案</w:t>
            </w:r>
          </w:p>
        </w:tc>
        <w:tc>
          <w:tcPr>
            <w:tcW w:w="6443" w:type="dxa"/>
            <w:vAlign w:val="center"/>
          </w:tcPr>
          <w:p w14:paraId="23DCFD41">
            <w:pPr>
              <w:widowControl/>
              <w:spacing w:line="360" w:lineRule="auto"/>
              <w:textAlignment w:val="center"/>
              <w:rPr>
                <w:rFonts w:ascii="宋体" w:cs="宋体"/>
                <w:bCs/>
                <w:color w:val="000000" w:themeColor="text1"/>
                <w:szCs w:val="21"/>
                <w:highlight w:val="none"/>
                <w:lang w:val="zh-CN"/>
                <w14:textFill>
                  <w14:solidFill>
                    <w14:schemeClr w14:val="tx1"/>
                  </w14:solidFill>
                </w14:textFill>
              </w:rPr>
            </w:pPr>
            <w:r>
              <w:rPr>
                <w:rFonts w:hint="eastAsia" w:ascii="宋体" w:cs="宋体"/>
                <w:bCs/>
                <w:color w:val="000000" w:themeColor="text1"/>
                <w:szCs w:val="21"/>
                <w:highlight w:val="none"/>
                <w:lang w:val="zh-CN"/>
                <w14:textFill>
                  <w14:solidFill>
                    <w14:schemeClr w14:val="tx1"/>
                  </w14:solidFill>
                </w14:textFill>
              </w:rPr>
              <w:t>根据供应商提供的</w:t>
            </w:r>
            <w:r>
              <w:rPr>
                <w:rFonts w:hint="eastAsia" w:ascii="宋体" w:hAnsi="宋体" w:cs="宋体"/>
                <w:color w:val="000000" w:themeColor="text1"/>
                <w:szCs w:val="21"/>
                <w:highlight w:val="none"/>
                <w:lang w:bidi="ar"/>
                <w14:textFill>
                  <w14:solidFill>
                    <w14:schemeClr w14:val="tx1"/>
                  </w14:solidFill>
                </w14:textFill>
              </w:rPr>
              <w:t>售后服务方案（包括但不限于</w:t>
            </w:r>
            <w:r>
              <w:rPr>
                <w:rFonts w:hint="eastAsia" w:ascii="宋体" w:cs="宋体"/>
                <w:bCs/>
                <w:color w:val="000000" w:themeColor="text1"/>
                <w:szCs w:val="21"/>
                <w:highlight w:val="none"/>
                <w:lang w:val="zh-CN"/>
                <w14:textFill>
                  <w14:solidFill>
                    <w14:schemeClr w14:val="tx1"/>
                  </w14:solidFill>
                </w14:textFill>
              </w:rPr>
              <w:t>服务响应时间、售后服务措施及质保期内产品维护措施</w:t>
            </w:r>
            <w:r>
              <w:rPr>
                <w:rFonts w:hint="eastAsia" w:ascii="宋体" w:hAnsi="宋体" w:cs="宋体"/>
                <w:color w:val="000000" w:themeColor="text1"/>
                <w:szCs w:val="21"/>
                <w:highlight w:val="none"/>
                <w:lang w:bidi="ar"/>
                <w14:textFill>
                  <w14:solidFill>
                    <w14:schemeClr w14:val="tx1"/>
                  </w14:solidFill>
                </w14:textFill>
              </w:rPr>
              <w:t>）进行评审：</w:t>
            </w:r>
          </w:p>
          <w:p w14:paraId="35CB5944">
            <w:pPr>
              <w:widowControl/>
              <w:spacing w:line="360" w:lineRule="auto"/>
              <w:textAlignment w:val="center"/>
              <w:rPr>
                <w:rFonts w:ascii="宋体" w:cs="宋体"/>
                <w:bCs/>
                <w:color w:val="000000" w:themeColor="text1"/>
                <w:szCs w:val="21"/>
                <w:highlight w:val="none"/>
                <w:lang w:val="zh-CN"/>
                <w14:textFill>
                  <w14:solidFill>
                    <w14:schemeClr w14:val="tx1"/>
                  </w14:solidFill>
                </w14:textFill>
              </w:rPr>
            </w:pPr>
            <w:r>
              <w:rPr>
                <w:rFonts w:hint="eastAsia" w:ascii="宋体" w:cs="宋体"/>
                <w:bCs/>
                <w:color w:val="000000" w:themeColor="text1"/>
                <w:szCs w:val="21"/>
                <w:highlight w:val="none"/>
                <w:lang w:val="zh-CN"/>
                <w14:textFill>
                  <w14:solidFill>
                    <w14:schemeClr w14:val="tx1"/>
                  </w14:solidFill>
                </w14:textFill>
              </w:rPr>
              <w:t>1.服务响应时间优于采购文件要求，有详细的售后服务措施及质保期内产品维护措施且可以实际应用，具有针对性，得</w:t>
            </w:r>
            <w:r>
              <w:rPr>
                <w:rFonts w:hint="eastAsia" w:ascii="宋体" w:cs="宋体"/>
                <w:bCs/>
                <w:color w:val="000000" w:themeColor="text1"/>
                <w:szCs w:val="21"/>
                <w:highlight w:val="none"/>
                <w:lang w:val="en-US" w:eastAsia="zh-CN"/>
                <w14:textFill>
                  <w14:solidFill>
                    <w14:schemeClr w14:val="tx1"/>
                  </w14:solidFill>
                </w14:textFill>
              </w:rPr>
              <w:t>9</w:t>
            </w:r>
            <w:r>
              <w:rPr>
                <w:rFonts w:hint="eastAsia" w:ascii="宋体" w:cs="宋体"/>
                <w:bCs/>
                <w:color w:val="000000" w:themeColor="text1"/>
                <w:szCs w:val="21"/>
                <w:highlight w:val="none"/>
                <w:lang w:val="zh-CN"/>
                <w14:textFill>
                  <w14:solidFill>
                    <w14:schemeClr w14:val="tx1"/>
                  </w14:solidFill>
                </w14:textFill>
              </w:rPr>
              <w:t>分;</w:t>
            </w:r>
          </w:p>
          <w:p w14:paraId="3DCEE563">
            <w:pPr>
              <w:widowControl/>
              <w:spacing w:line="360" w:lineRule="auto"/>
              <w:textAlignment w:val="center"/>
              <w:rPr>
                <w:rFonts w:ascii="宋体" w:cs="宋体"/>
                <w:bCs/>
                <w:color w:val="000000" w:themeColor="text1"/>
                <w:szCs w:val="21"/>
                <w:highlight w:val="none"/>
                <w:lang w:val="zh-CN"/>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w:t>
            </w:r>
            <w:r>
              <w:rPr>
                <w:rFonts w:hint="eastAsia" w:ascii="宋体" w:cs="宋体"/>
                <w:bCs/>
                <w:color w:val="000000" w:themeColor="text1"/>
                <w:szCs w:val="21"/>
                <w:highlight w:val="none"/>
                <w:lang w:val="zh-CN"/>
                <w14:textFill>
                  <w14:solidFill>
                    <w14:schemeClr w14:val="tx1"/>
                  </w14:solidFill>
                </w14:textFill>
              </w:rPr>
              <w:t>服务响应时间满足采购文件</w:t>
            </w:r>
            <w:r>
              <w:rPr>
                <w:rFonts w:hint="eastAsia" w:ascii="宋体" w:cs="宋体"/>
                <w:bCs/>
                <w:color w:val="000000" w:themeColor="text1"/>
                <w:szCs w:val="21"/>
                <w:highlight w:val="none"/>
                <w14:textFill>
                  <w14:solidFill>
                    <w14:schemeClr w14:val="tx1"/>
                  </w14:solidFill>
                </w14:textFill>
              </w:rPr>
              <w:t>要求</w:t>
            </w:r>
            <w:r>
              <w:rPr>
                <w:rFonts w:hint="eastAsia" w:ascii="宋体" w:cs="宋体"/>
                <w:bCs/>
                <w:color w:val="000000" w:themeColor="text1"/>
                <w:szCs w:val="21"/>
                <w:highlight w:val="none"/>
                <w:lang w:val="zh-CN"/>
                <w14:textFill>
                  <w14:solidFill>
                    <w14:schemeClr w14:val="tx1"/>
                  </w14:solidFill>
                </w14:textFill>
              </w:rPr>
              <w:t>，有一定的可以得到应用的售后服务措施及质保期内产品维护措施，有一定的针对性，得</w:t>
            </w:r>
            <w:r>
              <w:rPr>
                <w:rFonts w:hint="eastAsia" w:ascii="宋体" w:cs="宋体"/>
                <w:bCs/>
                <w:color w:val="000000" w:themeColor="text1"/>
                <w:szCs w:val="21"/>
                <w:highlight w:val="none"/>
                <w:lang w:val="en-US" w:eastAsia="zh-CN"/>
                <w14:textFill>
                  <w14:solidFill>
                    <w14:schemeClr w14:val="tx1"/>
                  </w14:solidFill>
                </w14:textFill>
              </w:rPr>
              <w:t>6</w:t>
            </w:r>
            <w:r>
              <w:rPr>
                <w:rFonts w:hint="eastAsia" w:ascii="宋体" w:cs="宋体"/>
                <w:bCs/>
                <w:color w:val="000000" w:themeColor="text1"/>
                <w:szCs w:val="21"/>
                <w:highlight w:val="none"/>
                <w:lang w:val="zh-CN"/>
                <w14:textFill>
                  <w14:solidFill>
                    <w14:schemeClr w14:val="tx1"/>
                  </w14:solidFill>
                </w14:textFill>
              </w:rPr>
              <w:t>分;</w:t>
            </w:r>
          </w:p>
          <w:p w14:paraId="65EC6244">
            <w:pPr>
              <w:widowControl/>
              <w:spacing w:line="360" w:lineRule="auto"/>
              <w:textAlignment w:val="center"/>
              <w:rPr>
                <w:rFonts w:ascii="宋体" w:cs="宋体"/>
                <w:bCs/>
                <w:color w:val="000000" w:themeColor="text1"/>
                <w:szCs w:val="21"/>
                <w:highlight w:val="none"/>
                <w:lang w:val="zh-CN"/>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w:t>
            </w:r>
            <w:r>
              <w:rPr>
                <w:rFonts w:hint="eastAsia" w:ascii="宋体" w:cs="宋体"/>
                <w:bCs/>
                <w:color w:val="000000" w:themeColor="text1"/>
                <w:szCs w:val="21"/>
                <w:highlight w:val="none"/>
                <w:lang w:val="zh-CN"/>
                <w14:textFill>
                  <w14:solidFill>
                    <w14:schemeClr w14:val="tx1"/>
                  </w14:solidFill>
                </w14:textFill>
              </w:rPr>
              <w:t>服务响应时间</w:t>
            </w:r>
            <w:r>
              <w:rPr>
                <w:rFonts w:hint="eastAsia" w:ascii="宋体" w:cs="宋体"/>
                <w:bCs/>
                <w:color w:val="000000" w:themeColor="text1"/>
                <w:szCs w:val="21"/>
                <w:highlight w:val="none"/>
                <w14:textFill>
                  <w14:solidFill>
                    <w14:schemeClr w14:val="tx1"/>
                  </w14:solidFill>
                </w14:textFill>
              </w:rPr>
              <w:t>不能</w:t>
            </w:r>
            <w:r>
              <w:rPr>
                <w:rFonts w:hint="eastAsia" w:ascii="宋体" w:cs="宋体"/>
                <w:bCs/>
                <w:color w:val="000000" w:themeColor="text1"/>
                <w:szCs w:val="21"/>
                <w:highlight w:val="none"/>
                <w:lang w:val="zh-CN"/>
                <w14:textFill>
                  <w14:solidFill>
                    <w14:schemeClr w14:val="tx1"/>
                  </w14:solidFill>
                </w14:textFill>
              </w:rPr>
              <w:t>满足采购文件要求，提供的售后服务措施及质保期内产品维护措施简单，应用性、针对性差，得</w:t>
            </w:r>
            <w:r>
              <w:rPr>
                <w:rFonts w:hint="eastAsia" w:ascii="宋体" w:cs="宋体"/>
                <w:bCs/>
                <w:color w:val="000000" w:themeColor="text1"/>
                <w:szCs w:val="21"/>
                <w:highlight w:val="none"/>
                <w:lang w:val="en-US" w:eastAsia="zh-CN"/>
                <w14:textFill>
                  <w14:solidFill>
                    <w14:schemeClr w14:val="tx1"/>
                  </w14:solidFill>
                </w14:textFill>
              </w:rPr>
              <w:t>3</w:t>
            </w:r>
            <w:r>
              <w:rPr>
                <w:rFonts w:hint="eastAsia" w:ascii="宋体" w:cs="宋体"/>
                <w:bCs/>
                <w:color w:val="000000" w:themeColor="text1"/>
                <w:szCs w:val="21"/>
                <w:highlight w:val="none"/>
                <w:lang w:val="zh-CN"/>
                <w14:textFill>
                  <w14:solidFill>
                    <w14:schemeClr w14:val="tx1"/>
                  </w14:solidFill>
                </w14:textFill>
              </w:rPr>
              <w:t>分;</w:t>
            </w:r>
          </w:p>
          <w:p w14:paraId="66F55A71">
            <w:pPr>
              <w:widowControl/>
              <w:spacing w:line="360" w:lineRule="auto"/>
              <w:textAlignment w:val="center"/>
              <w:rPr>
                <w:rFonts w:ascii="宋体" w:cs="宋体"/>
                <w:bCs/>
                <w:color w:val="000000" w:themeColor="text1"/>
                <w:szCs w:val="21"/>
                <w:highlight w:val="none"/>
                <w:lang w:val="zh-CN"/>
                <w14:textFill>
                  <w14:solidFill>
                    <w14:schemeClr w14:val="tx1"/>
                  </w14:solidFill>
                </w14:textFill>
              </w:rPr>
            </w:pPr>
            <w:r>
              <w:rPr>
                <w:rFonts w:hint="eastAsia" w:ascii="宋体" w:cs="宋体"/>
                <w:bCs/>
                <w:color w:val="000000" w:themeColor="text1"/>
                <w:szCs w:val="21"/>
                <w:highlight w:val="none"/>
                <w:lang w:val="zh-CN"/>
                <w14:textFill>
                  <w14:solidFill>
                    <w14:schemeClr w14:val="tx1"/>
                  </w14:solidFill>
                </w14:textFill>
              </w:rPr>
              <w:t>4.不提供不得分。</w:t>
            </w:r>
          </w:p>
        </w:tc>
        <w:tc>
          <w:tcPr>
            <w:tcW w:w="809" w:type="dxa"/>
            <w:vAlign w:val="center"/>
          </w:tcPr>
          <w:p w14:paraId="6306EB60">
            <w:pPr>
              <w:tabs>
                <w:tab w:val="decimal" w:pos="315"/>
                <w:tab w:val="left" w:pos="630"/>
              </w:tabs>
              <w:spacing w:line="276"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分</w:t>
            </w:r>
          </w:p>
        </w:tc>
      </w:tr>
      <w:tr w14:paraId="33B1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vAlign w:val="center"/>
          </w:tcPr>
          <w:p w14:paraId="596D86FC">
            <w:pPr>
              <w:tabs>
                <w:tab w:val="decimal" w:pos="315"/>
                <w:tab w:val="left" w:pos="630"/>
              </w:tabs>
              <w:spacing w:line="276" w:lineRule="auto"/>
              <w:jc w:val="center"/>
              <w:rPr>
                <w:color w:val="000000" w:themeColor="text1"/>
                <w:highlight w:val="none"/>
                <w14:textFill>
                  <w14:solidFill>
                    <w14:schemeClr w14:val="tx1"/>
                  </w14:solidFill>
                </w14:textFill>
              </w:rPr>
            </w:pPr>
          </w:p>
        </w:tc>
        <w:tc>
          <w:tcPr>
            <w:tcW w:w="1087" w:type="dxa"/>
            <w:vAlign w:val="center"/>
          </w:tcPr>
          <w:p w14:paraId="4B2B0D86">
            <w:pPr>
              <w:widowControl/>
              <w:jc w:val="center"/>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项目实施方案</w:t>
            </w:r>
          </w:p>
        </w:tc>
        <w:tc>
          <w:tcPr>
            <w:tcW w:w="6443" w:type="dxa"/>
            <w:vAlign w:val="center"/>
          </w:tcPr>
          <w:p w14:paraId="38AEFB3B">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根据供应商提供的项目实施方案（包括但不限于施工、安装调试方案）进行评审:</w:t>
            </w:r>
          </w:p>
          <w:p w14:paraId="0C1A6F54">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1.供应商提供的项目实施方案详实明确，流程、措施完善，完全满足使用需求的，得</w:t>
            </w:r>
            <w:r>
              <w:rPr>
                <w:rFonts w:hint="eastAsia" w:ascii="宋体" w:hAnsi="宋体" w:cs="宋体"/>
                <w:color w:val="000000" w:themeColor="text1"/>
                <w:szCs w:val="21"/>
                <w:highlight w:val="none"/>
                <w:lang w:val="en-US" w:eastAsia="zh-CN" w:bidi="ar"/>
                <w14:textFill>
                  <w14:solidFill>
                    <w14:schemeClr w14:val="tx1"/>
                  </w14:solidFill>
                </w14:textFill>
              </w:rPr>
              <w:t>9</w:t>
            </w:r>
            <w:r>
              <w:rPr>
                <w:rFonts w:hint="eastAsia" w:ascii="宋体" w:hAnsi="宋体" w:cs="宋体"/>
                <w:color w:val="000000" w:themeColor="text1"/>
                <w:szCs w:val="21"/>
                <w:highlight w:val="none"/>
                <w:lang w:bidi="ar"/>
                <w14:textFill>
                  <w14:solidFill>
                    <w14:schemeClr w14:val="tx1"/>
                  </w14:solidFill>
                </w14:textFill>
              </w:rPr>
              <w:t>分;</w:t>
            </w:r>
          </w:p>
          <w:p w14:paraId="02B15AF2">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2.供应商提供的项目实施方案较具体，流程、措施较完善，基本满足使用需求的，得</w:t>
            </w:r>
            <w:r>
              <w:rPr>
                <w:rFonts w:hint="eastAsia" w:ascii="宋体" w:hAnsi="宋体" w:cs="宋体"/>
                <w:color w:val="000000" w:themeColor="text1"/>
                <w:szCs w:val="21"/>
                <w:highlight w:val="none"/>
                <w:lang w:val="en-US" w:eastAsia="zh-CN" w:bidi="ar"/>
                <w14:textFill>
                  <w14:solidFill>
                    <w14:schemeClr w14:val="tx1"/>
                  </w14:solidFill>
                </w14:textFill>
              </w:rPr>
              <w:t>6</w:t>
            </w:r>
            <w:r>
              <w:rPr>
                <w:rFonts w:hint="eastAsia" w:ascii="宋体" w:hAnsi="宋体" w:cs="宋体"/>
                <w:color w:val="000000" w:themeColor="text1"/>
                <w:szCs w:val="21"/>
                <w:highlight w:val="none"/>
                <w:lang w:bidi="ar"/>
                <w14:textFill>
                  <w14:solidFill>
                    <w14:schemeClr w14:val="tx1"/>
                  </w14:solidFill>
                </w14:textFill>
              </w:rPr>
              <w:t>分；</w:t>
            </w:r>
          </w:p>
          <w:p w14:paraId="17CFDCA5">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3.供应商提供的项目实施方案一般，流程、措施一般，未能满足使用需求的，得</w:t>
            </w:r>
            <w:r>
              <w:rPr>
                <w:rFonts w:hint="eastAsia" w:ascii="宋体" w:hAnsi="宋体" w:cs="宋体"/>
                <w:color w:val="000000" w:themeColor="text1"/>
                <w:szCs w:val="21"/>
                <w:highlight w:val="none"/>
                <w:lang w:val="en-US" w:eastAsia="zh-CN" w:bidi="ar"/>
                <w14:textFill>
                  <w14:solidFill>
                    <w14:schemeClr w14:val="tx1"/>
                  </w14:solidFill>
                </w14:textFill>
              </w:rPr>
              <w:t>3</w:t>
            </w:r>
            <w:r>
              <w:rPr>
                <w:rFonts w:hint="eastAsia" w:ascii="宋体" w:hAnsi="宋体" w:cs="宋体"/>
                <w:color w:val="000000" w:themeColor="text1"/>
                <w:szCs w:val="21"/>
                <w:highlight w:val="none"/>
                <w:lang w:bidi="ar"/>
                <w14:textFill>
                  <w14:solidFill>
                    <w14:schemeClr w14:val="tx1"/>
                  </w14:solidFill>
                </w14:textFill>
              </w:rPr>
              <w:t>分;</w:t>
            </w:r>
          </w:p>
          <w:p w14:paraId="4CC32105">
            <w:pPr>
              <w:widowControl/>
              <w:spacing w:line="360" w:lineRule="auto"/>
              <w:textAlignment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4.未提供不得分。</w:t>
            </w:r>
          </w:p>
        </w:tc>
        <w:tc>
          <w:tcPr>
            <w:tcW w:w="809" w:type="dxa"/>
            <w:vAlign w:val="center"/>
          </w:tcPr>
          <w:p w14:paraId="50CD9A28">
            <w:pPr>
              <w:tabs>
                <w:tab w:val="decimal" w:pos="315"/>
                <w:tab w:val="left" w:pos="630"/>
              </w:tabs>
              <w:spacing w:line="276" w:lineRule="auto"/>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分</w:t>
            </w:r>
          </w:p>
        </w:tc>
      </w:tr>
      <w:tr w14:paraId="343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87" w:type="dxa"/>
            <w:vAlign w:val="center"/>
          </w:tcPr>
          <w:p w14:paraId="6B5F599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价格部分</w:t>
            </w:r>
          </w:p>
        </w:tc>
        <w:tc>
          <w:tcPr>
            <w:tcW w:w="1087" w:type="dxa"/>
            <w:vAlign w:val="center"/>
          </w:tcPr>
          <w:p w14:paraId="1F0A1BF2">
            <w:pPr>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w:t>
            </w:r>
          </w:p>
        </w:tc>
        <w:tc>
          <w:tcPr>
            <w:tcW w:w="6443" w:type="dxa"/>
          </w:tcPr>
          <w:p w14:paraId="6C501905">
            <w:pPr>
              <w:pStyle w:val="16"/>
              <w:widowControl/>
              <w:spacing w:line="360" w:lineRule="auto"/>
              <w:ind w:firstLine="0" w:firstLineChars="0"/>
              <w:rPr>
                <w:rFonts w:hint="eastAsia" w:ascii="宋体" w:eastAsia="宋体" w:cs="宋体"/>
                <w:bCs/>
                <w:color w:val="000000" w:themeColor="text1"/>
                <w:sz w:val="21"/>
                <w:szCs w:val="21"/>
                <w:highlight w:val="none"/>
                <w:lang w:val="zh-CN"/>
                <w14:textFill>
                  <w14:solidFill>
                    <w14:schemeClr w14:val="tx1"/>
                  </w14:solidFill>
                </w14:textFill>
              </w:rPr>
            </w:pPr>
            <w:r>
              <w:rPr>
                <w:rFonts w:hint="eastAsia" w:ascii="宋体" w:eastAsia="宋体" w:cs="宋体"/>
                <w:bCs/>
                <w:color w:val="000000" w:themeColor="text1"/>
                <w:sz w:val="21"/>
                <w:szCs w:val="21"/>
                <w:highlight w:val="none"/>
                <w:lang w:val="zh-CN"/>
                <w14:textFill>
                  <w14:solidFill>
                    <w14:schemeClr w14:val="tx1"/>
                  </w14:solidFill>
                </w14:textFill>
              </w:rPr>
              <w:t>响应报价得分＝（评审基准价/响应报价）×价格分值</w:t>
            </w:r>
          </w:p>
          <w:p w14:paraId="6FFEC1E7">
            <w:pPr>
              <w:pStyle w:val="16"/>
              <w:widowControl/>
              <w:spacing w:line="360" w:lineRule="auto"/>
              <w:ind w:firstLine="0" w:firstLineChars="0"/>
              <w:rPr>
                <w:rFonts w:hint="eastAsia"/>
                <w:color w:val="000000" w:themeColor="text1"/>
                <w:highlight w:val="none"/>
                <w14:textFill>
                  <w14:solidFill>
                    <w14:schemeClr w14:val="tx1"/>
                  </w14:solidFill>
                </w14:textFill>
              </w:rPr>
            </w:pPr>
            <w:r>
              <w:rPr>
                <w:rFonts w:hint="eastAsia" w:ascii="宋体" w:eastAsia="宋体" w:cs="宋体"/>
                <w:bCs/>
                <w:color w:val="000000" w:themeColor="text1"/>
                <w:sz w:val="21"/>
                <w:szCs w:val="21"/>
                <w:highlight w:val="none"/>
                <w:lang w:val="zh-CN"/>
                <w14:textFill>
                  <w14:solidFill>
                    <w14:schemeClr w14:val="tx1"/>
                  </w14:solidFill>
                </w14:textFill>
              </w:rPr>
              <w:t>（注：满足采购文件要求且响应价格最低的响应报价为评审基准价。最低报价不是成交的唯一依据。）</w:t>
            </w:r>
          </w:p>
        </w:tc>
        <w:tc>
          <w:tcPr>
            <w:tcW w:w="809" w:type="dxa"/>
            <w:vAlign w:val="center"/>
          </w:tcPr>
          <w:p w14:paraId="4DF9447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r>
      <w:tr w14:paraId="37D6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17" w:type="dxa"/>
            <w:gridSpan w:val="3"/>
            <w:vAlign w:val="center"/>
          </w:tcPr>
          <w:p w14:paraId="6FCA573B">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w:t>
            </w:r>
          </w:p>
        </w:tc>
        <w:tc>
          <w:tcPr>
            <w:tcW w:w="809" w:type="dxa"/>
            <w:vAlign w:val="center"/>
          </w:tcPr>
          <w:p w14:paraId="7E9361A1">
            <w:pPr>
              <w:spacing w:line="360" w:lineRule="auto"/>
              <w:jc w:val="center"/>
              <w:rPr>
                <w:rFonts w:hint="eastAsia"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r>
              <w:rPr>
                <w:rFonts w:hint="eastAsia" w:ascii="宋体" w:hAnsi="宋体"/>
                <w:color w:val="000000" w:themeColor="text1"/>
                <w:highlight w:val="none"/>
                <w14:textFill>
                  <w14:solidFill>
                    <w14:schemeClr w14:val="tx1"/>
                  </w14:solidFill>
                </w14:textFill>
              </w:rPr>
              <w:t>分</w:t>
            </w:r>
          </w:p>
        </w:tc>
      </w:tr>
    </w:tbl>
    <w:p w14:paraId="269F1FB6">
      <w:pPr>
        <w:spacing w:line="360" w:lineRule="auto"/>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2C08D9"/>
    <w:rsid w:val="00233B27"/>
    <w:rsid w:val="00280D3D"/>
    <w:rsid w:val="002C08D9"/>
    <w:rsid w:val="002D3BEC"/>
    <w:rsid w:val="00317321"/>
    <w:rsid w:val="00326EE1"/>
    <w:rsid w:val="00453214"/>
    <w:rsid w:val="004F7D60"/>
    <w:rsid w:val="005A2D64"/>
    <w:rsid w:val="006C3430"/>
    <w:rsid w:val="00723BDC"/>
    <w:rsid w:val="00726F79"/>
    <w:rsid w:val="007B7E81"/>
    <w:rsid w:val="00B16B05"/>
    <w:rsid w:val="00B50918"/>
    <w:rsid w:val="00B91EAC"/>
    <w:rsid w:val="00D95C0D"/>
    <w:rsid w:val="00E161BD"/>
    <w:rsid w:val="00E209BE"/>
    <w:rsid w:val="00E46AD2"/>
    <w:rsid w:val="00EB1C0E"/>
    <w:rsid w:val="00F04CBF"/>
    <w:rsid w:val="00F5445B"/>
    <w:rsid w:val="00FB627E"/>
    <w:rsid w:val="0116312F"/>
    <w:rsid w:val="022529BA"/>
    <w:rsid w:val="022632F0"/>
    <w:rsid w:val="03267819"/>
    <w:rsid w:val="045D1075"/>
    <w:rsid w:val="05BD6377"/>
    <w:rsid w:val="06E72E78"/>
    <w:rsid w:val="077B0190"/>
    <w:rsid w:val="07AB423D"/>
    <w:rsid w:val="07F53FC7"/>
    <w:rsid w:val="085C484A"/>
    <w:rsid w:val="08CD207F"/>
    <w:rsid w:val="09570229"/>
    <w:rsid w:val="09CF031F"/>
    <w:rsid w:val="0A3E104C"/>
    <w:rsid w:val="0A621193"/>
    <w:rsid w:val="0AA35A8D"/>
    <w:rsid w:val="0AC27E84"/>
    <w:rsid w:val="0ADF6709"/>
    <w:rsid w:val="0B031FF8"/>
    <w:rsid w:val="0B2A7D51"/>
    <w:rsid w:val="0B330D82"/>
    <w:rsid w:val="0B5252E0"/>
    <w:rsid w:val="0B5915B2"/>
    <w:rsid w:val="0BF63EFD"/>
    <w:rsid w:val="0C344DB1"/>
    <w:rsid w:val="0C871385"/>
    <w:rsid w:val="0C8F77BA"/>
    <w:rsid w:val="0D7C5016"/>
    <w:rsid w:val="0E3A4E39"/>
    <w:rsid w:val="0E5651F6"/>
    <w:rsid w:val="0E9B1118"/>
    <w:rsid w:val="0F0C1504"/>
    <w:rsid w:val="0FB36144"/>
    <w:rsid w:val="10001543"/>
    <w:rsid w:val="100B407B"/>
    <w:rsid w:val="113F222E"/>
    <w:rsid w:val="11C11EEF"/>
    <w:rsid w:val="11CC5193"/>
    <w:rsid w:val="120450DA"/>
    <w:rsid w:val="12055A41"/>
    <w:rsid w:val="12C9238F"/>
    <w:rsid w:val="13157E18"/>
    <w:rsid w:val="135E0B3D"/>
    <w:rsid w:val="138A175B"/>
    <w:rsid w:val="14121DAC"/>
    <w:rsid w:val="142E20E6"/>
    <w:rsid w:val="15396F94"/>
    <w:rsid w:val="16012AC5"/>
    <w:rsid w:val="16AA0397"/>
    <w:rsid w:val="16B167CC"/>
    <w:rsid w:val="170610F8"/>
    <w:rsid w:val="17070B85"/>
    <w:rsid w:val="172211AC"/>
    <w:rsid w:val="177949B5"/>
    <w:rsid w:val="18664ECD"/>
    <w:rsid w:val="198164B4"/>
    <w:rsid w:val="198264C7"/>
    <w:rsid w:val="19A02B67"/>
    <w:rsid w:val="1A710F7F"/>
    <w:rsid w:val="1CA90EA4"/>
    <w:rsid w:val="1CB17D58"/>
    <w:rsid w:val="1CEB5018"/>
    <w:rsid w:val="1D090252"/>
    <w:rsid w:val="1D4F1A4B"/>
    <w:rsid w:val="1D977BC5"/>
    <w:rsid w:val="2000702C"/>
    <w:rsid w:val="20531559"/>
    <w:rsid w:val="20E47C7B"/>
    <w:rsid w:val="211335B3"/>
    <w:rsid w:val="21251678"/>
    <w:rsid w:val="21507B40"/>
    <w:rsid w:val="21636166"/>
    <w:rsid w:val="2182320C"/>
    <w:rsid w:val="21B73ED8"/>
    <w:rsid w:val="22291947"/>
    <w:rsid w:val="22596E88"/>
    <w:rsid w:val="22F524FB"/>
    <w:rsid w:val="230B0532"/>
    <w:rsid w:val="2323226F"/>
    <w:rsid w:val="23234A89"/>
    <w:rsid w:val="232522DA"/>
    <w:rsid w:val="23955CDE"/>
    <w:rsid w:val="23E83B9F"/>
    <w:rsid w:val="24406F1A"/>
    <w:rsid w:val="24791DF7"/>
    <w:rsid w:val="25A11649"/>
    <w:rsid w:val="25A8494F"/>
    <w:rsid w:val="25CD5C03"/>
    <w:rsid w:val="26295B9D"/>
    <w:rsid w:val="271472F1"/>
    <w:rsid w:val="27B91B08"/>
    <w:rsid w:val="27EA6359"/>
    <w:rsid w:val="29CC4423"/>
    <w:rsid w:val="29D67FA4"/>
    <w:rsid w:val="2A2B739C"/>
    <w:rsid w:val="2A432D46"/>
    <w:rsid w:val="2A7169DD"/>
    <w:rsid w:val="2A9F7BB6"/>
    <w:rsid w:val="2ACD0453"/>
    <w:rsid w:val="2AEF13BE"/>
    <w:rsid w:val="2B2F4148"/>
    <w:rsid w:val="2D0F545C"/>
    <w:rsid w:val="2D216834"/>
    <w:rsid w:val="2DB84096"/>
    <w:rsid w:val="2E3B05C3"/>
    <w:rsid w:val="2EAB0AAB"/>
    <w:rsid w:val="2F1E2C53"/>
    <w:rsid w:val="300915AF"/>
    <w:rsid w:val="304C1E1A"/>
    <w:rsid w:val="30A44D98"/>
    <w:rsid w:val="30D140CD"/>
    <w:rsid w:val="31BC4D7D"/>
    <w:rsid w:val="32B85545"/>
    <w:rsid w:val="32FC4A8D"/>
    <w:rsid w:val="32FC6616"/>
    <w:rsid w:val="330557AD"/>
    <w:rsid w:val="33641A72"/>
    <w:rsid w:val="33A672FD"/>
    <w:rsid w:val="34403A44"/>
    <w:rsid w:val="346534DC"/>
    <w:rsid w:val="34781EAB"/>
    <w:rsid w:val="347E456C"/>
    <w:rsid w:val="352761F5"/>
    <w:rsid w:val="35EA1EB9"/>
    <w:rsid w:val="36051666"/>
    <w:rsid w:val="364D069A"/>
    <w:rsid w:val="36CD5A73"/>
    <w:rsid w:val="37AD6244"/>
    <w:rsid w:val="37C568B0"/>
    <w:rsid w:val="380A3FE7"/>
    <w:rsid w:val="381454F7"/>
    <w:rsid w:val="38370059"/>
    <w:rsid w:val="391159AF"/>
    <w:rsid w:val="395C2F79"/>
    <w:rsid w:val="3A1A6AE5"/>
    <w:rsid w:val="3A2636DC"/>
    <w:rsid w:val="3ABB3E24"/>
    <w:rsid w:val="3BC136BC"/>
    <w:rsid w:val="3BDE4E43"/>
    <w:rsid w:val="3C2E0CC5"/>
    <w:rsid w:val="3C5C5A09"/>
    <w:rsid w:val="3CE33BBF"/>
    <w:rsid w:val="3DB2047D"/>
    <w:rsid w:val="3E141CB2"/>
    <w:rsid w:val="3E570EC6"/>
    <w:rsid w:val="3F283A52"/>
    <w:rsid w:val="3F6D1374"/>
    <w:rsid w:val="3FD60E4A"/>
    <w:rsid w:val="4024246B"/>
    <w:rsid w:val="40607ABC"/>
    <w:rsid w:val="40640ABA"/>
    <w:rsid w:val="413A60AB"/>
    <w:rsid w:val="42316216"/>
    <w:rsid w:val="43C8770C"/>
    <w:rsid w:val="44333C72"/>
    <w:rsid w:val="45AC718B"/>
    <w:rsid w:val="45ED50AE"/>
    <w:rsid w:val="45F95539"/>
    <w:rsid w:val="469E110E"/>
    <w:rsid w:val="479C6D8B"/>
    <w:rsid w:val="48364026"/>
    <w:rsid w:val="488241D3"/>
    <w:rsid w:val="49D62A28"/>
    <w:rsid w:val="4A9C1907"/>
    <w:rsid w:val="4AF97CB6"/>
    <w:rsid w:val="4B6C4CC7"/>
    <w:rsid w:val="4BCB40E3"/>
    <w:rsid w:val="4BE5617B"/>
    <w:rsid w:val="4CA330E7"/>
    <w:rsid w:val="4CB07713"/>
    <w:rsid w:val="4CCD0706"/>
    <w:rsid w:val="4CF5766A"/>
    <w:rsid w:val="4CF87DD7"/>
    <w:rsid w:val="4DE84AD8"/>
    <w:rsid w:val="4E70527E"/>
    <w:rsid w:val="4E9B4F76"/>
    <w:rsid w:val="4EA10947"/>
    <w:rsid w:val="4F700B2E"/>
    <w:rsid w:val="4F8E0C18"/>
    <w:rsid w:val="51120D76"/>
    <w:rsid w:val="51D10F25"/>
    <w:rsid w:val="526206FA"/>
    <w:rsid w:val="528E29ED"/>
    <w:rsid w:val="52901F11"/>
    <w:rsid w:val="529B480F"/>
    <w:rsid w:val="52F83F51"/>
    <w:rsid w:val="530C74BB"/>
    <w:rsid w:val="53121B8E"/>
    <w:rsid w:val="53C47D96"/>
    <w:rsid w:val="54B6171E"/>
    <w:rsid w:val="55706356"/>
    <w:rsid w:val="55D30AF4"/>
    <w:rsid w:val="565F4ABA"/>
    <w:rsid w:val="568961D0"/>
    <w:rsid w:val="5733709E"/>
    <w:rsid w:val="574A05B2"/>
    <w:rsid w:val="574A1CB5"/>
    <w:rsid w:val="579059CE"/>
    <w:rsid w:val="57C55E8A"/>
    <w:rsid w:val="57F66416"/>
    <w:rsid w:val="58937570"/>
    <w:rsid w:val="58DF2F7C"/>
    <w:rsid w:val="59E167D6"/>
    <w:rsid w:val="5A183E5F"/>
    <w:rsid w:val="5AF8598C"/>
    <w:rsid w:val="5B1213E7"/>
    <w:rsid w:val="5B231A45"/>
    <w:rsid w:val="5BB3149D"/>
    <w:rsid w:val="5C594DF3"/>
    <w:rsid w:val="5C6202FE"/>
    <w:rsid w:val="5D0766E2"/>
    <w:rsid w:val="5D5B20F3"/>
    <w:rsid w:val="5D5F7676"/>
    <w:rsid w:val="5DAB3A7E"/>
    <w:rsid w:val="5DC46F3E"/>
    <w:rsid w:val="5E525F9E"/>
    <w:rsid w:val="5E58282F"/>
    <w:rsid w:val="5E9216C5"/>
    <w:rsid w:val="5EC23ABB"/>
    <w:rsid w:val="5ECC67C9"/>
    <w:rsid w:val="5F075202"/>
    <w:rsid w:val="5F571ABE"/>
    <w:rsid w:val="5FA31F5D"/>
    <w:rsid w:val="5FF852C4"/>
    <w:rsid w:val="608D6F8C"/>
    <w:rsid w:val="60A54AAB"/>
    <w:rsid w:val="60B06A3A"/>
    <w:rsid w:val="60C8402D"/>
    <w:rsid w:val="616C4593"/>
    <w:rsid w:val="62031A89"/>
    <w:rsid w:val="62061579"/>
    <w:rsid w:val="621C6FEF"/>
    <w:rsid w:val="62991AAC"/>
    <w:rsid w:val="62E775FD"/>
    <w:rsid w:val="62EA49F7"/>
    <w:rsid w:val="63346118"/>
    <w:rsid w:val="633B400F"/>
    <w:rsid w:val="63634DBE"/>
    <w:rsid w:val="645962D8"/>
    <w:rsid w:val="64942E0C"/>
    <w:rsid w:val="65683BA3"/>
    <w:rsid w:val="65704E76"/>
    <w:rsid w:val="65D900EA"/>
    <w:rsid w:val="66A90E26"/>
    <w:rsid w:val="68332C5A"/>
    <w:rsid w:val="690B6A33"/>
    <w:rsid w:val="6ADF1456"/>
    <w:rsid w:val="6B0F149F"/>
    <w:rsid w:val="6B1D49E9"/>
    <w:rsid w:val="6C663340"/>
    <w:rsid w:val="6CCA5F8C"/>
    <w:rsid w:val="6D5D0BE7"/>
    <w:rsid w:val="6D61071B"/>
    <w:rsid w:val="6D9863E0"/>
    <w:rsid w:val="6E42305D"/>
    <w:rsid w:val="6F286276"/>
    <w:rsid w:val="6F413BF1"/>
    <w:rsid w:val="6F433E0D"/>
    <w:rsid w:val="6F490CF7"/>
    <w:rsid w:val="6F491DD6"/>
    <w:rsid w:val="6FC54822"/>
    <w:rsid w:val="6FD21F6F"/>
    <w:rsid w:val="70301438"/>
    <w:rsid w:val="70CC398E"/>
    <w:rsid w:val="70EF3AEB"/>
    <w:rsid w:val="71266A01"/>
    <w:rsid w:val="716D2988"/>
    <w:rsid w:val="72801080"/>
    <w:rsid w:val="72A262B6"/>
    <w:rsid w:val="72C74D55"/>
    <w:rsid w:val="72C87D81"/>
    <w:rsid w:val="72CD743C"/>
    <w:rsid w:val="731E2D5E"/>
    <w:rsid w:val="735A02FF"/>
    <w:rsid w:val="73644F94"/>
    <w:rsid w:val="739E1612"/>
    <w:rsid w:val="74F160B9"/>
    <w:rsid w:val="76790114"/>
    <w:rsid w:val="767A253F"/>
    <w:rsid w:val="76E23F0B"/>
    <w:rsid w:val="77D2097C"/>
    <w:rsid w:val="78281DF2"/>
    <w:rsid w:val="785C061A"/>
    <w:rsid w:val="78743289"/>
    <w:rsid w:val="79060450"/>
    <w:rsid w:val="7932248D"/>
    <w:rsid w:val="79366790"/>
    <w:rsid w:val="795D7670"/>
    <w:rsid w:val="79E077E8"/>
    <w:rsid w:val="7A192DB4"/>
    <w:rsid w:val="7A416DDF"/>
    <w:rsid w:val="7A6D7F90"/>
    <w:rsid w:val="7A97325F"/>
    <w:rsid w:val="7BBC35D3"/>
    <w:rsid w:val="7C023E77"/>
    <w:rsid w:val="7C232FFC"/>
    <w:rsid w:val="7C8415C1"/>
    <w:rsid w:val="7DDD71DA"/>
    <w:rsid w:val="7DFE027A"/>
    <w:rsid w:val="7E114FDF"/>
    <w:rsid w:val="7E171E3C"/>
    <w:rsid w:val="7E3E26F6"/>
    <w:rsid w:val="7E67363F"/>
    <w:rsid w:val="7F51685D"/>
    <w:rsid w:val="7F8C2C66"/>
    <w:rsid w:val="7F945FBF"/>
    <w:rsid w:val="7FAE00C1"/>
    <w:rsid w:val="7FB63FC2"/>
    <w:rsid w:val="FED6F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40"/>
      </w:tabs>
      <w:adjustRightInd w:val="0"/>
      <w:snapToGrid w:val="0"/>
      <w:spacing w:line="360" w:lineRule="auto"/>
      <w:outlineLvl w:val="0"/>
    </w:pPr>
    <w:rPr>
      <w:rFonts w:ascii="宋体" w:hAnsi="宋体"/>
      <w:b/>
      <w:kern w:val="44"/>
      <w:sz w:val="24"/>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99"/>
  </w:style>
  <w:style w:type="paragraph" w:styleId="6">
    <w:name w:val="Body Text"/>
    <w:basedOn w:val="1"/>
    <w:next w:val="1"/>
    <w:qFormat/>
    <w:uiPriority w:val="0"/>
    <w:pPr>
      <w:spacing w:line="460" w:lineRule="exact"/>
    </w:pPr>
    <w:rPr>
      <w:rFonts w:ascii="宋体" w:hAnsi="宋体"/>
    </w:rPr>
  </w:style>
  <w:style w:type="paragraph" w:styleId="7">
    <w:name w:val="toc 5"/>
    <w:basedOn w:val="1"/>
    <w:next w:val="1"/>
    <w:qFormat/>
    <w:uiPriority w:val="0"/>
    <w:pPr>
      <w:ind w:left="840"/>
      <w:jc w:val="left"/>
    </w:pPr>
    <w:rPr>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3">
    <w:name w:val="正文内容"/>
    <w:basedOn w:val="14"/>
    <w:qFormat/>
    <w:uiPriority w:val="0"/>
    <w:pPr>
      <w:widowControl w:val="0"/>
      <w:tabs>
        <w:tab w:val="decimal" w:pos="315"/>
        <w:tab w:val="left" w:pos="630"/>
      </w:tabs>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4">
    <w:name w:val="xl1789"/>
    <w:basedOn w:val="1"/>
    <w:qFormat/>
    <w:uiPriority w:val="0"/>
    <w:pPr>
      <w:widowControl/>
      <w:tabs>
        <w:tab w:val="decimal" w:pos="315"/>
        <w:tab w:val="left" w:pos="630"/>
      </w:tabs>
      <w:spacing w:before="100" w:beforeAutospacing="1" w:after="100" w:afterAutospacing="1"/>
      <w:jc w:val="center"/>
    </w:pPr>
    <w:rPr>
      <w:rFonts w:ascii="宋体" w:hAnsi="宋体" w:cs="宋体"/>
      <w:b/>
      <w:bCs/>
      <w:kern w:val="0"/>
      <w:sz w:val="36"/>
      <w:szCs w:val="36"/>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2"/>
    </w:rPr>
  </w:style>
  <w:style w:type="character" w:customStyle="1" w:styleId="17">
    <w:name w:val="标题 2 字符"/>
    <w:link w:val="3"/>
    <w:qFormat/>
    <w:uiPriority w:val="0"/>
    <w:rPr>
      <w:rFonts w:ascii="宋体" w:hAnsi="宋体"/>
      <w:b/>
      <w:color w:val="000000"/>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2128</Words>
  <Characters>2148</Characters>
  <Lines>64</Lines>
  <Paragraphs>57</Paragraphs>
  <TotalTime>15</TotalTime>
  <ScaleCrop>false</ScaleCrop>
  <LinksUpToDate>false</LinksUpToDate>
  <CharactersWithSpaces>2151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2024-07-26T16:44:00Z</dcterms:created>
  <dc:creator>Administrator</dc:creator>
  <cp:lastModifiedBy>Mitty</cp:lastModifiedBy>
  <dcterms:modified xsi:type="dcterms:W3CDTF">2025-09-25T11:02:16Z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14EA587430E1444D89E9A240220E9BB5_13</vt:lpwstr>
  </property>
  <property fmtid="{D5CDD505-2E9C-101B-9397-08002B2CF9AE}" pid="4" name="KSOTemplateDocerSaveRecord">
    <vt:lpwstr>eyJoZGlkIjoiMjAyNDk0OTM5ZjE2MDUwMDJiMWIwZGQwMjQwZjRmZDAiLCJ1c2VySWQiOiI0NDc4NzM5NzgifQ==</vt:lpwstr>
  </property>
</Properties>
</file>